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5C5F76" w14:textId="2181BCAD" w:rsidR="005F2DEC" w:rsidRPr="00B872DC" w:rsidRDefault="007A0F53" w:rsidP="005F2DEC">
      <w:pPr>
        <w:rPr>
          <w:rFonts w:ascii="Times New Roman" w:hAnsi="Times New Roman" w:cs="Times New Roman"/>
          <w:sz w:val="24"/>
          <w:szCs w:val="24"/>
        </w:rPr>
      </w:pPr>
      <w:r w:rsidRPr="007A0F53">
        <w:rPr>
          <w:rFonts w:ascii="Times New Roman" w:hAnsi="Times New Roman" w:cs="Times New Roman"/>
          <w:b/>
          <w:sz w:val="32"/>
          <w:szCs w:val="32"/>
        </w:rPr>
        <w:t>The impact of varying dextran oxidation levels on the inhibitory activity of a bacteriocin loaded injectable hydrogel.</w:t>
      </w:r>
      <w:bookmarkStart w:id="0" w:name="_GoBack"/>
      <w:bookmarkEnd w:id="0"/>
    </w:p>
    <w:p w14:paraId="3E6490BD" w14:textId="77777777" w:rsidR="005A7BB3" w:rsidRPr="00571813" w:rsidRDefault="005A7BB3" w:rsidP="005A7BB3">
      <w:pPr>
        <w:rPr>
          <w:rFonts w:ascii="Times New Roman" w:hAnsi="Times New Roman" w:cs="Times New Roman"/>
          <w:i/>
          <w:sz w:val="24"/>
          <w:szCs w:val="24"/>
          <w:vertAlign w:val="superscript"/>
        </w:rPr>
      </w:pPr>
      <w:r w:rsidRPr="00571813">
        <w:rPr>
          <w:rFonts w:ascii="Times New Roman" w:hAnsi="Times New Roman" w:cs="Times New Roman"/>
          <w:i/>
          <w:sz w:val="24"/>
          <w:szCs w:val="24"/>
        </w:rPr>
        <w:t>James Flynn</w:t>
      </w:r>
      <w:r w:rsidRPr="00571813">
        <w:rPr>
          <w:rFonts w:ascii="Times New Roman" w:hAnsi="Times New Roman" w:cs="Times New Roman"/>
          <w:i/>
          <w:sz w:val="24"/>
          <w:szCs w:val="24"/>
          <w:vertAlign w:val="superscript"/>
        </w:rPr>
        <w:t>1</w:t>
      </w:r>
      <w:r w:rsidRPr="00571813">
        <w:rPr>
          <w:rFonts w:ascii="Times New Roman" w:hAnsi="Times New Roman" w:cs="Times New Roman"/>
          <w:i/>
          <w:sz w:val="24"/>
          <w:szCs w:val="24"/>
        </w:rPr>
        <w:t xml:space="preserve">, </w:t>
      </w:r>
      <w:r>
        <w:rPr>
          <w:rFonts w:ascii="Times New Roman" w:hAnsi="Times New Roman" w:cs="Times New Roman"/>
          <w:i/>
          <w:sz w:val="24"/>
          <w:szCs w:val="24"/>
        </w:rPr>
        <w:t>Mario Culebras</w:t>
      </w:r>
      <w:r w:rsidRPr="00604B50">
        <w:rPr>
          <w:rFonts w:ascii="Times New Roman" w:hAnsi="Times New Roman" w:cs="Times New Roman"/>
          <w:i/>
          <w:sz w:val="24"/>
          <w:szCs w:val="24"/>
          <w:vertAlign w:val="superscript"/>
        </w:rPr>
        <w:t>2</w:t>
      </w:r>
      <w:r>
        <w:rPr>
          <w:rFonts w:ascii="Times New Roman" w:hAnsi="Times New Roman" w:cs="Times New Roman"/>
          <w:i/>
          <w:sz w:val="24"/>
          <w:szCs w:val="24"/>
        </w:rPr>
        <w:t>, Maurice N. Collins</w:t>
      </w:r>
      <w:r w:rsidRPr="00444D8B">
        <w:rPr>
          <w:rFonts w:ascii="Times New Roman" w:hAnsi="Times New Roman" w:cs="Times New Roman"/>
          <w:i/>
          <w:sz w:val="24"/>
          <w:szCs w:val="24"/>
          <w:vertAlign w:val="superscript"/>
        </w:rPr>
        <w:t>2</w:t>
      </w:r>
      <w:r>
        <w:rPr>
          <w:rFonts w:ascii="Times New Roman" w:hAnsi="Times New Roman" w:cs="Times New Roman"/>
          <w:i/>
          <w:sz w:val="24"/>
          <w:szCs w:val="24"/>
          <w:vertAlign w:val="superscript"/>
        </w:rPr>
        <w:t>.3</w:t>
      </w:r>
      <w:r>
        <w:rPr>
          <w:rFonts w:ascii="Times New Roman" w:hAnsi="Times New Roman" w:cs="Times New Roman"/>
          <w:i/>
          <w:sz w:val="24"/>
          <w:szCs w:val="24"/>
        </w:rPr>
        <w:t xml:space="preserve"> </w:t>
      </w:r>
      <w:r w:rsidRPr="00571813">
        <w:rPr>
          <w:rFonts w:ascii="Times New Roman" w:hAnsi="Times New Roman" w:cs="Times New Roman"/>
          <w:i/>
          <w:sz w:val="24"/>
          <w:szCs w:val="24"/>
        </w:rPr>
        <w:t xml:space="preserve">and Sarah </w:t>
      </w:r>
      <w:proofErr w:type="spellStart"/>
      <w:r w:rsidRPr="00571813">
        <w:rPr>
          <w:rFonts w:ascii="Times New Roman" w:hAnsi="Times New Roman" w:cs="Times New Roman"/>
          <w:i/>
          <w:sz w:val="24"/>
          <w:szCs w:val="24"/>
        </w:rPr>
        <w:t>P.Hudson</w:t>
      </w:r>
      <w:proofErr w:type="spellEnd"/>
      <w:r w:rsidRPr="00571813">
        <w:rPr>
          <w:rFonts w:ascii="Times New Roman" w:hAnsi="Times New Roman" w:cs="Times New Roman"/>
          <w:i/>
          <w:sz w:val="24"/>
          <w:szCs w:val="24"/>
        </w:rPr>
        <w:t>*</w:t>
      </w:r>
      <w:r w:rsidRPr="00571813">
        <w:rPr>
          <w:rFonts w:ascii="Times New Roman" w:hAnsi="Times New Roman" w:cs="Times New Roman"/>
          <w:i/>
          <w:sz w:val="24"/>
          <w:szCs w:val="24"/>
          <w:vertAlign w:val="superscript"/>
        </w:rPr>
        <w:t>1</w:t>
      </w:r>
    </w:p>
    <w:p w14:paraId="3311736F" w14:textId="77777777" w:rsidR="005A7BB3" w:rsidRPr="00571813" w:rsidRDefault="005A7BB3" w:rsidP="005A7BB3">
      <w:pPr>
        <w:rPr>
          <w:rFonts w:ascii="Times New Roman" w:hAnsi="Times New Roman" w:cs="Times New Roman"/>
          <w:i/>
          <w:sz w:val="24"/>
          <w:szCs w:val="24"/>
          <w:vertAlign w:val="superscript"/>
        </w:rPr>
      </w:pPr>
    </w:p>
    <w:p w14:paraId="3F863BD2" w14:textId="77777777" w:rsidR="005A7BB3" w:rsidRDefault="005A7BB3" w:rsidP="005A7BB3">
      <w:pPr>
        <w:rPr>
          <w:rFonts w:ascii="Times New Roman" w:hAnsi="Times New Roman" w:cs="Times New Roman"/>
          <w:i/>
          <w:sz w:val="24"/>
          <w:szCs w:val="24"/>
        </w:rPr>
      </w:pPr>
      <w:r w:rsidRPr="00571813">
        <w:rPr>
          <w:rFonts w:ascii="Times New Roman" w:hAnsi="Times New Roman" w:cs="Times New Roman"/>
          <w:i/>
          <w:sz w:val="24"/>
          <w:szCs w:val="24"/>
          <w:vertAlign w:val="superscript"/>
        </w:rPr>
        <w:t>1</w:t>
      </w:r>
      <w:r w:rsidRPr="00571813">
        <w:rPr>
          <w:rFonts w:ascii="Times New Roman" w:hAnsi="Times New Roman" w:cs="Times New Roman"/>
          <w:i/>
          <w:sz w:val="24"/>
          <w:szCs w:val="24"/>
        </w:rPr>
        <w:t>Department of Chemical Sciences, Bernal Institute, SSPC – The SFI Pharmaceutical Research Centre, University of Limerick, Ireland</w:t>
      </w:r>
    </w:p>
    <w:p w14:paraId="1BB1C09B" w14:textId="77777777" w:rsidR="005A7BB3" w:rsidRDefault="005A7BB3" w:rsidP="005A7BB3">
      <w:pPr>
        <w:rPr>
          <w:rFonts w:ascii="Times New Roman" w:hAnsi="Times New Roman" w:cs="Times New Roman"/>
          <w:i/>
          <w:sz w:val="24"/>
          <w:szCs w:val="24"/>
        </w:rPr>
      </w:pPr>
      <w:r w:rsidRPr="00444D8B">
        <w:rPr>
          <w:rFonts w:ascii="Times New Roman" w:hAnsi="Times New Roman" w:cs="Times New Roman"/>
          <w:i/>
          <w:sz w:val="24"/>
          <w:szCs w:val="24"/>
          <w:vertAlign w:val="superscript"/>
        </w:rPr>
        <w:t>2</w:t>
      </w:r>
      <w:r>
        <w:rPr>
          <w:rFonts w:ascii="Times New Roman" w:hAnsi="Times New Roman" w:cs="Times New Roman"/>
          <w:i/>
          <w:sz w:val="24"/>
          <w:szCs w:val="24"/>
        </w:rPr>
        <w:t xml:space="preserve"> School of Engineering, </w:t>
      </w:r>
      <w:r w:rsidRPr="00444D8B">
        <w:rPr>
          <w:rFonts w:ascii="Times New Roman" w:hAnsi="Times New Roman" w:cs="Times New Roman"/>
          <w:i/>
          <w:sz w:val="24"/>
          <w:szCs w:val="24"/>
        </w:rPr>
        <w:t>Stokes</w:t>
      </w:r>
      <w:r>
        <w:rPr>
          <w:rFonts w:ascii="Times New Roman" w:hAnsi="Times New Roman" w:cs="Times New Roman"/>
          <w:i/>
          <w:sz w:val="24"/>
          <w:szCs w:val="24"/>
        </w:rPr>
        <w:t xml:space="preserve"> Laboratories, Bernal Institute, University of Limerick, Ireland</w:t>
      </w:r>
    </w:p>
    <w:p w14:paraId="75893314" w14:textId="0D36C192" w:rsidR="005F2DEC" w:rsidRDefault="005A7BB3" w:rsidP="005A7BB3">
      <w:pPr>
        <w:rPr>
          <w:rFonts w:ascii="Times New Roman" w:hAnsi="Times New Roman" w:cs="Times New Roman"/>
          <w:i/>
          <w:sz w:val="24"/>
          <w:szCs w:val="24"/>
        </w:rPr>
      </w:pPr>
      <w:r w:rsidRPr="00E62086">
        <w:rPr>
          <w:rFonts w:ascii="Times New Roman" w:hAnsi="Times New Roman" w:cs="Times New Roman"/>
          <w:i/>
          <w:sz w:val="24"/>
          <w:szCs w:val="24"/>
          <w:vertAlign w:val="superscript"/>
        </w:rPr>
        <w:t>3</w:t>
      </w:r>
      <w:r>
        <w:rPr>
          <w:rFonts w:ascii="Times New Roman" w:hAnsi="Times New Roman" w:cs="Times New Roman"/>
          <w:i/>
          <w:sz w:val="24"/>
          <w:szCs w:val="24"/>
        </w:rPr>
        <w:t>Health Research Institute and AMBER, University of Limerick, Ireland.</w:t>
      </w:r>
    </w:p>
    <w:p w14:paraId="2B797F34" w14:textId="77777777" w:rsidR="005F2DEC" w:rsidRPr="00571813" w:rsidRDefault="005F2DEC" w:rsidP="005F2DEC">
      <w:pPr>
        <w:rPr>
          <w:rFonts w:ascii="Times New Roman" w:hAnsi="Times New Roman" w:cs="Times New Roman"/>
          <w:sz w:val="24"/>
          <w:szCs w:val="24"/>
        </w:rPr>
      </w:pPr>
      <w:r>
        <w:rPr>
          <w:rFonts w:ascii="Times New Roman" w:hAnsi="Times New Roman" w:cs="Times New Roman"/>
          <w:sz w:val="24"/>
          <w:szCs w:val="24"/>
        </w:rPr>
        <w:t>*Corresponding Author: Sarah.Hudson@ul.ie</w:t>
      </w:r>
    </w:p>
    <w:p w14:paraId="6F11A7F5" w14:textId="77777777" w:rsidR="00C554B3" w:rsidRDefault="00C554B3"/>
    <w:p w14:paraId="13655971" w14:textId="77777777" w:rsidR="005F2DEC" w:rsidRDefault="005F2DEC">
      <w:pPr>
        <w:rPr>
          <w:rFonts w:ascii="Times New Roman" w:hAnsi="Times New Roman" w:cs="Times New Roman"/>
          <w:b/>
          <w:sz w:val="28"/>
          <w:szCs w:val="28"/>
        </w:rPr>
      </w:pPr>
      <w:r w:rsidRPr="005F2DEC">
        <w:rPr>
          <w:rFonts w:ascii="Times New Roman" w:hAnsi="Times New Roman" w:cs="Times New Roman"/>
          <w:b/>
          <w:sz w:val="28"/>
          <w:szCs w:val="28"/>
        </w:rPr>
        <w:t>Supplementary Information</w:t>
      </w:r>
    </w:p>
    <w:p w14:paraId="32250C35" w14:textId="77777777" w:rsidR="005F2DEC" w:rsidRDefault="005F2DEC">
      <w:pPr>
        <w:rPr>
          <w:rFonts w:ascii="Times New Roman" w:hAnsi="Times New Roman" w:cs="Times New Roman"/>
          <w:b/>
          <w:sz w:val="28"/>
          <w:szCs w:val="28"/>
        </w:rPr>
      </w:pPr>
      <w:r>
        <w:rPr>
          <w:rFonts w:ascii="Times New Roman" w:hAnsi="Times New Roman" w:cs="Times New Roman"/>
          <w:b/>
          <w:sz w:val="28"/>
          <w:szCs w:val="28"/>
        </w:rPr>
        <w:br w:type="page"/>
      </w:r>
    </w:p>
    <w:p w14:paraId="182CEE79" w14:textId="44836408" w:rsidR="0087001C" w:rsidRDefault="0087001C" w:rsidP="005F2DEC">
      <w:pPr>
        <w:spacing w:line="240" w:lineRule="auto"/>
        <w:rPr>
          <w:rFonts w:ascii="Times New Roman" w:hAnsi="Times New Roman" w:cs="Times New Roman"/>
          <w:b/>
        </w:rPr>
      </w:pPr>
      <w:r>
        <w:rPr>
          <w:rFonts w:ascii="Times New Roman" w:hAnsi="Times New Roman" w:cs="Times New Roman"/>
          <w:b/>
        </w:rPr>
        <w:lastRenderedPageBreak/>
        <w:t>S.1 Methods</w:t>
      </w:r>
    </w:p>
    <w:p w14:paraId="02B8E057" w14:textId="77777777" w:rsidR="0087001C" w:rsidRPr="00F64AD3" w:rsidRDefault="0087001C" w:rsidP="0087001C">
      <w:pPr>
        <w:rPr>
          <w:color w:val="000000" w:themeColor="text1"/>
        </w:rPr>
      </w:pPr>
      <w:r w:rsidRPr="00F64AD3">
        <w:rPr>
          <w:rFonts w:ascii="Times New Roman" w:hAnsi="Times New Roman" w:cs="Times New Roman"/>
          <w:b/>
          <w:color w:val="000000" w:themeColor="text1"/>
        </w:rPr>
        <w:t xml:space="preserve">S.1.1 </w:t>
      </w:r>
      <w:r w:rsidRPr="00F64AD3">
        <w:rPr>
          <w:rFonts w:ascii="Times New Roman" w:hAnsi="Times New Roman" w:cs="Times New Roman"/>
          <w:b/>
          <w:color w:val="000000" w:themeColor="text1"/>
          <w:vertAlign w:val="superscript"/>
        </w:rPr>
        <w:t>13</w:t>
      </w:r>
      <w:r w:rsidRPr="00F64AD3">
        <w:rPr>
          <w:rFonts w:ascii="Times New Roman" w:hAnsi="Times New Roman" w:cs="Times New Roman"/>
          <w:b/>
          <w:color w:val="000000" w:themeColor="text1"/>
        </w:rPr>
        <w:t>C CPMAS Spectrum of Alginate</w:t>
      </w:r>
    </w:p>
    <w:p w14:paraId="5E7AFEE6" w14:textId="08A64644" w:rsidR="0087001C" w:rsidRDefault="0087001C" w:rsidP="0087001C">
      <w:pPr>
        <w:spacing w:line="360" w:lineRule="auto"/>
        <w:jc w:val="both"/>
        <w:rPr>
          <w:rFonts w:ascii="Times New Roman" w:hAnsi="Times New Roman" w:cs="Times New Roman"/>
          <w:color w:val="000000" w:themeColor="text1"/>
        </w:rPr>
      </w:pPr>
      <w:r w:rsidRPr="00F64AD3">
        <w:rPr>
          <w:rFonts w:ascii="Times New Roman" w:hAnsi="Times New Roman" w:cs="Times New Roman"/>
          <w:color w:val="000000" w:themeColor="text1"/>
        </w:rPr>
        <w:t xml:space="preserve">A carbon-13 solid-state nuclear magnetic resonance (SSNMR) spectrum for alginate was acquired on a Bruker </w:t>
      </w:r>
      <w:proofErr w:type="spellStart"/>
      <w:r w:rsidRPr="00F64AD3">
        <w:rPr>
          <w:rFonts w:ascii="Times New Roman" w:hAnsi="Times New Roman" w:cs="Times New Roman"/>
          <w:color w:val="000000" w:themeColor="text1"/>
        </w:rPr>
        <w:t>Avance</w:t>
      </w:r>
      <w:proofErr w:type="spellEnd"/>
      <w:r w:rsidRPr="00F64AD3">
        <w:rPr>
          <w:rFonts w:ascii="Times New Roman" w:hAnsi="Times New Roman" w:cs="Times New Roman"/>
          <w:color w:val="000000" w:themeColor="text1"/>
        </w:rPr>
        <w:t xml:space="preserve"> III HD NMR spectrometer operating at B0 = 9.4 T, with corresponding </w:t>
      </w:r>
      <w:r w:rsidRPr="00F64AD3">
        <w:rPr>
          <w:rFonts w:ascii="Times New Roman" w:hAnsi="Times New Roman" w:cs="Times New Roman"/>
          <w:color w:val="000000" w:themeColor="text1"/>
          <w:vertAlign w:val="superscript"/>
        </w:rPr>
        <w:t>1</w:t>
      </w:r>
      <w:r w:rsidRPr="00F64AD3">
        <w:rPr>
          <w:rFonts w:ascii="Times New Roman" w:hAnsi="Times New Roman" w:cs="Times New Roman"/>
          <w:color w:val="000000" w:themeColor="text1"/>
        </w:rPr>
        <w:t xml:space="preserve">H and </w:t>
      </w:r>
      <w:r w:rsidRPr="00F64AD3">
        <w:rPr>
          <w:rFonts w:ascii="Times New Roman" w:hAnsi="Times New Roman" w:cs="Times New Roman"/>
          <w:color w:val="000000" w:themeColor="text1"/>
          <w:vertAlign w:val="superscript"/>
        </w:rPr>
        <w:t>13</w:t>
      </w:r>
      <w:r w:rsidRPr="00F64AD3">
        <w:rPr>
          <w:rFonts w:ascii="Times New Roman" w:hAnsi="Times New Roman" w:cs="Times New Roman"/>
          <w:color w:val="000000" w:themeColor="text1"/>
        </w:rPr>
        <w:t>C resonance frequencies of ν0(</w:t>
      </w:r>
      <w:r w:rsidRPr="00F64AD3">
        <w:rPr>
          <w:rFonts w:ascii="Times New Roman" w:hAnsi="Times New Roman" w:cs="Times New Roman"/>
          <w:color w:val="000000" w:themeColor="text1"/>
          <w:vertAlign w:val="superscript"/>
        </w:rPr>
        <w:t>1</w:t>
      </w:r>
      <w:r w:rsidRPr="00F64AD3">
        <w:rPr>
          <w:rFonts w:ascii="Times New Roman" w:hAnsi="Times New Roman" w:cs="Times New Roman"/>
          <w:color w:val="000000" w:themeColor="text1"/>
        </w:rPr>
        <w:t>H) = 400.1 MHz and ν0(</w:t>
      </w:r>
      <w:r w:rsidRPr="00F64AD3">
        <w:rPr>
          <w:rFonts w:ascii="Times New Roman" w:hAnsi="Times New Roman" w:cs="Times New Roman"/>
          <w:color w:val="000000" w:themeColor="text1"/>
          <w:vertAlign w:val="superscript"/>
        </w:rPr>
        <w:t>13</w:t>
      </w:r>
      <w:r w:rsidRPr="00F64AD3">
        <w:rPr>
          <w:rFonts w:ascii="Times New Roman" w:hAnsi="Times New Roman" w:cs="Times New Roman"/>
          <w:color w:val="000000" w:themeColor="text1"/>
        </w:rPr>
        <w:t xml:space="preserve">C) = 100.6 </w:t>
      </w:r>
      <w:proofErr w:type="spellStart"/>
      <w:r w:rsidRPr="00F64AD3">
        <w:rPr>
          <w:rFonts w:ascii="Times New Roman" w:hAnsi="Times New Roman" w:cs="Times New Roman"/>
          <w:color w:val="000000" w:themeColor="text1"/>
        </w:rPr>
        <w:t>MHz.</w:t>
      </w:r>
      <w:proofErr w:type="spellEnd"/>
      <w:r w:rsidRPr="00F64AD3">
        <w:rPr>
          <w:rFonts w:ascii="Times New Roman" w:hAnsi="Times New Roman" w:cs="Times New Roman"/>
          <w:color w:val="000000" w:themeColor="text1"/>
        </w:rPr>
        <w:t xml:space="preserve"> Alginate was packed into a 4 mm </w:t>
      </w:r>
      <w:proofErr w:type="spellStart"/>
      <w:r w:rsidRPr="00F64AD3">
        <w:rPr>
          <w:rFonts w:ascii="Times New Roman" w:hAnsi="Times New Roman" w:cs="Times New Roman"/>
          <w:color w:val="000000" w:themeColor="text1"/>
        </w:rPr>
        <w:t>o.d</w:t>
      </w:r>
      <w:proofErr w:type="spellEnd"/>
      <w:r w:rsidRPr="00F64AD3">
        <w:rPr>
          <w:rFonts w:ascii="Times New Roman" w:hAnsi="Times New Roman" w:cs="Times New Roman"/>
          <w:color w:val="000000" w:themeColor="text1"/>
        </w:rPr>
        <w:t xml:space="preserve">. zirconia rotor with </w:t>
      </w:r>
      <w:proofErr w:type="spellStart"/>
      <w:r w:rsidRPr="00F64AD3">
        <w:rPr>
          <w:rFonts w:ascii="Times New Roman" w:hAnsi="Times New Roman" w:cs="Times New Roman"/>
          <w:color w:val="000000" w:themeColor="text1"/>
        </w:rPr>
        <w:t>Kel</w:t>
      </w:r>
      <w:proofErr w:type="spellEnd"/>
      <w:r w:rsidRPr="00F64AD3">
        <w:rPr>
          <w:rFonts w:ascii="Times New Roman" w:hAnsi="Times New Roman" w:cs="Times New Roman"/>
          <w:color w:val="000000" w:themeColor="text1"/>
        </w:rPr>
        <w:t xml:space="preserve">-F caps under ambient atmosphere, and an experimental </w:t>
      </w:r>
      <w:r w:rsidRPr="00F64AD3">
        <w:rPr>
          <w:rFonts w:ascii="Times New Roman" w:hAnsi="Times New Roman" w:cs="Times New Roman"/>
          <w:color w:val="000000" w:themeColor="text1"/>
          <w:vertAlign w:val="superscript"/>
        </w:rPr>
        <w:t>13</w:t>
      </w:r>
      <w:r w:rsidRPr="00F64AD3">
        <w:rPr>
          <w:rFonts w:ascii="Times New Roman" w:hAnsi="Times New Roman" w:cs="Times New Roman"/>
          <w:color w:val="000000" w:themeColor="text1"/>
        </w:rPr>
        <w:t xml:space="preserve">C NMR spectrum was acquired at natural abundance using a 4 mm triple channel (H/X/Y) Bruker MAS probe operating in double resonance mode. The magic angle was optimized using a rotor packed with </w:t>
      </w:r>
      <w:proofErr w:type="spellStart"/>
      <w:r w:rsidRPr="00F64AD3">
        <w:rPr>
          <w:rFonts w:ascii="Times New Roman" w:hAnsi="Times New Roman" w:cs="Times New Roman"/>
          <w:color w:val="000000" w:themeColor="text1"/>
        </w:rPr>
        <w:t>KBr</w:t>
      </w:r>
      <w:proofErr w:type="spellEnd"/>
      <w:r w:rsidRPr="00F64AD3">
        <w:rPr>
          <w:rFonts w:ascii="Times New Roman" w:hAnsi="Times New Roman" w:cs="Times New Roman"/>
          <w:color w:val="000000" w:themeColor="text1"/>
        </w:rPr>
        <w:t xml:space="preserve"> and spun at 5 kHz. NMR spectra were referenced to TMS at </w:t>
      </w:r>
      <w:proofErr w:type="spellStart"/>
      <w:r w:rsidRPr="00F64AD3">
        <w:rPr>
          <w:rFonts w:ascii="Times New Roman" w:hAnsi="Times New Roman" w:cs="Times New Roman"/>
          <w:color w:val="000000" w:themeColor="text1"/>
        </w:rPr>
        <w:t>δiso</w:t>
      </w:r>
      <w:proofErr w:type="spellEnd"/>
      <w:r w:rsidRPr="00F64AD3">
        <w:rPr>
          <w:rFonts w:ascii="Times New Roman" w:hAnsi="Times New Roman" w:cs="Times New Roman"/>
          <w:color w:val="000000" w:themeColor="text1"/>
        </w:rPr>
        <w:t xml:space="preserve"> = 0 ppm by setting the high frequency </w:t>
      </w:r>
      <w:r w:rsidRPr="00F64AD3">
        <w:rPr>
          <w:rFonts w:ascii="Times New Roman" w:hAnsi="Times New Roman" w:cs="Times New Roman"/>
          <w:color w:val="000000" w:themeColor="text1"/>
          <w:vertAlign w:val="superscript"/>
        </w:rPr>
        <w:t>13</w:t>
      </w:r>
      <w:r w:rsidRPr="00F64AD3">
        <w:rPr>
          <w:rFonts w:ascii="Times New Roman" w:hAnsi="Times New Roman" w:cs="Times New Roman"/>
          <w:color w:val="000000" w:themeColor="text1"/>
        </w:rPr>
        <w:t xml:space="preserve">C resonance in adamantane to 38.48 ppm. The </w:t>
      </w:r>
      <w:r w:rsidRPr="00F64AD3">
        <w:rPr>
          <w:rFonts w:ascii="Times New Roman" w:hAnsi="Times New Roman" w:cs="Times New Roman"/>
          <w:color w:val="000000" w:themeColor="text1"/>
          <w:vertAlign w:val="superscript"/>
        </w:rPr>
        <w:t>13</w:t>
      </w:r>
      <w:r w:rsidRPr="00F64AD3">
        <w:rPr>
          <w:rFonts w:ascii="Times New Roman" w:hAnsi="Times New Roman" w:cs="Times New Roman"/>
          <w:color w:val="000000" w:themeColor="text1"/>
        </w:rPr>
        <w:t xml:space="preserve">C CPMAS NMR spectrum was acquired in a single spectral window using the cross-polarization pulse sequence, with a magic-angle spinning (MAS) rotor frequency of 10 kHz, a </w:t>
      </w:r>
      <w:r w:rsidRPr="00F64AD3">
        <w:rPr>
          <w:rFonts w:ascii="Times New Roman" w:hAnsi="Times New Roman" w:cs="Times New Roman"/>
          <w:color w:val="000000" w:themeColor="text1"/>
          <w:vertAlign w:val="superscript"/>
        </w:rPr>
        <w:t>1</w:t>
      </w:r>
      <w:r w:rsidRPr="00F64AD3">
        <w:rPr>
          <w:rFonts w:ascii="Times New Roman" w:hAnsi="Times New Roman" w:cs="Times New Roman"/>
          <w:color w:val="000000" w:themeColor="text1"/>
        </w:rPr>
        <w:t xml:space="preserve">H90° pulse width of 2.5 </w:t>
      </w:r>
      <w:proofErr w:type="spellStart"/>
      <w:r w:rsidRPr="00F64AD3">
        <w:rPr>
          <w:rFonts w:ascii="Times New Roman" w:hAnsi="Times New Roman" w:cs="Times New Roman"/>
          <w:color w:val="000000" w:themeColor="text1"/>
        </w:rPr>
        <w:t>μs</w:t>
      </w:r>
      <w:proofErr w:type="spellEnd"/>
      <w:r w:rsidRPr="00F64AD3">
        <w:rPr>
          <w:rFonts w:ascii="Times New Roman" w:hAnsi="Times New Roman" w:cs="Times New Roman"/>
          <w:color w:val="000000" w:themeColor="text1"/>
        </w:rPr>
        <w:t xml:space="preserve">, and 50 kHz </w:t>
      </w:r>
      <w:r w:rsidRPr="00F64AD3">
        <w:rPr>
          <w:rFonts w:ascii="Times New Roman" w:hAnsi="Times New Roman" w:cs="Times New Roman"/>
          <w:color w:val="000000" w:themeColor="text1"/>
          <w:vertAlign w:val="superscript"/>
        </w:rPr>
        <w:t>1</w:t>
      </w:r>
      <w:r w:rsidRPr="00F64AD3">
        <w:rPr>
          <w:rFonts w:ascii="Times New Roman" w:hAnsi="Times New Roman" w:cs="Times New Roman"/>
          <w:color w:val="000000" w:themeColor="text1"/>
        </w:rPr>
        <w:t xml:space="preserve">H decoupling during acquisition. Proton decoupling was carried out with the SPINAL6466 decoupling sequence at 100%. </w:t>
      </w:r>
      <w:r w:rsidRPr="00F64AD3">
        <w:rPr>
          <w:rFonts w:ascii="Times New Roman" w:hAnsi="Times New Roman" w:cs="Times New Roman"/>
          <w:color w:val="000000" w:themeColor="text1"/>
          <w:vertAlign w:val="superscript"/>
        </w:rPr>
        <w:t>13</w:t>
      </w:r>
      <w:r w:rsidRPr="00F64AD3">
        <w:rPr>
          <w:rFonts w:ascii="Times New Roman" w:hAnsi="Times New Roman" w:cs="Times New Roman"/>
          <w:color w:val="000000" w:themeColor="text1"/>
        </w:rPr>
        <w:t xml:space="preserve">C CPMAS spectra were collected using contact time of 2 </w:t>
      </w:r>
      <w:proofErr w:type="spellStart"/>
      <w:r w:rsidRPr="00F64AD3">
        <w:rPr>
          <w:rFonts w:ascii="Times New Roman" w:hAnsi="Times New Roman" w:cs="Times New Roman"/>
          <w:color w:val="000000" w:themeColor="text1"/>
        </w:rPr>
        <w:t>ms</w:t>
      </w:r>
      <w:proofErr w:type="spellEnd"/>
      <w:r w:rsidRPr="00F64AD3">
        <w:rPr>
          <w:rFonts w:ascii="Times New Roman" w:hAnsi="Times New Roman" w:cs="Times New Roman"/>
          <w:color w:val="000000" w:themeColor="text1"/>
        </w:rPr>
        <w:t xml:space="preserve"> and relaxation delay of 2 s, with 1024 scans collected, as per the recommended method by </w:t>
      </w:r>
      <w:proofErr w:type="spellStart"/>
      <w:r w:rsidRPr="00F64AD3">
        <w:rPr>
          <w:rFonts w:ascii="Times New Roman" w:hAnsi="Times New Roman" w:cs="Times New Roman"/>
          <w:color w:val="000000" w:themeColor="text1"/>
        </w:rPr>
        <w:t>Salomonsen</w:t>
      </w:r>
      <w:proofErr w:type="spellEnd"/>
      <w:r w:rsidRPr="00F64AD3">
        <w:rPr>
          <w:rFonts w:ascii="Times New Roman" w:hAnsi="Times New Roman" w:cs="Times New Roman"/>
          <w:color w:val="000000" w:themeColor="text1"/>
        </w:rPr>
        <w:t xml:space="preserve"> et al </w:t>
      </w:r>
      <w:r w:rsidRPr="00F64AD3">
        <w:rPr>
          <w:rFonts w:ascii="Times New Roman" w:hAnsi="Times New Roman" w:cs="Times New Roman"/>
          <w:color w:val="000000" w:themeColor="text1"/>
        </w:rPr>
        <w:fldChar w:fldCharType="begin"/>
      </w:r>
      <w:r w:rsidRPr="00F64AD3">
        <w:rPr>
          <w:rFonts w:ascii="Times New Roman" w:hAnsi="Times New Roman" w:cs="Times New Roman"/>
          <w:color w:val="000000" w:themeColor="text1"/>
        </w:rPr>
        <w:instrText xml:space="preserve"> ADDIN EN.CITE &lt;EndNote&gt;&lt;Cite&gt;&lt;Author&gt;Salomonsen&lt;/Author&gt;&lt;Year&gt;2009&lt;/Year&gt;&lt;RecNum&gt;2065&lt;/RecNum&gt;&lt;DisplayText&gt;[1]&lt;/DisplayText&gt;&lt;record&gt;&lt;rec-number&gt;2065&lt;/rec-number&gt;&lt;foreign-keys&gt;&lt;key app="EN" db-id="tvaxz09zld2sr6eswrtpd2t795twdppdtzsp" timestamp="1637675606" guid="68d400e7-6c44-4e7d-b041-d555ce3f50cb"&gt;2065&lt;/key&gt;&lt;/foreign-keys&gt;&lt;ref-type name="Journal Article"&gt;17&lt;/ref-type&gt;&lt;contributors&gt;&lt;authors&gt;&lt;author&gt;Salomonsen, T.&lt;/author&gt;&lt;author&gt;Jensen, H. M.&lt;/author&gt;&lt;author&gt;Larsen, F. H.&lt;/author&gt;&lt;author&gt;Steuernagel, S.&lt;/author&gt;&lt;author&gt;Engelsen, S. B.&lt;/author&gt;&lt;/authors&gt;&lt;/contributors&gt;&lt;auth-address&gt;University of Copenhagen, Department of Food Science, Quality &amp;amp; Technology, Frederiksberg C, Denmark. tisa@life.ku.dk&lt;/auth-address&gt;&lt;titles&gt;&lt;title&gt;Direct quantification of M/G ratio from (13)C CP-MAS NMR spectra of alginate powders by multivariate curve resolution&lt;/title&gt;&lt;secondary-title&gt;Carbohydr Res&lt;/secondary-title&gt;&lt;/titles&gt;&lt;periodical&gt;&lt;full-title&gt;Carbohydr Res&lt;/full-title&gt;&lt;/periodical&gt;&lt;pages&gt;2014-22&lt;/pages&gt;&lt;volume&gt;344&lt;/volume&gt;&lt;number&gt;15&lt;/number&gt;&lt;edition&gt;2009/07/22&lt;/edition&gt;&lt;keywords&gt;&lt;keyword&gt;Alginates/chemistry&lt;/keyword&gt;&lt;keyword&gt;Glucuronic Acid/chemistry&lt;/keyword&gt;&lt;keyword&gt;Hexuronic Acids/chemistry&lt;/keyword&gt;&lt;keyword&gt;Magnetic Resonance Spectroscopy/*methods&lt;/keyword&gt;&lt;keyword&gt;Molecular Structure&lt;/keyword&gt;&lt;/keywords&gt;&lt;dates&gt;&lt;year&gt;2009&lt;/year&gt;&lt;pub-dates&gt;&lt;date&gt;Oct 12&lt;/date&gt;&lt;/pub-dates&gt;&lt;/dates&gt;&lt;isbn&gt;0008-6215&lt;/isbn&gt;&lt;accession-num&gt;19619871&lt;/accession-num&gt;&lt;urls&gt;&lt;/urls&gt;&lt;electronic-resource-num&gt;10.1016/j.carres.2009.06.025&lt;/electronic-resource-num&gt;&lt;remote-database-provider&gt;NLM&lt;/remote-database-provider&gt;&lt;language&gt;eng&lt;/language&gt;&lt;/record&gt;&lt;/Cite&gt;&lt;/EndNote&gt;</w:instrText>
      </w:r>
      <w:r w:rsidRPr="00F64AD3">
        <w:rPr>
          <w:rFonts w:ascii="Times New Roman" w:hAnsi="Times New Roman" w:cs="Times New Roman"/>
          <w:color w:val="000000" w:themeColor="text1"/>
        </w:rPr>
        <w:fldChar w:fldCharType="separate"/>
      </w:r>
      <w:r w:rsidRPr="00F64AD3">
        <w:rPr>
          <w:rFonts w:ascii="Times New Roman" w:hAnsi="Times New Roman" w:cs="Times New Roman"/>
          <w:noProof/>
          <w:color w:val="000000" w:themeColor="text1"/>
        </w:rPr>
        <w:t>[1]</w:t>
      </w:r>
      <w:r w:rsidRPr="00F64AD3">
        <w:rPr>
          <w:rFonts w:ascii="Times New Roman" w:hAnsi="Times New Roman" w:cs="Times New Roman"/>
          <w:color w:val="000000" w:themeColor="text1"/>
        </w:rPr>
        <w:fldChar w:fldCharType="end"/>
      </w:r>
      <w:r w:rsidRPr="00F64AD3">
        <w:rPr>
          <w:rFonts w:ascii="Times New Roman" w:hAnsi="Times New Roman" w:cs="Times New Roman"/>
          <w:color w:val="000000" w:themeColor="text1"/>
        </w:rPr>
        <w:t>.</w:t>
      </w:r>
    </w:p>
    <w:p w14:paraId="6DE24A3C" w14:textId="456E8754" w:rsidR="008461F6" w:rsidRPr="008461F6" w:rsidRDefault="008461F6" w:rsidP="0087001C">
      <w:pPr>
        <w:spacing w:line="360" w:lineRule="auto"/>
        <w:jc w:val="both"/>
        <w:rPr>
          <w:rFonts w:ascii="Times New Roman" w:hAnsi="Times New Roman" w:cs="Times New Roman"/>
          <w:b/>
          <w:i/>
          <w:color w:val="000000" w:themeColor="text1"/>
        </w:rPr>
      </w:pPr>
      <w:r w:rsidRPr="008461F6">
        <w:rPr>
          <w:rFonts w:ascii="Times New Roman" w:hAnsi="Times New Roman" w:cs="Times New Roman"/>
          <w:b/>
          <w:color w:val="000000" w:themeColor="text1"/>
        </w:rPr>
        <w:t xml:space="preserve">S.1.2 Antimicrobial Activity of Nisin and </w:t>
      </w:r>
      <w:r w:rsidRPr="008461F6">
        <w:rPr>
          <w:rFonts w:ascii="Times New Roman" w:hAnsi="Times New Roman" w:cs="Times New Roman"/>
          <w:b/>
          <w:i/>
          <w:color w:val="000000" w:themeColor="text1"/>
        </w:rPr>
        <w:t>Staphylococcus aureus</w:t>
      </w:r>
    </w:p>
    <w:p w14:paraId="7F6CFC7D" w14:textId="0699DAF4" w:rsidR="008461F6" w:rsidRDefault="008461F6" w:rsidP="008461F6">
      <w:pPr>
        <w:widowControl w:val="0"/>
        <w:autoSpaceDE w:val="0"/>
        <w:autoSpaceDN w:val="0"/>
        <w:spacing w:before="28" w:line="360" w:lineRule="auto"/>
        <w:ind w:right="38"/>
        <w:rPr>
          <w:rFonts w:ascii="Times New Roman" w:hAnsi="Times New Roman" w:cs="Times New Roman"/>
          <w:sz w:val="24"/>
        </w:rPr>
      </w:pPr>
      <w:r>
        <w:rPr>
          <w:rFonts w:ascii="Times New Roman" w:hAnsi="Times New Roman" w:cs="Times New Roman"/>
          <w:sz w:val="24"/>
        </w:rPr>
        <w:t xml:space="preserve">The inhibitory activity of varying concentrations of nisin against </w:t>
      </w:r>
      <w:r>
        <w:rPr>
          <w:rFonts w:ascii="Times New Roman" w:hAnsi="Times New Roman" w:cs="Times New Roman"/>
          <w:i/>
          <w:sz w:val="24"/>
        </w:rPr>
        <w:t xml:space="preserve">S. aureus </w:t>
      </w:r>
      <w:r>
        <w:rPr>
          <w:rFonts w:ascii="Times New Roman" w:hAnsi="Times New Roman" w:cs="Times New Roman"/>
          <w:sz w:val="24"/>
        </w:rPr>
        <w:t xml:space="preserve">(DSM 20231) was determined by preparing a stock nisin solution of 1 mg/ml in KCl/HCl (pH 2). A series of nisin concentrations of 10 µg/ml to 30 µg/ml were diluted in PBS and incubated with a culture of </w:t>
      </w:r>
      <w:r>
        <w:rPr>
          <w:rFonts w:ascii="Times New Roman" w:hAnsi="Times New Roman" w:cs="Times New Roman"/>
          <w:i/>
          <w:sz w:val="24"/>
        </w:rPr>
        <w:t xml:space="preserve">S. aureus </w:t>
      </w:r>
      <w:r>
        <w:rPr>
          <w:rFonts w:ascii="Times New Roman" w:hAnsi="Times New Roman" w:cs="Times New Roman"/>
          <w:sz w:val="24"/>
        </w:rPr>
        <w:t>in BHI broth diluted to an optical density (OD</w:t>
      </w:r>
      <w:r w:rsidRPr="006F1310">
        <w:rPr>
          <w:rFonts w:ascii="Times New Roman" w:hAnsi="Times New Roman" w:cs="Times New Roman"/>
          <w:sz w:val="24"/>
          <w:vertAlign w:val="subscript"/>
        </w:rPr>
        <w:t>595nm</w:t>
      </w:r>
      <w:r>
        <w:rPr>
          <w:rFonts w:ascii="Times New Roman" w:hAnsi="Times New Roman" w:cs="Times New Roman"/>
          <w:sz w:val="24"/>
        </w:rPr>
        <w:t xml:space="preserve">) of 0.1, at a ratio of 1:3 (1 part PBS with or without nisin, to three parts culture). Controls of </w:t>
      </w:r>
      <w:r>
        <w:rPr>
          <w:rFonts w:ascii="Times New Roman" w:hAnsi="Times New Roman" w:cs="Times New Roman"/>
          <w:i/>
          <w:sz w:val="24"/>
        </w:rPr>
        <w:t xml:space="preserve">S. aureus </w:t>
      </w:r>
      <w:r>
        <w:rPr>
          <w:rFonts w:ascii="Times New Roman" w:hAnsi="Times New Roman" w:cs="Times New Roman"/>
          <w:sz w:val="24"/>
        </w:rPr>
        <w:t>without nisin were run simultaneously. The activity was determined by calculating the log number of colony forming units (per ml) after nisin exposure and subtracting from the log CFU/ml of the control (</w:t>
      </w:r>
      <w:r w:rsidRPr="00BD7EF9">
        <w:rPr>
          <w:rFonts w:ascii="Times New Roman" w:hAnsi="Times New Roman" w:cs="Times New Roman"/>
          <w:i/>
          <w:sz w:val="24"/>
        </w:rPr>
        <w:t>S. aureus</w:t>
      </w:r>
      <w:r>
        <w:rPr>
          <w:rFonts w:ascii="Times New Roman" w:hAnsi="Times New Roman" w:cs="Times New Roman"/>
          <w:sz w:val="24"/>
        </w:rPr>
        <w:t xml:space="preserve"> and PBS).</w:t>
      </w:r>
    </w:p>
    <w:p w14:paraId="577181A7" w14:textId="79BFC80F" w:rsidR="004C0166" w:rsidRPr="004C0166" w:rsidRDefault="004C0166" w:rsidP="008461F6">
      <w:pPr>
        <w:widowControl w:val="0"/>
        <w:autoSpaceDE w:val="0"/>
        <w:autoSpaceDN w:val="0"/>
        <w:spacing w:before="28" w:line="360" w:lineRule="auto"/>
        <w:ind w:right="38"/>
        <w:rPr>
          <w:rFonts w:ascii="Times New Roman" w:hAnsi="Times New Roman" w:cs="Times New Roman"/>
          <w:b/>
        </w:rPr>
      </w:pPr>
      <w:r w:rsidRPr="004C0166">
        <w:rPr>
          <w:rFonts w:ascii="Times New Roman" w:hAnsi="Times New Roman" w:cs="Times New Roman"/>
          <w:b/>
        </w:rPr>
        <w:t>S1.3 Modelling of Calculated Release Data</w:t>
      </w:r>
    </w:p>
    <w:p w14:paraId="1A1D3C9E" w14:textId="140294AB" w:rsidR="004C0166" w:rsidRPr="001D655E" w:rsidRDefault="004C0166" w:rsidP="004C0166">
      <w:pPr>
        <w:spacing w:line="360" w:lineRule="auto"/>
        <w:rPr>
          <w:rFonts w:ascii="Times New Roman" w:hAnsi="Times New Roman" w:cs="Times New Roman"/>
          <w:sz w:val="24"/>
        </w:rPr>
      </w:pPr>
      <w:r>
        <w:rPr>
          <w:rFonts w:ascii="Times New Roman" w:hAnsi="Times New Roman" w:cs="Times New Roman"/>
          <w:sz w:val="24"/>
        </w:rPr>
        <w:t>The calculated r</w:t>
      </w:r>
      <w:r w:rsidRPr="001D655E">
        <w:rPr>
          <w:rFonts w:ascii="Times New Roman" w:hAnsi="Times New Roman" w:cs="Times New Roman"/>
          <w:sz w:val="24"/>
        </w:rPr>
        <w:t>elease data was fitted to the Korsmeyer-Peppas</w:t>
      </w:r>
      <w:r>
        <w:rPr>
          <w:rFonts w:ascii="Times New Roman" w:hAnsi="Times New Roman" w:cs="Times New Roman"/>
          <w:sz w:val="24"/>
        </w:rPr>
        <w:t xml:space="preserve"> </w:t>
      </w:r>
      <w:r>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&lt;EndNote&gt;&lt;Cite&gt;&lt;Author&gt;Bruschi&lt;/Author&gt;&lt;Year&gt;2015&lt;/Year&gt;&lt;RecNum&gt;1945&lt;/RecNum&gt;&lt;DisplayText&gt;(Bruschi, 2015)&lt;/DisplayText&gt;&lt;record&gt;&lt;rec-number&gt;1945&lt;/rec-number&gt;&lt;foreign-keys&gt;&lt;key app="EN" db-id="tvaxz09zld2sr6eswrtpd2t795twdppdtzsp" timestamp="1617460700" guid="2968fc62-72cc-4350-a5a3-85596bc2c79b"&gt;1945&lt;/key&gt;&lt;/foreign-keys&gt;&lt;ref-type name="Book Section"&gt;5&lt;/ref-type&gt;&lt;contributors&gt;&lt;authors&gt;&lt;author&gt;Bruschi, Marcos Luciano&lt;/author&gt;&lt;/authors&gt;&lt;/contributors&gt;&lt;titles&gt;&lt;title&gt;5 - Mathematical models of drug release&lt;/title&gt;&lt;secondary-title&gt;Strategies to Modify the Drug Release from Pharmaceutical Systems&lt;/secondary-title&gt;&lt;/titles&gt;&lt;pages&gt;63-86&lt;/pages&gt;&lt;keywords&gt;&lt;keyword&gt;Mathematical models&lt;/keyword&gt;&lt;keyword&gt;Drug release kinetics&lt;/keyword&gt;&lt;keyword&gt;Zero order&lt;/keyword&gt;&lt;keyword&gt;First order&lt;/keyword&gt;&lt;keyword&gt;Higuchi&lt;/keyword&gt;&lt;keyword&gt;Hixson–Crowell&lt;/keyword&gt;&lt;keyword&gt;Ritger–Peppas&lt;/keyword&gt;&lt;keyword&gt;Kormeyer–Peppas&lt;/keyword&gt;&lt;keyword&gt;Power law&lt;/keyword&gt;&lt;keyword&gt;Brazel–Peppas&lt;/keyword&gt;&lt;keyword&gt;Baker–Lonsdale&lt;/keyword&gt;&lt;keyword&gt;Hopfenberg&lt;/keyword&gt;&lt;keyword&gt;Weibull&lt;/keyword&gt;&lt;keyword&gt;Peppas–Sahlin.&lt;/keyword&gt;&lt;/keywords&gt;&lt;dates&gt;&lt;year&gt;2015&lt;/year&gt;&lt;pub-dates&gt;&lt;date&gt;2015/01/01/&lt;/date&gt;&lt;/pub-dates&gt;&lt;/dates&gt;&lt;publisher&gt;Woodhead Publishing&lt;/publisher&gt;&lt;isbn&gt;978-0-08-100092-2&lt;/isbn&gt;&lt;urls&gt;&lt;related-urls&gt;&lt;url&gt;https://www.sciencedirect.com/science/article/pii/B9780081000922000059&lt;/url&gt;&lt;/related-urls&gt;&lt;/urls&gt;&lt;electronic-resource-num&gt;https://doi.org/10.1016/B978-0-08-100092-2.00005-9&lt;/electronic-resource-num&gt;&lt;/record&gt;&lt;/Cite&gt;&lt;/EndNote&gt;</w:instrText>
      </w:r>
      <w:r>
        <w:rPr>
          <w:rFonts w:ascii="Times New Roman" w:hAnsi="Times New Roman" w:cs="Times New Roman"/>
          <w:sz w:val="24"/>
        </w:rPr>
        <w:fldChar w:fldCharType="separate"/>
      </w:r>
      <w:r>
        <w:rPr>
          <w:rFonts w:ascii="Times New Roman" w:hAnsi="Times New Roman" w:cs="Times New Roman"/>
          <w:noProof/>
          <w:sz w:val="24"/>
        </w:rPr>
        <w:t>(Bruschi, 2015)</w:t>
      </w:r>
      <w:r>
        <w:rPr>
          <w:rFonts w:ascii="Times New Roman" w:hAnsi="Times New Roman" w:cs="Times New Roman"/>
          <w:sz w:val="24"/>
        </w:rPr>
        <w:fldChar w:fldCharType="end"/>
      </w:r>
      <w:r w:rsidRPr="001D655E">
        <w:rPr>
          <w:rFonts w:ascii="Times New Roman" w:hAnsi="Times New Roman" w:cs="Times New Roman"/>
          <w:sz w:val="24"/>
        </w:rPr>
        <w:t xml:space="preserve"> model to determine the mode of release and the release kinetic constants for </w:t>
      </w:r>
      <w:r>
        <w:rPr>
          <w:rFonts w:ascii="Times New Roman" w:hAnsi="Times New Roman" w:cs="Times New Roman"/>
          <w:sz w:val="24"/>
        </w:rPr>
        <w:t>each</w:t>
      </w:r>
      <w:r w:rsidRPr="001D655E">
        <w:rPr>
          <w:rFonts w:ascii="Times New Roman" w:hAnsi="Times New Roman" w:cs="Times New Roman"/>
          <w:sz w:val="24"/>
        </w:rPr>
        <w:t xml:space="preserve"> gel, whereby n represents the diffusion </w:t>
      </w:r>
      <w:r>
        <w:rPr>
          <w:rFonts w:ascii="Times New Roman" w:hAnsi="Times New Roman" w:cs="Times New Roman"/>
          <w:sz w:val="24"/>
        </w:rPr>
        <w:t>exponent</w:t>
      </w:r>
      <w:r w:rsidRPr="001D655E">
        <w:rPr>
          <w:rFonts w:ascii="Times New Roman" w:hAnsi="Times New Roman" w:cs="Times New Roman"/>
          <w:sz w:val="24"/>
        </w:rPr>
        <w:t xml:space="preserve"> and K is the kinetics constant in </w:t>
      </w:r>
      <w:r>
        <w:rPr>
          <w:rFonts w:ascii="Times New Roman" w:hAnsi="Times New Roman" w:cs="Times New Roman"/>
          <w:b/>
          <w:sz w:val="24"/>
        </w:rPr>
        <w:t>Eq. 1</w:t>
      </w:r>
      <w:r w:rsidRPr="001D655E">
        <w:rPr>
          <w:rFonts w:ascii="Times New Roman" w:hAnsi="Times New Roman" w:cs="Times New Roman"/>
          <w:b/>
          <w:sz w:val="24"/>
        </w:rPr>
        <w:t xml:space="preserve"> </w:t>
      </w:r>
      <w:r w:rsidRPr="001D655E">
        <w:rPr>
          <w:rFonts w:ascii="Times New Roman" w:hAnsi="Times New Roman" w:cs="Times New Roman"/>
          <w:sz w:val="24"/>
        </w:rPr>
        <w:t>below. Mathematical analysis was carried out using Microsoft Excel (Microsoft Office Professional Plus, V16), sum of squared differences (SSD) w</w:t>
      </w:r>
      <w:r>
        <w:rPr>
          <w:rFonts w:ascii="Times New Roman" w:hAnsi="Times New Roman" w:cs="Times New Roman"/>
          <w:sz w:val="24"/>
        </w:rPr>
        <w:t>ere</w:t>
      </w:r>
      <w:r w:rsidRPr="001D655E">
        <w:rPr>
          <w:rFonts w:ascii="Times New Roman" w:hAnsi="Times New Roman" w:cs="Times New Roman"/>
          <w:sz w:val="24"/>
        </w:rPr>
        <w:t xml:space="preserve"> minimi</w:t>
      </w:r>
      <w:r>
        <w:rPr>
          <w:rFonts w:ascii="Times New Roman" w:hAnsi="Times New Roman" w:cs="Times New Roman"/>
          <w:sz w:val="24"/>
        </w:rPr>
        <w:t>s</w:t>
      </w:r>
      <w:r w:rsidRPr="001D655E">
        <w:rPr>
          <w:rFonts w:ascii="Times New Roman" w:hAnsi="Times New Roman" w:cs="Times New Roman"/>
          <w:sz w:val="24"/>
        </w:rPr>
        <w:t xml:space="preserve">ed, with constraints on the K and n constants (K and n </w:t>
      </w:r>
      <w:r w:rsidRPr="001D655E">
        <w:rPr>
          <w:rFonts w:ascii="Times New Roman" w:hAnsi="Times New Roman" w:cs="Times New Roman"/>
          <w:sz w:val="24"/>
          <w:u w:val="single"/>
        </w:rPr>
        <w:t>&gt;</w:t>
      </w:r>
      <w:r w:rsidRPr="001D655E">
        <w:rPr>
          <w:rFonts w:ascii="Times New Roman" w:hAnsi="Times New Roman" w:cs="Times New Roman"/>
          <w:sz w:val="24"/>
        </w:rPr>
        <w:t xml:space="preserve"> 0), using the ‘Solver’ Excel add in. </w:t>
      </w:r>
      <w:r>
        <w:rPr>
          <w:rFonts w:ascii="Times New Roman" w:hAnsi="Times New Roman" w:cs="Times New Roman"/>
          <w:sz w:val="24"/>
        </w:rPr>
        <w:t>T</w:t>
      </w:r>
      <w:r w:rsidRPr="001D655E">
        <w:rPr>
          <w:rFonts w:ascii="Times New Roman" w:hAnsi="Times New Roman" w:cs="Times New Roman"/>
          <w:sz w:val="24"/>
        </w:rPr>
        <w:t>he subsequent correlation of the data and fit was determined using the correlation function in the ‘Analysis’ Excel add in.</w:t>
      </w:r>
    </w:p>
    <w:p w14:paraId="6EAB3B55" w14:textId="521CFC49" w:rsidR="004C0166" w:rsidRDefault="004C0166" w:rsidP="004C0166">
      <w:pPr>
        <w:spacing w:before="240" w:after="240" w:line="360" w:lineRule="auto"/>
        <w:rPr>
          <w:rFonts w:ascii="Times New Roman" w:hAnsi="Times New Roman" w:cs="Times New Roman"/>
          <w:sz w:val="24"/>
        </w:rPr>
      </w:pPr>
      <m:oMath>
        <m:r>
          <w:rPr>
            <w:rFonts w:ascii="Cambria Math" w:hAnsi="Cambria Math"/>
            <w:sz w:val="24"/>
          </w:rPr>
          <w:lastRenderedPageBreak/>
          <m:t xml:space="preserve">F= </m:t>
        </m:r>
        <m:f>
          <m:fPr>
            <m:ctrlPr>
              <w:rPr>
                <w:rFonts w:ascii="Cambria Math" w:hAnsi="Cambria Math"/>
                <w:i/>
                <w:sz w:val="24"/>
              </w:rPr>
            </m:ctrlPr>
          </m:fPr>
          <m:num>
            <m:sSub>
              <m:sSubPr>
                <m:ctrlPr>
                  <w:rPr>
                    <w:rFonts w:ascii="Cambria Math" w:hAnsi="Cambria Math"/>
                    <w:i/>
                    <w:sz w:val="24"/>
                  </w:rPr>
                </m:ctrlPr>
              </m:sSubPr>
              <m:e>
                <m:r>
                  <w:rPr>
                    <w:rFonts w:ascii="Cambria Math" w:hAnsi="Cambria Math"/>
                    <w:sz w:val="24"/>
                  </w:rPr>
                  <m:t>M</m:t>
                </m:r>
              </m:e>
              <m:sub>
                <m:r>
                  <w:rPr>
                    <w:rFonts w:ascii="Cambria Math" w:hAnsi="Cambria Math"/>
                    <w:sz w:val="24"/>
                  </w:rPr>
                  <m:t>∞</m:t>
                </m:r>
              </m:sub>
            </m:sSub>
          </m:num>
          <m:den>
            <m:sSub>
              <m:sSubPr>
                <m:ctrlPr>
                  <w:rPr>
                    <w:rFonts w:ascii="Cambria Math" w:hAnsi="Cambria Math"/>
                    <w:i/>
                    <w:sz w:val="24"/>
                  </w:rPr>
                </m:ctrlPr>
              </m:sSubPr>
              <m:e>
                <m:r>
                  <w:rPr>
                    <w:rFonts w:ascii="Cambria Math" w:hAnsi="Cambria Math"/>
                    <w:sz w:val="24"/>
                  </w:rPr>
                  <m:t>M</m:t>
                </m:r>
              </m:e>
              <m:sub>
                <m:r>
                  <w:rPr>
                    <w:rFonts w:ascii="Cambria Math" w:hAnsi="Cambria Math"/>
                    <w:sz w:val="24"/>
                  </w:rPr>
                  <m:t>t</m:t>
                </m:r>
              </m:sub>
            </m:sSub>
          </m:den>
        </m:f>
        <m:r>
          <w:rPr>
            <w:rFonts w:ascii="Cambria Math" w:hAnsi="Cambria Math"/>
            <w:sz w:val="24"/>
          </w:rPr>
          <m:t xml:space="preserve">= </m:t>
        </m:r>
        <m:sSub>
          <m:sSubPr>
            <m:ctrlPr>
              <w:rPr>
                <w:rFonts w:ascii="Cambria Math" w:hAnsi="Cambria Math"/>
                <w:i/>
                <w:sz w:val="24"/>
              </w:rPr>
            </m:ctrlPr>
          </m:sSubPr>
          <m:e>
            <m:r>
              <w:rPr>
                <w:rFonts w:ascii="Cambria Math" w:hAnsi="Cambria Math"/>
                <w:sz w:val="24"/>
              </w:rPr>
              <m:t>K</m:t>
            </m:r>
          </m:e>
          <m:sub>
            <m:r>
              <w:rPr>
                <w:rFonts w:ascii="Cambria Math" w:hAnsi="Cambria Math"/>
                <w:sz w:val="24"/>
              </w:rPr>
              <m:t>m</m:t>
            </m:r>
          </m:sub>
        </m:sSub>
        <m:sSup>
          <m:sSupPr>
            <m:ctrlPr>
              <w:rPr>
                <w:rFonts w:ascii="Cambria Math" w:hAnsi="Cambria Math"/>
                <w:i/>
                <w:sz w:val="24"/>
              </w:rPr>
            </m:ctrlPr>
          </m:sSupPr>
          <m:e>
            <m:r>
              <w:rPr>
                <w:rFonts w:ascii="Cambria Math" w:hAnsi="Cambria Math"/>
                <w:sz w:val="24"/>
              </w:rPr>
              <m:t>t</m:t>
            </m:r>
          </m:e>
          <m:sup>
            <m:r>
              <w:rPr>
                <w:rFonts w:ascii="Cambria Math" w:hAnsi="Cambria Math"/>
                <w:sz w:val="24"/>
              </w:rPr>
              <m:t>n</m:t>
            </m:r>
          </m:sup>
        </m:sSup>
      </m:oMath>
      <w:r w:rsidRPr="001D655E">
        <w:rPr>
          <w:sz w:val="24"/>
        </w:rPr>
        <w:t xml:space="preserve"> - </w:t>
      </w:r>
      <w:r w:rsidRPr="001D655E">
        <w:rPr>
          <w:rFonts w:ascii="Times New Roman" w:hAnsi="Times New Roman" w:cs="Times New Roman"/>
          <w:b/>
          <w:sz w:val="24"/>
        </w:rPr>
        <w:t xml:space="preserve">Equation </w:t>
      </w:r>
      <w:r w:rsidR="008F197E">
        <w:rPr>
          <w:rFonts w:ascii="Times New Roman" w:hAnsi="Times New Roman" w:cs="Times New Roman"/>
          <w:b/>
          <w:sz w:val="24"/>
        </w:rPr>
        <w:t>S1</w:t>
      </w:r>
      <w:r w:rsidRPr="001D655E">
        <w:rPr>
          <w:sz w:val="24"/>
        </w:rPr>
        <w:t xml:space="preserve"> </w:t>
      </w:r>
      <w:r>
        <w:rPr>
          <w:sz w:val="24"/>
        </w:rPr>
        <w:fldChar w:fldCharType="begin"/>
      </w:r>
      <w:r>
        <w:rPr>
          <w:sz w:val="24"/>
        </w:rPr>
        <w:instrText xml:space="preserve"> ADDIN EN.CITE &lt;EndNote&gt;&lt;Cite&gt;&lt;Author&gt;Bruschi&lt;/Author&gt;&lt;Year&gt;2015&lt;/Year&gt;&lt;RecNum&gt;1945&lt;/RecNum&gt;&lt;DisplayText&gt;(Bruschi, 2015)&lt;/DisplayText&gt;&lt;record&gt;&lt;rec-number&gt;1945&lt;/rec-number&gt;&lt;foreign-keys&gt;&lt;key app="EN" db-id="tvaxz09zld2sr6eswrtpd2t795twdppdtzsp" timestamp="1617460700" guid="2968fc62-72cc-4350-a5a3-85596bc2c79b"&gt;1945&lt;/key&gt;&lt;/foreign-keys&gt;&lt;ref-type name="Book Section"&gt;5&lt;/ref-type&gt;&lt;contributors&gt;&lt;authors&gt;&lt;author&gt;Bruschi, Marcos Luciano&lt;/author&gt;&lt;/authors&gt;&lt;/contributors&gt;&lt;titles&gt;&lt;title&gt;5 - Mathematical models of drug release&lt;/title&gt;&lt;secondary-title&gt;Strategies to Modify the Drug Release from Pharmaceutical Systems&lt;/secondary-title&gt;&lt;/titles&gt;&lt;pages&gt;63-86&lt;/pages&gt;&lt;keywords&gt;&lt;keyword&gt;Mathematical models&lt;/keyword&gt;&lt;keyword&gt;Drug release kinetics&lt;/keyword&gt;&lt;keyword&gt;Zero order&lt;/keyword&gt;&lt;keyword&gt;First order&lt;/keyword&gt;&lt;keyword&gt;Higuchi&lt;/keyword&gt;&lt;keyword&gt;Hixson–Crowell&lt;/keyword&gt;&lt;keyword&gt;Ritger–Peppas&lt;/keyword&gt;&lt;keyword&gt;Kormeyer–Peppas&lt;/keyword&gt;&lt;keyword&gt;Power law&lt;/keyword&gt;&lt;keyword&gt;Brazel–Peppas&lt;/keyword&gt;&lt;keyword&gt;Baker–Lonsdale&lt;/keyword&gt;&lt;keyword&gt;Hopfenberg&lt;/keyword&gt;&lt;keyword&gt;Weibull&lt;/keyword&gt;&lt;keyword&gt;Peppas–Sahlin.&lt;/keyword&gt;&lt;/keywords&gt;&lt;dates&gt;&lt;year&gt;2015&lt;/year&gt;&lt;pub-dates&gt;&lt;date&gt;2015/01/01/&lt;/date&gt;&lt;/pub-dates&gt;&lt;/dates&gt;&lt;publisher&gt;Woodhead Publishing&lt;/publisher&gt;&lt;isbn&gt;978-0-08-100092-2&lt;/isbn&gt;&lt;urls&gt;&lt;related-urls&gt;&lt;url&gt;https://www.sciencedirect.com/science/article/pii/B9780081000922000059&lt;/url&gt;&lt;/related-urls&gt;&lt;/urls&gt;&lt;electronic-resource-num&gt;https://doi.org/10.1016/B978-0-08-100092-2.00005-9&lt;/electronic-resource-num&gt;&lt;/record&gt;&lt;/Cite&gt;&lt;/EndNote&gt;</w:instrText>
      </w:r>
      <w:r>
        <w:rPr>
          <w:sz w:val="24"/>
        </w:rPr>
        <w:fldChar w:fldCharType="separate"/>
      </w:r>
      <w:r>
        <w:rPr>
          <w:noProof/>
          <w:sz w:val="24"/>
        </w:rPr>
        <w:t>(Bruschi, 2015)</w:t>
      </w:r>
      <w:r>
        <w:rPr>
          <w:sz w:val="24"/>
        </w:rPr>
        <w:fldChar w:fldCharType="end"/>
      </w:r>
    </w:p>
    <w:p w14:paraId="4D6ADCDD" w14:textId="77777777" w:rsidR="004C0166" w:rsidRPr="008461F6" w:rsidRDefault="004C0166" w:rsidP="008461F6">
      <w:pPr>
        <w:widowControl w:val="0"/>
        <w:autoSpaceDE w:val="0"/>
        <w:autoSpaceDN w:val="0"/>
        <w:spacing w:before="28" w:line="360" w:lineRule="auto"/>
        <w:ind w:right="38"/>
        <w:rPr>
          <w:rFonts w:ascii="Times New Roman" w:hAnsi="Times New Roman" w:cs="Times New Roman"/>
          <w:sz w:val="24"/>
        </w:rPr>
      </w:pPr>
    </w:p>
    <w:p w14:paraId="30E3911C" w14:textId="77777777" w:rsidR="001B4834" w:rsidRDefault="001B4834">
      <w:pPr>
        <w:rPr>
          <w:rFonts w:ascii="Times New Roman" w:hAnsi="Times New Roman" w:cs="Times New Roman"/>
          <w:b/>
          <w:color w:val="000000" w:themeColor="text1"/>
        </w:rPr>
      </w:pPr>
      <w:r>
        <w:rPr>
          <w:rFonts w:ascii="Times New Roman" w:hAnsi="Times New Roman" w:cs="Times New Roman"/>
          <w:b/>
          <w:color w:val="000000" w:themeColor="text1"/>
        </w:rPr>
        <w:br w:type="page"/>
      </w:r>
    </w:p>
    <w:p w14:paraId="60D7F539" w14:textId="24B78E87" w:rsidR="0087001C" w:rsidRPr="00F64AD3" w:rsidRDefault="0087001C" w:rsidP="005F2DEC">
      <w:pPr>
        <w:spacing w:line="240" w:lineRule="auto"/>
        <w:rPr>
          <w:rFonts w:ascii="Times New Roman" w:hAnsi="Times New Roman" w:cs="Times New Roman"/>
          <w:b/>
          <w:color w:val="000000" w:themeColor="text1"/>
        </w:rPr>
      </w:pPr>
      <w:r w:rsidRPr="00F64AD3">
        <w:rPr>
          <w:rFonts w:ascii="Times New Roman" w:hAnsi="Times New Roman" w:cs="Times New Roman"/>
          <w:b/>
          <w:color w:val="000000" w:themeColor="text1"/>
        </w:rPr>
        <w:lastRenderedPageBreak/>
        <w:t>S.2 Results</w:t>
      </w:r>
    </w:p>
    <w:p w14:paraId="3328F4FA" w14:textId="46D63AA1" w:rsidR="0087001C" w:rsidRPr="00F64AD3" w:rsidRDefault="008C0C76" w:rsidP="005F2DEC">
      <w:pPr>
        <w:spacing w:line="240" w:lineRule="auto"/>
        <w:rPr>
          <w:rFonts w:ascii="Times New Roman" w:hAnsi="Times New Roman" w:cs="Times New Roman"/>
          <w:b/>
          <w:color w:val="000000" w:themeColor="text1"/>
        </w:rPr>
      </w:pPr>
      <w:r w:rsidRPr="00F64AD3">
        <w:rPr>
          <w:rFonts w:ascii="Times New Roman" w:hAnsi="Times New Roman" w:cs="Times New Roman"/>
          <w:b/>
          <w:noProof/>
          <w:color w:val="000000" w:themeColor="text1"/>
          <w:lang w:eastAsia="ja-JP"/>
        </w:rPr>
        <w:drawing>
          <wp:anchor distT="0" distB="0" distL="114300" distR="114300" simplePos="0" relativeHeight="251658240" behindDoc="0" locked="0" layoutInCell="1" allowOverlap="1" wp14:anchorId="76342680" wp14:editId="13D1F76D">
            <wp:simplePos x="0" y="0"/>
            <wp:positionH relativeFrom="margin">
              <wp:align>center</wp:align>
            </wp:positionH>
            <wp:positionV relativeFrom="paragraph">
              <wp:posOffset>279078</wp:posOffset>
            </wp:positionV>
            <wp:extent cx="5056022" cy="3223617"/>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SNMR Alginic Acid Spectra.tif"/>
                    <pic:cNvPicPr/>
                  </pic:nvPicPr>
                  <pic:blipFill rotWithShape="1">
                    <a:blip r:embed="rId4" cstate="print">
                      <a:extLst>
                        <a:ext uri="{28A0092B-C50C-407E-A947-70E740481C1C}">
                          <a14:useLocalDpi xmlns:a14="http://schemas.microsoft.com/office/drawing/2010/main" val="0"/>
                        </a:ext>
                      </a:extLst>
                    </a:blip>
                    <a:srcRect l="7621" r="4157"/>
                    <a:stretch/>
                  </pic:blipFill>
                  <pic:spPr bwMode="auto">
                    <a:xfrm>
                      <a:off x="0" y="0"/>
                      <a:ext cx="5056022" cy="3223617"/>
                    </a:xfrm>
                    <a:prstGeom prst="rect">
                      <a:avLst/>
                    </a:prstGeom>
                    <a:ln>
                      <a:noFill/>
                    </a:ln>
                    <a:extLst>
                      <a:ext uri="{53640926-AAD7-44D8-BBD7-CCE9431645EC}">
                        <a14:shadowObscured xmlns:a14="http://schemas.microsoft.com/office/drawing/2010/main"/>
                      </a:ext>
                    </a:extLst>
                  </pic:spPr>
                </pic:pic>
              </a:graphicData>
            </a:graphic>
          </wp:anchor>
        </w:drawing>
      </w:r>
      <w:r w:rsidR="0087001C" w:rsidRPr="00F64AD3">
        <w:rPr>
          <w:rFonts w:ascii="Times New Roman" w:hAnsi="Times New Roman" w:cs="Times New Roman"/>
          <w:b/>
          <w:color w:val="000000" w:themeColor="text1"/>
        </w:rPr>
        <w:t xml:space="preserve">S.2.1 </w:t>
      </w:r>
      <w:r w:rsidR="0087001C" w:rsidRPr="00F64AD3">
        <w:rPr>
          <w:rFonts w:ascii="Times New Roman" w:hAnsi="Times New Roman" w:cs="Times New Roman"/>
          <w:b/>
          <w:color w:val="000000" w:themeColor="text1"/>
          <w:vertAlign w:val="superscript"/>
        </w:rPr>
        <w:t>13</w:t>
      </w:r>
      <w:r w:rsidR="0087001C" w:rsidRPr="00F64AD3">
        <w:rPr>
          <w:rFonts w:ascii="Times New Roman" w:hAnsi="Times New Roman" w:cs="Times New Roman"/>
          <w:b/>
          <w:color w:val="000000" w:themeColor="text1"/>
        </w:rPr>
        <w:t>C CPMAS Spectrum of Alginate</w:t>
      </w:r>
    </w:p>
    <w:p w14:paraId="65C27B21" w14:textId="60378AD1" w:rsidR="008C0C76" w:rsidRPr="00F64AD3" w:rsidRDefault="008C0C76" w:rsidP="005F2DEC">
      <w:pPr>
        <w:spacing w:line="240" w:lineRule="auto"/>
        <w:rPr>
          <w:rFonts w:ascii="Times New Roman" w:hAnsi="Times New Roman" w:cs="Times New Roman"/>
          <w:color w:val="000000" w:themeColor="text1"/>
        </w:rPr>
      </w:pPr>
      <w:r w:rsidRPr="00F64AD3">
        <w:rPr>
          <w:rFonts w:ascii="Times New Roman" w:hAnsi="Times New Roman" w:cs="Times New Roman"/>
          <w:b/>
          <w:color w:val="000000" w:themeColor="text1"/>
        </w:rPr>
        <w:t xml:space="preserve">Figure S.1 </w:t>
      </w:r>
      <w:r w:rsidRPr="00F64AD3">
        <w:rPr>
          <w:rFonts w:ascii="Times New Roman" w:hAnsi="Times New Roman" w:cs="Times New Roman"/>
          <w:color w:val="000000" w:themeColor="text1"/>
          <w:vertAlign w:val="superscript"/>
        </w:rPr>
        <w:t>13</w:t>
      </w:r>
      <w:r w:rsidRPr="00F64AD3">
        <w:rPr>
          <w:rFonts w:ascii="Times New Roman" w:hAnsi="Times New Roman" w:cs="Times New Roman"/>
          <w:color w:val="000000" w:themeColor="text1"/>
        </w:rPr>
        <w:t>C</w:t>
      </w:r>
      <w:r w:rsidRPr="00F64AD3">
        <w:rPr>
          <w:rFonts w:ascii="Times New Roman" w:hAnsi="Times New Roman" w:cs="Times New Roman"/>
          <w:b/>
          <w:color w:val="000000" w:themeColor="text1"/>
        </w:rPr>
        <w:t xml:space="preserve"> </w:t>
      </w:r>
      <w:r w:rsidRPr="00F64AD3">
        <w:rPr>
          <w:rFonts w:ascii="Times New Roman" w:hAnsi="Times New Roman" w:cs="Times New Roman"/>
          <w:color w:val="000000" w:themeColor="text1"/>
        </w:rPr>
        <w:t>SS-NMR spectra of alginic acid where the ratio of the intensity of peak A (5.63 x 10</w:t>
      </w:r>
      <w:r w:rsidRPr="00F64AD3">
        <w:rPr>
          <w:rFonts w:ascii="Times New Roman" w:hAnsi="Times New Roman" w:cs="Times New Roman"/>
          <w:color w:val="000000" w:themeColor="text1"/>
          <w:vertAlign w:val="superscript"/>
        </w:rPr>
        <w:t>5</w:t>
      </w:r>
      <w:r w:rsidRPr="00F64AD3">
        <w:rPr>
          <w:rFonts w:ascii="Times New Roman" w:hAnsi="Times New Roman" w:cs="Times New Roman"/>
          <w:color w:val="000000" w:themeColor="text1"/>
        </w:rPr>
        <w:t>) and B (3.95 x 10</w:t>
      </w:r>
      <w:r w:rsidRPr="00F64AD3">
        <w:rPr>
          <w:rFonts w:ascii="Times New Roman" w:hAnsi="Times New Roman" w:cs="Times New Roman"/>
          <w:color w:val="000000" w:themeColor="text1"/>
          <w:vertAlign w:val="superscript"/>
        </w:rPr>
        <w:t>5</w:t>
      </w:r>
      <w:r w:rsidRPr="00F64AD3">
        <w:rPr>
          <w:rFonts w:ascii="Times New Roman" w:hAnsi="Times New Roman" w:cs="Times New Roman"/>
          <w:color w:val="000000" w:themeColor="text1"/>
        </w:rPr>
        <w:t xml:space="preserve">) represented the ratio of mannuronic and guluronic acid blocks, as demonstrated in a paper by </w:t>
      </w:r>
      <w:proofErr w:type="spellStart"/>
      <w:r w:rsidRPr="00F64AD3">
        <w:rPr>
          <w:rFonts w:ascii="Times New Roman" w:hAnsi="Times New Roman" w:cs="Times New Roman"/>
          <w:color w:val="000000" w:themeColor="text1"/>
        </w:rPr>
        <w:t>Salomonsen</w:t>
      </w:r>
      <w:proofErr w:type="spellEnd"/>
      <w:r w:rsidRPr="00F64AD3">
        <w:rPr>
          <w:rFonts w:ascii="Times New Roman" w:hAnsi="Times New Roman" w:cs="Times New Roman"/>
          <w:color w:val="000000" w:themeColor="text1"/>
        </w:rPr>
        <w:t xml:space="preserve"> et al. The</w:t>
      </w:r>
      <w:r w:rsidR="00387695" w:rsidRPr="00F64AD3">
        <w:rPr>
          <w:rFonts w:ascii="Times New Roman" w:hAnsi="Times New Roman" w:cs="Times New Roman"/>
          <w:color w:val="000000" w:themeColor="text1"/>
        </w:rPr>
        <w:t xml:space="preserve"> ratio was determined to be 1.43</w:t>
      </w:r>
      <w:r w:rsidRPr="00F64AD3">
        <w:rPr>
          <w:rFonts w:ascii="Times New Roman" w:hAnsi="Times New Roman" w:cs="Times New Roman"/>
          <w:color w:val="000000" w:themeColor="text1"/>
        </w:rPr>
        <w:t>.</w:t>
      </w:r>
    </w:p>
    <w:p w14:paraId="48F82C09" w14:textId="77777777" w:rsidR="001B4834" w:rsidRPr="008461F6" w:rsidRDefault="001B4834" w:rsidP="001B4834">
      <w:pPr>
        <w:spacing w:line="360" w:lineRule="auto"/>
        <w:jc w:val="both"/>
        <w:rPr>
          <w:rFonts w:ascii="Times New Roman" w:hAnsi="Times New Roman" w:cs="Times New Roman"/>
          <w:b/>
          <w:i/>
          <w:color w:val="000000" w:themeColor="text1"/>
        </w:rPr>
      </w:pPr>
      <w:r>
        <w:rPr>
          <w:rFonts w:ascii="Times New Roman" w:hAnsi="Times New Roman" w:cs="Times New Roman"/>
          <w:b/>
        </w:rPr>
        <w:t xml:space="preserve">S.2.2 Antimicrobial Activity of Nisin A </w:t>
      </w:r>
      <w:r w:rsidRPr="008461F6">
        <w:rPr>
          <w:rFonts w:ascii="Times New Roman" w:hAnsi="Times New Roman" w:cs="Times New Roman"/>
          <w:b/>
          <w:color w:val="000000" w:themeColor="text1"/>
        </w:rPr>
        <w:t xml:space="preserve">and </w:t>
      </w:r>
      <w:r w:rsidRPr="008461F6">
        <w:rPr>
          <w:rFonts w:ascii="Times New Roman" w:hAnsi="Times New Roman" w:cs="Times New Roman"/>
          <w:b/>
          <w:i/>
          <w:color w:val="000000" w:themeColor="text1"/>
        </w:rPr>
        <w:t>Staphylococcus aureus</w:t>
      </w:r>
    </w:p>
    <w:p w14:paraId="16EDD262" w14:textId="007ED386" w:rsidR="001B4834" w:rsidRDefault="001B4834" w:rsidP="001B4834">
      <w:pPr>
        <w:rPr>
          <w:rFonts w:ascii="Times New Roman" w:hAnsi="Times New Roman" w:cs="Times New Roman"/>
          <w:sz w:val="24"/>
        </w:rPr>
      </w:pPr>
      <w:r>
        <w:rPr>
          <w:rFonts w:ascii="Times New Roman" w:hAnsi="Times New Roman" w:cs="Times New Roman"/>
          <w:b/>
        </w:rPr>
        <w:t xml:space="preserve"> </w:t>
      </w:r>
      <w:r>
        <w:rPr>
          <w:rFonts w:ascii="Times New Roman" w:hAnsi="Times New Roman" w:cs="Times New Roman"/>
          <w:b/>
          <w:noProof/>
          <w:lang w:eastAsia="ja-JP"/>
        </w:rPr>
        <w:drawing>
          <wp:anchor distT="0" distB="0" distL="114300" distR="114300" simplePos="0" relativeHeight="251660288" behindDoc="0" locked="0" layoutInCell="1" allowOverlap="1" wp14:anchorId="3CACC6EE" wp14:editId="4B585D52">
            <wp:simplePos x="0" y="0"/>
            <wp:positionH relativeFrom="margin">
              <wp:posOffset>191069</wp:posOffset>
            </wp:positionH>
            <wp:positionV relativeFrom="paragraph">
              <wp:posOffset>-112348</wp:posOffset>
            </wp:positionV>
            <wp:extent cx="5351780" cy="3524250"/>
            <wp:effectExtent l="0" t="0" r="127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tandard Curve Nisin Log Reductions.png"/>
                    <pic:cNvPicPr/>
                  </pic:nvPicPr>
                  <pic:blipFill rotWithShape="1">
                    <a:blip r:embed="rId5" cstate="print">
                      <a:extLst>
                        <a:ext uri="{28A0092B-C50C-407E-A947-70E740481C1C}">
                          <a14:useLocalDpi xmlns:a14="http://schemas.microsoft.com/office/drawing/2010/main" val="0"/>
                        </a:ext>
                      </a:extLst>
                    </a:blip>
                    <a:srcRect l="13349" t="9282" r="14399" b="6130"/>
                    <a:stretch/>
                  </pic:blipFill>
                  <pic:spPr bwMode="auto">
                    <a:xfrm>
                      <a:off x="0" y="0"/>
                      <a:ext cx="5351780" cy="3524250"/>
                    </a:xfrm>
                    <a:prstGeom prst="rect">
                      <a:avLst/>
                    </a:prstGeom>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b/>
        </w:rPr>
        <w:t>Figure S.2</w:t>
      </w:r>
      <w:r w:rsidRPr="00A832CE">
        <w:rPr>
          <w:rFonts w:ascii="Times New Roman" w:hAnsi="Times New Roman" w:cs="Times New Roman"/>
        </w:rPr>
        <w:t xml:space="preserve"> Graph showing the inhibitory activity of varying nisin concentration on </w:t>
      </w:r>
      <w:r w:rsidRPr="00A832CE">
        <w:rPr>
          <w:rFonts w:ascii="Times New Roman" w:hAnsi="Times New Roman" w:cs="Times New Roman"/>
          <w:i/>
        </w:rPr>
        <w:t xml:space="preserve">Staphylococcus aureus </w:t>
      </w:r>
      <w:r w:rsidRPr="00A832CE">
        <w:rPr>
          <w:rFonts w:ascii="Times New Roman" w:hAnsi="Times New Roman" w:cs="Times New Roman"/>
        </w:rPr>
        <w:t xml:space="preserve">DSM20231 in BHI broth, based on a positive control of </w:t>
      </w:r>
      <w:r w:rsidRPr="00A832CE">
        <w:rPr>
          <w:rFonts w:ascii="Times New Roman" w:hAnsi="Times New Roman" w:cs="Times New Roman"/>
          <w:i/>
        </w:rPr>
        <w:t xml:space="preserve">S. aureus </w:t>
      </w:r>
      <w:r w:rsidRPr="00A832CE">
        <w:rPr>
          <w:rFonts w:ascii="Times New Roman" w:hAnsi="Times New Roman" w:cs="Times New Roman"/>
        </w:rPr>
        <w:t>alone (OD</w:t>
      </w:r>
      <w:r w:rsidRPr="00A832CE">
        <w:rPr>
          <w:rFonts w:ascii="Times New Roman" w:hAnsi="Times New Roman" w:cs="Times New Roman"/>
          <w:vertAlign w:val="subscript"/>
        </w:rPr>
        <w:t xml:space="preserve">595 </w:t>
      </w:r>
      <w:r w:rsidRPr="00A832CE">
        <w:rPr>
          <w:rFonts w:ascii="Times New Roman" w:hAnsi="Times New Roman" w:cs="Times New Roman"/>
        </w:rPr>
        <w:t>0.1).</w:t>
      </w:r>
    </w:p>
    <w:p w14:paraId="3D78D8DA" w14:textId="28FF2A49" w:rsidR="001B4834" w:rsidRDefault="001B4834" w:rsidP="005F2DEC">
      <w:pPr>
        <w:spacing w:line="240" w:lineRule="auto"/>
        <w:rPr>
          <w:rFonts w:ascii="Times New Roman" w:hAnsi="Times New Roman" w:cs="Times New Roman"/>
          <w:b/>
        </w:rPr>
      </w:pPr>
      <w:r w:rsidRPr="00E3481D">
        <w:rPr>
          <w:rFonts w:ascii="Times New Roman" w:hAnsi="Times New Roman" w:cs="Times New Roman"/>
          <w:sz w:val="24"/>
        </w:rPr>
        <w:lastRenderedPageBreak/>
        <w:t>In previous studies it was determined that the median 50% inhibitory concentration (mIC</w:t>
      </w:r>
      <w:r w:rsidRPr="00E3481D">
        <w:rPr>
          <w:rFonts w:ascii="Times New Roman" w:hAnsi="Times New Roman" w:cs="Times New Roman"/>
          <w:sz w:val="24"/>
          <w:vertAlign w:val="subscript"/>
        </w:rPr>
        <w:t>50</w:t>
      </w:r>
      <w:r w:rsidRPr="00E3481D">
        <w:rPr>
          <w:rFonts w:ascii="Times New Roman" w:hAnsi="Times New Roman" w:cs="Times New Roman"/>
          <w:sz w:val="24"/>
        </w:rPr>
        <w:t xml:space="preserve">) of nisin against </w:t>
      </w:r>
      <w:r w:rsidRPr="00E3481D">
        <w:rPr>
          <w:rFonts w:ascii="Times New Roman" w:hAnsi="Times New Roman" w:cs="Times New Roman"/>
          <w:i/>
          <w:sz w:val="24"/>
        </w:rPr>
        <w:t xml:space="preserve">S. aureus </w:t>
      </w:r>
      <w:r w:rsidRPr="00E3481D">
        <w:rPr>
          <w:rFonts w:ascii="Times New Roman" w:hAnsi="Times New Roman" w:cs="Times New Roman"/>
          <w:sz w:val="24"/>
        </w:rPr>
        <w:t>20231 DSM was ~ 10-15 µg/ml</w:t>
      </w:r>
      <w:r>
        <w:rPr>
          <w:rFonts w:ascii="Times New Roman" w:hAnsi="Times New Roman" w:cs="Times New Roman"/>
          <w:sz w:val="24"/>
        </w:rPr>
        <w:t xml:space="preserve"> </w:t>
      </w:r>
      <w:r>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&lt;EndNote&gt;&lt;Cite&gt;&lt;Author&gt;Flynn&lt;/Author&gt;&lt;Year&gt;2019&lt;/Year&gt;&lt;RecNum&gt;700&lt;/RecNum&gt;&lt;DisplayText&gt;[2]&lt;/DisplayText&gt;&lt;record&gt;&lt;rec-number&gt;700&lt;/rec-number&gt;&lt;foreign-keys&gt;&lt;key app="EN" db-id="tvaxz09zld2sr6eswrtpd2t795twdppdtzsp" timestamp="1590807939" guid="4685056f-c544-4a3d-bbf5-9e2a7f81e543"&gt;700&lt;/key&gt;&lt;/foreign-keys&gt;&lt;ref-type name="Journal Article"&gt;17&lt;/ref-type&gt;&lt;contributors&gt;&lt;authors&gt;&lt;author&gt;Flynn, James&lt;/author&gt;&lt;author&gt;Mallen, Sarah&lt;/author&gt;&lt;author&gt;Durack, Edel&lt;/author&gt;&lt;author&gt;O&amp;apos;Connor, Paula M.&lt;/author&gt;&lt;author&gt;Hudson, Sarah P.&lt;/author&gt;&lt;/authors&gt;&lt;/contributors&gt;&lt;titles&gt;&lt;title&gt;Mesoporous matrices for the delivery of the broad spectrum bacteriocin, nisin A&lt;/title&gt;&lt;secondary-title&gt;Journal of Colloid and Interface Science&lt;/secondary-title&gt;&lt;/titles&gt;&lt;periodical&gt;&lt;full-title&gt;Journal of Colloid and Interface Science&lt;/full-title&gt;&lt;/periodical&gt;&lt;pages&gt;396-406&lt;/pages&gt;&lt;volume&gt;537&lt;/volume&gt;&lt;keywords&gt;&lt;keyword&gt;Mesoporous matrices&lt;/keyword&gt;&lt;keyword&gt;Nisin A&lt;/keyword&gt;&lt;keyword&gt;Controlled release&lt;/keyword&gt;&lt;keyword&gt;Antimicrobial&lt;/keyword&gt;&lt;keyword&gt;Periodic mesoporous organosilanes&lt;/keyword&gt;&lt;keyword&gt;Simulated gastrointestinal fluid&lt;/keyword&gt;&lt;keyword&gt;Bacteriocins&lt;/keyword&gt;&lt;/keywords&gt;&lt;dates&gt;&lt;year&gt;2019&lt;/year&gt;&lt;pub-dates&gt;&lt;date&gt;2019/03/01/&lt;/date&gt;&lt;/pub-dates&gt;&lt;/dates&gt;&lt;isbn&gt;0021-9797&lt;/isbn&gt;&lt;urls&gt;&lt;related-urls&gt;&lt;url&gt;http://www.sciencedirect.com/science/article/pii/S002197971831350X&lt;/url&gt;&lt;/related-urls&gt;&lt;/urls&gt;&lt;electronic-resource-num&gt;https://doi.org/10.1016/j.jcis.2018.11.037&lt;/electronic-resource-num&gt;&lt;/record&gt;&lt;/Cite&gt;&lt;/EndNote&gt;</w:instrText>
      </w:r>
      <w:r>
        <w:rPr>
          <w:rFonts w:ascii="Times New Roman" w:hAnsi="Times New Roman" w:cs="Times New Roman"/>
          <w:sz w:val="24"/>
        </w:rPr>
        <w:fldChar w:fldCharType="separate"/>
      </w:r>
      <w:r>
        <w:rPr>
          <w:rFonts w:ascii="Times New Roman" w:hAnsi="Times New Roman" w:cs="Times New Roman"/>
          <w:noProof/>
          <w:sz w:val="24"/>
        </w:rPr>
        <w:t>[2]</w:t>
      </w:r>
      <w:r>
        <w:rPr>
          <w:rFonts w:ascii="Times New Roman" w:hAnsi="Times New Roman" w:cs="Times New Roman"/>
          <w:sz w:val="24"/>
        </w:rPr>
        <w:fldChar w:fldCharType="end"/>
      </w:r>
      <w:r w:rsidRPr="00E3481D">
        <w:rPr>
          <w:rFonts w:ascii="Times New Roman" w:hAnsi="Times New Roman" w:cs="Times New Roman"/>
          <w:sz w:val="24"/>
        </w:rPr>
        <w:t>.</w:t>
      </w:r>
      <w:r>
        <w:rPr>
          <w:rFonts w:ascii="Times New Roman" w:hAnsi="Times New Roman" w:cs="Times New Roman"/>
          <w:sz w:val="24"/>
        </w:rPr>
        <w:t xml:space="preserve"> Here it was determined that log reductions of 5 in the number of colonies detected were observed at nisin concentrations of 10 µg/ml, increasing up to 8.5 log reductions at 20 µg/ml, and up to 10 log reductions at 30 µg/ml, </w:t>
      </w:r>
      <w:r w:rsidRPr="00A832CE">
        <w:rPr>
          <w:rFonts w:ascii="Times New Roman" w:hAnsi="Times New Roman" w:cs="Times New Roman"/>
          <w:b/>
          <w:sz w:val="24"/>
        </w:rPr>
        <w:t>Fig</w:t>
      </w:r>
      <w:r>
        <w:rPr>
          <w:rFonts w:ascii="Times New Roman" w:hAnsi="Times New Roman" w:cs="Times New Roman"/>
          <w:b/>
          <w:sz w:val="24"/>
        </w:rPr>
        <w:t>. 4</w:t>
      </w:r>
      <w:r>
        <w:rPr>
          <w:rFonts w:ascii="Times New Roman" w:hAnsi="Times New Roman" w:cs="Times New Roman"/>
          <w:sz w:val="24"/>
        </w:rPr>
        <w:t>.</w:t>
      </w:r>
    </w:p>
    <w:p w14:paraId="52522405" w14:textId="03570C20" w:rsidR="005F2DEC" w:rsidRPr="008F493C" w:rsidRDefault="005F2DEC" w:rsidP="005F2DEC">
      <w:pPr>
        <w:spacing w:line="240" w:lineRule="auto"/>
        <w:rPr>
          <w:rFonts w:ascii="Times New Roman" w:hAnsi="Times New Roman" w:cs="Times New Roman"/>
        </w:rPr>
      </w:pPr>
      <w:r w:rsidRPr="008F493C">
        <w:rPr>
          <w:rFonts w:ascii="Times New Roman" w:hAnsi="Times New Roman" w:cs="Times New Roman"/>
          <w:b/>
        </w:rPr>
        <w:t>T</w:t>
      </w:r>
      <w:r w:rsidR="00CA05EA">
        <w:rPr>
          <w:rFonts w:ascii="Times New Roman" w:hAnsi="Times New Roman" w:cs="Times New Roman"/>
          <w:b/>
        </w:rPr>
        <w:t>able S1</w:t>
      </w:r>
      <w:r w:rsidRPr="008F493C">
        <w:rPr>
          <w:rFonts w:ascii="Times New Roman" w:hAnsi="Times New Roman" w:cs="Times New Roman"/>
        </w:rPr>
        <w:t xml:space="preserve"> Table showing the respective number of repeat units in the gel formulations for Dex-CHO and Alg-ADH. This was used to determine th</w:t>
      </w:r>
      <w:r>
        <w:rPr>
          <w:rFonts w:ascii="Times New Roman" w:hAnsi="Times New Roman" w:cs="Times New Roman"/>
        </w:rPr>
        <w:t>at the hydrazine concentration limited the</w:t>
      </w:r>
      <w:r w:rsidRPr="008F493C">
        <w:rPr>
          <w:rFonts w:ascii="Times New Roman" w:hAnsi="Times New Roman" w:cs="Times New Roman"/>
        </w:rPr>
        <w:t xml:space="preserve"> crosslink density.</w:t>
      </w:r>
    </w:p>
    <w:tbl>
      <w:tblPr>
        <w:tblStyle w:val="TableGrid"/>
        <w:tblW w:w="9122" w:type="dxa"/>
        <w:tblLook w:val="04A0" w:firstRow="1" w:lastRow="0" w:firstColumn="1" w:lastColumn="0" w:noHBand="0" w:noVBand="1"/>
      </w:tblPr>
      <w:tblGrid>
        <w:gridCol w:w="4561"/>
        <w:gridCol w:w="4561"/>
      </w:tblGrid>
      <w:tr w:rsidR="005F2DEC" w:rsidRPr="00064B70" w14:paraId="71E1E6C1" w14:textId="77777777" w:rsidTr="00A71C38">
        <w:trPr>
          <w:trHeight w:val="336"/>
        </w:trPr>
        <w:tc>
          <w:tcPr>
            <w:tcW w:w="4561" w:type="dxa"/>
          </w:tcPr>
          <w:p w14:paraId="343CBAB2" w14:textId="77777777" w:rsidR="005F2DEC" w:rsidRPr="008F493C" w:rsidRDefault="005F2DEC" w:rsidP="00A71C38">
            <w:pPr>
              <w:rPr>
                <w:b/>
              </w:rPr>
            </w:pPr>
            <w:r w:rsidRPr="008F493C">
              <w:rPr>
                <w:b/>
              </w:rPr>
              <w:t>Polymer</w:t>
            </w:r>
          </w:p>
        </w:tc>
        <w:tc>
          <w:tcPr>
            <w:tcW w:w="4561" w:type="dxa"/>
          </w:tcPr>
          <w:p w14:paraId="18D30134" w14:textId="77777777" w:rsidR="005F2DEC" w:rsidRPr="008F493C" w:rsidRDefault="005F2DEC" w:rsidP="00A71C38">
            <w:pPr>
              <w:rPr>
                <w:b/>
              </w:rPr>
            </w:pPr>
            <w:r w:rsidRPr="008F493C">
              <w:rPr>
                <w:b/>
              </w:rPr>
              <w:t>Units/Groups</w:t>
            </w:r>
          </w:p>
        </w:tc>
      </w:tr>
      <w:tr w:rsidR="005F2DEC" w:rsidRPr="00064B70" w14:paraId="2EC75300" w14:textId="77777777" w:rsidTr="00A71C38">
        <w:trPr>
          <w:trHeight w:val="336"/>
        </w:trPr>
        <w:tc>
          <w:tcPr>
            <w:tcW w:w="4561" w:type="dxa"/>
          </w:tcPr>
          <w:p w14:paraId="025E632B" w14:textId="77777777" w:rsidR="005F2DEC" w:rsidRPr="00064B70" w:rsidRDefault="005F2DEC" w:rsidP="00A71C38">
            <w:pPr>
              <w:rPr>
                <w:b/>
              </w:rPr>
            </w:pPr>
            <w:r w:rsidRPr="00064B70">
              <w:t>Dextran (C</w:t>
            </w:r>
            <w:r w:rsidRPr="00064B70">
              <w:rPr>
                <w:vertAlign w:val="subscript"/>
              </w:rPr>
              <w:t>6</w:t>
            </w:r>
            <w:r w:rsidRPr="00064B70">
              <w:t>H</w:t>
            </w:r>
            <w:r w:rsidRPr="00064B70">
              <w:rPr>
                <w:vertAlign w:val="subscript"/>
              </w:rPr>
              <w:t>10</w:t>
            </w:r>
            <w:r w:rsidRPr="00064B70">
              <w:t>O</w:t>
            </w:r>
            <w:proofErr w:type="gramStart"/>
            <w:r w:rsidRPr="00064B70">
              <w:rPr>
                <w:vertAlign w:val="subscript"/>
              </w:rPr>
              <w:t>5</w:t>
            </w:r>
            <w:r w:rsidRPr="00064B70">
              <w:t>)n</w:t>
            </w:r>
            <w:proofErr w:type="gramEnd"/>
          </w:p>
        </w:tc>
        <w:tc>
          <w:tcPr>
            <w:tcW w:w="4561" w:type="dxa"/>
          </w:tcPr>
          <w:p w14:paraId="7A0F0F35" w14:textId="77777777" w:rsidR="005F2DEC" w:rsidRPr="00534965" w:rsidRDefault="005F2DEC" w:rsidP="00A71C38">
            <w:r>
              <w:t>3.</w:t>
            </w:r>
            <w:r w:rsidRPr="00534965">
              <w:t>7 x 10</w:t>
            </w:r>
            <w:r w:rsidRPr="00534965">
              <w:rPr>
                <w:vertAlign w:val="superscript"/>
              </w:rPr>
              <w:t>-</w:t>
            </w:r>
            <w:r>
              <w:rPr>
                <w:vertAlign w:val="superscript"/>
              </w:rPr>
              <w:t>4</w:t>
            </w:r>
            <w:r w:rsidRPr="00534965">
              <w:t xml:space="preserve"> repeat units (60 mg/ml)</w:t>
            </w:r>
          </w:p>
        </w:tc>
      </w:tr>
      <w:tr w:rsidR="005F2DEC" w:rsidRPr="00064B70" w14:paraId="7B3F00F6" w14:textId="77777777" w:rsidTr="00A71C38">
        <w:trPr>
          <w:trHeight w:val="362"/>
        </w:trPr>
        <w:tc>
          <w:tcPr>
            <w:tcW w:w="4561" w:type="dxa"/>
          </w:tcPr>
          <w:p w14:paraId="2FC80363" w14:textId="77777777" w:rsidR="005F2DEC" w:rsidRPr="00064B70" w:rsidRDefault="005F2DEC" w:rsidP="00A71C38">
            <w:pPr>
              <w:rPr>
                <w:b/>
              </w:rPr>
            </w:pPr>
            <w:r w:rsidRPr="00064B70">
              <w:t>Alginic Acid (C</w:t>
            </w:r>
            <w:r w:rsidRPr="00064B70">
              <w:rPr>
                <w:vertAlign w:val="subscript"/>
              </w:rPr>
              <w:t>6</w:t>
            </w:r>
            <w:r w:rsidRPr="00064B70">
              <w:t>H</w:t>
            </w:r>
            <w:r w:rsidRPr="00064B70">
              <w:rPr>
                <w:vertAlign w:val="subscript"/>
              </w:rPr>
              <w:t>8</w:t>
            </w:r>
            <w:r w:rsidRPr="00064B70">
              <w:t>O</w:t>
            </w:r>
            <w:proofErr w:type="gramStart"/>
            <w:r w:rsidRPr="00064B70">
              <w:rPr>
                <w:vertAlign w:val="subscript"/>
              </w:rPr>
              <w:t>6</w:t>
            </w:r>
            <w:r w:rsidRPr="00064B70">
              <w:t>)n</w:t>
            </w:r>
            <w:proofErr w:type="gramEnd"/>
          </w:p>
        </w:tc>
        <w:tc>
          <w:tcPr>
            <w:tcW w:w="4561" w:type="dxa"/>
          </w:tcPr>
          <w:p w14:paraId="2736C562" w14:textId="77777777" w:rsidR="005F2DEC" w:rsidRPr="00064B70" w:rsidRDefault="005F2DEC" w:rsidP="00A71C38">
            <w:r>
              <w:t>1.</w:t>
            </w:r>
            <w:r w:rsidRPr="00064B70">
              <w:t>7 x 10</w:t>
            </w:r>
            <w:r w:rsidRPr="00064B70">
              <w:rPr>
                <w:vertAlign w:val="superscript"/>
              </w:rPr>
              <w:t>-</w:t>
            </w:r>
            <w:r>
              <w:rPr>
                <w:vertAlign w:val="superscript"/>
              </w:rPr>
              <w:t>4</w:t>
            </w:r>
            <w:r w:rsidRPr="00064B70">
              <w:t xml:space="preserve"> repeat units (30 mg/ml)</w:t>
            </w:r>
          </w:p>
        </w:tc>
      </w:tr>
      <w:tr w:rsidR="005F2DEC" w:rsidRPr="00064B70" w14:paraId="40DF429C" w14:textId="77777777" w:rsidTr="00A71C38">
        <w:trPr>
          <w:trHeight w:val="494"/>
        </w:trPr>
        <w:tc>
          <w:tcPr>
            <w:tcW w:w="4561" w:type="dxa"/>
          </w:tcPr>
          <w:p w14:paraId="3B14DEB2" w14:textId="77777777" w:rsidR="005F2DEC" w:rsidRPr="00064B70" w:rsidRDefault="005F2DEC" w:rsidP="00A71C38">
            <w:pPr>
              <w:rPr>
                <w:b/>
              </w:rPr>
            </w:pPr>
            <w:r w:rsidRPr="00064B70">
              <w:t>Dex</w:t>
            </w:r>
            <w:r w:rsidRPr="00064B70">
              <w:rPr>
                <w:vertAlign w:val="subscript"/>
              </w:rPr>
              <w:t>14%</w:t>
            </w:r>
          </w:p>
        </w:tc>
        <w:tc>
          <w:tcPr>
            <w:tcW w:w="4561" w:type="dxa"/>
          </w:tcPr>
          <w:p w14:paraId="2AB019EC" w14:textId="77777777" w:rsidR="005F2DEC" w:rsidRPr="00064B70" w:rsidRDefault="005F2DEC" w:rsidP="00A71C38">
            <w:r>
              <w:t>5.2 x 10</w:t>
            </w:r>
            <w:r w:rsidRPr="00064B70">
              <w:rPr>
                <w:vertAlign w:val="superscript"/>
              </w:rPr>
              <w:t>-</w:t>
            </w:r>
            <w:r>
              <w:rPr>
                <w:vertAlign w:val="superscript"/>
              </w:rPr>
              <w:t>5</w:t>
            </w:r>
            <w:r w:rsidRPr="00064B70">
              <w:t xml:space="preserve"> units oxidised – thus </w:t>
            </w:r>
            <w:r>
              <w:t>1.0</w:t>
            </w:r>
            <w:r w:rsidRPr="00064B70">
              <w:t xml:space="preserve"> x 10</w:t>
            </w:r>
            <w:r w:rsidRPr="00A71C38">
              <w:rPr>
                <w:vertAlign w:val="superscript"/>
              </w:rPr>
              <w:t>-4</w:t>
            </w:r>
            <w:r w:rsidRPr="00064B70">
              <w:t xml:space="preserve"> CHO groups.</w:t>
            </w:r>
          </w:p>
        </w:tc>
      </w:tr>
      <w:tr w:rsidR="005F2DEC" w:rsidRPr="00064B70" w14:paraId="58DFE781" w14:textId="77777777" w:rsidTr="00A71C38">
        <w:trPr>
          <w:trHeight w:val="673"/>
        </w:trPr>
        <w:tc>
          <w:tcPr>
            <w:tcW w:w="4561" w:type="dxa"/>
          </w:tcPr>
          <w:p w14:paraId="500B2646" w14:textId="77777777" w:rsidR="005F2DEC" w:rsidRPr="00064B70" w:rsidRDefault="005F2DEC" w:rsidP="00A71C38">
            <w:pPr>
              <w:rPr>
                <w:b/>
              </w:rPr>
            </w:pPr>
            <w:r w:rsidRPr="00064B70">
              <w:t>Alg-ADH</w:t>
            </w:r>
          </w:p>
        </w:tc>
        <w:tc>
          <w:tcPr>
            <w:tcW w:w="4561" w:type="dxa"/>
          </w:tcPr>
          <w:p w14:paraId="56C82FD5" w14:textId="6F0FB7FA" w:rsidR="005F2DEC" w:rsidRPr="00064B70" w:rsidRDefault="00603561" w:rsidP="00A71C38">
            <w:r>
              <w:t>1 in 7.5</w:t>
            </w:r>
            <w:r w:rsidR="005F2DEC" w:rsidRPr="00064B70">
              <w:t xml:space="preserve"> functionalised – thus </w:t>
            </w:r>
            <w:r w:rsidR="005F2DEC">
              <w:t>2.1 x 10</w:t>
            </w:r>
            <w:r w:rsidR="005F2DEC" w:rsidRPr="00064B70">
              <w:rPr>
                <w:vertAlign w:val="superscript"/>
              </w:rPr>
              <w:t>-</w:t>
            </w:r>
            <w:r w:rsidR="005F2DEC">
              <w:rPr>
                <w:vertAlign w:val="superscript"/>
              </w:rPr>
              <w:t>5</w:t>
            </w:r>
            <w:r w:rsidR="005F2DEC" w:rsidRPr="00064B70">
              <w:t xml:space="preserve"> hydrazine groups</w:t>
            </w:r>
            <w:r w:rsidR="005F2DEC">
              <w:t xml:space="preserve"> (limiting reagent)</w:t>
            </w:r>
          </w:p>
        </w:tc>
      </w:tr>
    </w:tbl>
    <w:p w14:paraId="3F5F0AF8" w14:textId="7D7AFAD8" w:rsidR="0087001C" w:rsidRDefault="0087001C">
      <w:pPr>
        <w:rPr>
          <w:rFonts w:ascii="Times New Roman" w:hAnsi="Times New Roman" w:cs="Times New Roman"/>
          <w:b/>
          <w:sz w:val="28"/>
          <w:szCs w:val="28"/>
        </w:rPr>
      </w:pPr>
    </w:p>
    <w:p w14:paraId="71F637DD" w14:textId="2031AFCC" w:rsidR="004C0166" w:rsidRDefault="004C0166">
      <w:pPr>
        <w:rPr>
          <w:rFonts w:ascii="Times New Roman" w:hAnsi="Times New Roman" w:cs="Times New Roman"/>
          <w:b/>
          <w:sz w:val="28"/>
          <w:szCs w:val="28"/>
        </w:rPr>
      </w:pPr>
      <w:r>
        <w:rPr>
          <w:rFonts w:ascii="Times New Roman" w:hAnsi="Times New Roman" w:cs="Times New Roman"/>
          <w:b/>
          <w:sz w:val="28"/>
          <w:szCs w:val="28"/>
        </w:rPr>
        <w:t>S2.3 Modelling of Hydrogel Release Data</w:t>
      </w:r>
    </w:p>
    <w:p w14:paraId="4E7BBEB1" w14:textId="3361A9A1" w:rsidR="004C0166" w:rsidRPr="003F5C77" w:rsidRDefault="004C0166" w:rsidP="004C0166">
      <w:pPr>
        <w:spacing w:line="360" w:lineRule="auto"/>
        <w:rPr>
          <w:rFonts w:ascii="Times New Roman" w:hAnsi="Times New Roman" w:cs="Times New Roman"/>
          <w:sz w:val="24"/>
          <w:szCs w:val="24"/>
        </w:rPr>
      </w:pPr>
      <w:r>
        <w:rPr>
          <w:rFonts w:ascii="Times New Roman" w:hAnsi="Times New Roman" w:cs="Times New Roman"/>
          <w:sz w:val="24"/>
          <w:szCs w:val="24"/>
        </w:rPr>
        <w:t>Gels prepared from l</w:t>
      </w:r>
      <w:r w:rsidRPr="00413FC1">
        <w:rPr>
          <w:rFonts w:ascii="Times New Roman" w:hAnsi="Times New Roman" w:cs="Times New Roman"/>
          <w:sz w:val="24"/>
          <w:szCs w:val="24"/>
        </w:rPr>
        <w:t>ow</w:t>
      </w:r>
      <w:r>
        <w:rPr>
          <w:rFonts w:ascii="Times New Roman" w:hAnsi="Times New Roman" w:cs="Times New Roman"/>
          <w:sz w:val="24"/>
          <w:szCs w:val="24"/>
        </w:rPr>
        <w:t>er</w:t>
      </w:r>
      <w:r w:rsidRPr="00413FC1">
        <w:rPr>
          <w:rFonts w:ascii="Times New Roman" w:hAnsi="Times New Roman" w:cs="Times New Roman"/>
          <w:sz w:val="24"/>
          <w:szCs w:val="24"/>
        </w:rPr>
        <w:t xml:space="preserve"> </w:t>
      </w:r>
      <w:r>
        <w:rPr>
          <w:rFonts w:ascii="Times New Roman" w:hAnsi="Times New Roman" w:cs="Times New Roman"/>
          <w:sz w:val="24"/>
          <w:szCs w:val="24"/>
        </w:rPr>
        <w:t>degrees of dextran oxidation</w:t>
      </w:r>
      <w:r w:rsidRPr="00413FC1">
        <w:rPr>
          <w:rFonts w:ascii="Times New Roman" w:hAnsi="Times New Roman" w:cs="Times New Roman"/>
          <w:sz w:val="24"/>
          <w:szCs w:val="24"/>
        </w:rPr>
        <w:t>, Dex</w:t>
      </w:r>
      <w:r w:rsidRPr="00413FC1">
        <w:rPr>
          <w:rFonts w:ascii="Times New Roman" w:hAnsi="Times New Roman" w:cs="Times New Roman"/>
          <w:sz w:val="24"/>
          <w:szCs w:val="24"/>
          <w:vertAlign w:val="subscript"/>
        </w:rPr>
        <w:t>14%</w:t>
      </w:r>
      <w:r w:rsidRPr="00413FC1">
        <w:rPr>
          <w:rFonts w:ascii="Times New Roman" w:hAnsi="Times New Roman" w:cs="Times New Roman"/>
          <w:sz w:val="24"/>
          <w:szCs w:val="24"/>
        </w:rPr>
        <w:t>-Alg and Dex60</w:t>
      </w:r>
      <w:r w:rsidRPr="00413FC1">
        <w:rPr>
          <w:rFonts w:ascii="Times New Roman" w:hAnsi="Times New Roman" w:cs="Times New Roman"/>
          <w:sz w:val="24"/>
          <w:szCs w:val="24"/>
          <w:vertAlign w:val="subscript"/>
        </w:rPr>
        <w:t>15%</w:t>
      </w:r>
      <w:r>
        <w:rPr>
          <w:rFonts w:ascii="Times New Roman" w:hAnsi="Times New Roman" w:cs="Times New Roman"/>
          <w:sz w:val="24"/>
          <w:szCs w:val="24"/>
        </w:rPr>
        <w:t>-Alg</w:t>
      </w:r>
      <w:r w:rsidRPr="00413FC1">
        <w:rPr>
          <w:rFonts w:ascii="Times New Roman" w:hAnsi="Times New Roman" w:cs="Times New Roman"/>
          <w:sz w:val="24"/>
          <w:szCs w:val="24"/>
        </w:rPr>
        <w:t xml:space="preserve">, </w:t>
      </w:r>
      <w:r>
        <w:rPr>
          <w:rFonts w:ascii="Times New Roman" w:hAnsi="Times New Roman" w:cs="Times New Roman"/>
          <w:sz w:val="24"/>
          <w:szCs w:val="24"/>
        </w:rPr>
        <w:t>including those with GC added,</w:t>
      </w:r>
      <w:r w:rsidRPr="00413FC1">
        <w:rPr>
          <w:rFonts w:ascii="Times New Roman" w:hAnsi="Times New Roman" w:cs="Times New Roman"/>
          <w:sz w:val="24"/>
          <w:szCs w:val="24"/>
        </w:rPr>
        <w:t xml:space="preserve"> showed diffusivity constants of 0.</w:t>
      </w:r>
      <w:r>
        <w:rPr>
          <w:rFonts w:ascii="Times New Roman" w:hAnsi="Times New Roman" w:cs="Times New Roman"/>
          <w:sz w:val="24"/>
          <w:szCs w:val="24"/>
        </w:rPr>
        <w:t>43</w:t>
      </w:r>
      <w:r w:rsidRPr="00413FC1">
        <w:rPr>
          <w:rFonts w:ascii="Times New Roman" w:hAnsi="Times New Roman" w:cs="Times New Roman"/>
          <w:sz w:val="24"/>
          <w:szCs w:val="24"/>
        </w:rPr>
        <w:t xml:space="preserve"> &lt; n &lt; </w:t>
      </w:r>
      <w:r>
        <w:rPr>
          <w:rFonts w:ascii="Times New Roman" w:hAnsi="Times New Roman" w:cs="Times New Roman"/>
          <w:sz w:val="24"/>
          <w:szCs w:val="24"/>
        </w:rPr>
        <w:t>0.89, indicative of non-Fickian diffusion.</w:t>
      </w:r>
      <w:r>
        <w:rPr>
          <w:rFonts w:ascii="Times New Roman" w:hAnsi="Times New Roman" w:cs="Times New Roman"/>
          <w:sz w:val="24"/>
        </w:rPr>
        <w:t xml:space="preserve"> </w:t>
      </w:r>
      <w:r>
        <w:rPr>
          <w:rFonts w:ascii="Times New Roman" w:hAnsi="Times New Roman" w:cs="Times New Roman"/>
          <w:sz w:val="24"/>
          <w:szCs w:val="24"/>
        </w:rPr>
        <w:t>Meanwhile higher DO dextran gels Dex</w:t>
      </w:r>
      <w:r w:rsidRPr="007F4714">
        <w:rPr>
          <w:rFonts w:ascii="Times New Roman" w:hAnsi="Times New Roman" w:cs="Times New Roman"/>
          <w:sz w:val="24"/>
          <w:szCs w:val="24"/>
          <w:vertAlign w:val="subscript"/>
        </w:rPr>
        <w:t>34%</w:t>
      </w:r>
      <w:r>
        <w:rPr>
          <w:rFonts w:ascii="Times New Roman" w:hAnsi="Times New Roman" w:cs="Times New Roman"/>
          <w:sz w:val="24"/>
          <w:szCs w:val="24"/>
        </w:rPr>
        <w:t>-Alg and Dex</w:t>
      </w:r>
      <w:r w:rsidRPr="007F4714">
        <w:rPr>
          <w:rFonts w:ascii="Times New Roman" w:hAnsi="Times New Roman" w:cs="Times New Roman"/>
          <w:sz w:val="24"/>
          <w:szCs w:val="24"/>
          <w:vertAlign w:val="subscript"/>
        </w:rPr>
        <w:t>79%</w:t>
      </w:r>
      <w:r>
        <w:rPr>
          <w:rFonts w:ascii="Times New Roman" w:hAnsi="Times New Roman" w:cs="Times New Roman"/>
          <w:sz w:val="24"/>
          <w:szCs w:val="24"/>
        </w:rPr>
        <w:t xml:space="preserve">-Alg had lower diffusivity constants (n &lt; 0.45), indicative of quasi Fickian release </w:t>
      </w:r>
      <w:r w:rsidRPr="00413FC1">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&lt;EndNote&gt;&lt;Cite&gt;&lt;Author&gt;Bruschi&lt;/Author&gt;&lt;Year&gt;2015&lt;/Year&gt;&lt;RecNum&gt;1945&lt;/RecNum&gt;&lt;DisplayText&gt;(Bruschi, 2015)&lt;/DisplayText&gt;&lt;record&gt;&lt;rec-number&gt;1945&lt;/rec-number&gt;&lt;foreign-keys&gt;&lt;key app="EN" db-id="tvaxz09zld2sr6eswrtpd2t795twdppdtzsp" timestamp="1617460700" guid="2968fc62-72cc-4350-a5a3-85596bc2c79b"&gt;1945&lt;/key&gt;&lt;/foreign-keys&gt;&lt;ref-type name="Book Section"&gt;5&lt;/ref-type&gt;&lt;contributors&gt;&lt;authors&gt;&lt;author&gt;Bruschi, Marcos Luciano&lt;/author&gt;&lt;/authors&gt;&lt;/contributors&gt;&lt;titles&gt;&lt;title&gt;5 - Mathematical models of drug release&lt;/title&gt;&lt;secondary-title&gt;Strategies to Modify the Drug Release from Pharmaceutical Systems&lt;/secondary-title&gt;&lt;/titles&gt;&lt;pages&gt;63-86&lt;/pages&gt;&lt;keywords&gt;&lt;keyword&gt;Mathematical models&lt;/keyword&gt;&lt;keyword&gt;Drug release kinetics&lt;/keyword&gt;&lt;keyword&gt;Zero order&lt;/keyword&gt;&lt;keyword&gt;First order&lt;/keyword&gt;&lt;keyword&gt;Higuchi&lt;/keyword&gt;&lt;keyword&gt;Hixson–Crowell&lt;/keyword&gt;&lt;keyword&gt;Ritger–Peppas&lt;/keyword&gt;&lt;keyword&gt;Kormeyer–Peppas&lt;/keyword&gt;&lt;keyword&gt;Power law&lt;/keyword&gt;&lt;keyword&gt;Brazel–Peppas&lt;/keyword&gt;&lt;keyword&gt;Baker–Lonsdale&lt;/keyword&gt;&lt;keyword&gt;Hopfenberg&lt;/keyword&gt;&lt;keyword&gt;Weibull&lt;/keyword&gt;&lt;keyword&gt;Peppas–Sahlin.&lt;/keyword&gt;&lt;/keywords&gt;&lt;dates&gt;&lt;year&gt;2015&lt;/year&gt;&lt;pub-dates&gt;&lt;date&gt;2015/01/01/&lt;/date&gt;&lt;/pub-dates&gt;&lt;/dates&gt;&lt;publisher&gt;Woodhead Publishing&lt;/publisher&gt;&lt;isbn&gt;978-0-08-100092-2&lt;/isbn&gt;&lt;urls&gt;&lt;related-urls&gt;&lt;url&gt;https://www.sciencedirect.com/science/article/pii/B9780081000922000059&lt;/url&gt;&lt;/related-urls&gt;&lt;/urls&gt;&lt;electronic-resource-num&gt;https://doi.org/10.1016/B978-0-08-100092-2.00005-9&lt;/electronic-resource-num&gt;&lt;/record&gt;&lt;/Cite&gt;&lt;/EndNote&gt;</w:instrText>
      </w:r>
      <w:r w:rsidRPr="00413FC1">
        <w:rPr>
          <w:rFonts w:ascii="Times New Roman" w:hAnsi="Times New Roman" w:cs="Times New Roman"/>
          <w:sz w:val="24"/>
          <w:szCs w:val="24"/>
        </w:rPr>
        <w:fldChar w:fldCharType="separate"/>
      </w:r>
      <w:r>
        <w:rPr>
          <w:rFonts w:ascii="Times New Roman" w:hAnsi="Times New Roman" w:cs="Times New Roman"/>
          <w:noProof/>
          <w:sz w:val="24"/>
          <w:szCs w:val="24"/>
        </w:rPr>
        <w:t>(Bruschi, 2015)</w:t>
      </w:r>
      <w:r w:rsidRPr="00413FC1">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BF5FD3">
        <w:rPr>
          <w:rFonts w:ascii="Times New Roman" w:hAnsi="Times New Roman" w:cs="Times New Roman"/>
          <w:b/>
          <w:sz w:val="24"/>
          <w:szCs w:val="24"/>
        </w:rPr>
        <w:t xml:space="preserve">Table </w:t>
      </w:r>
      <w:r>
        <w:rPr>
          <w:rFonts w:ascii="Times New Roman" w:hAnsi="Times New Roman" w:cs="Times New Roman"/>
          <w:b/>
          <w:sz w:val="24"/>
          <w:szCs w:val="24"/>
        </w:rPr>
        <w:t>S</w:t>
      </w:r>
      <w:r w:rsidRPr="00BF5FD3">
        <w:rPr>
          <w:rFonts w:ascii="Times New Roman" w:hAnsi="Times New Roman" w:cs="Times New Roman"/>
          <w:b/>
          <w:sz w:val="24"/>
          <w:szCs w:val="24"/>
        </w:rPr>
        <w:t>2</w:t>
      </w:r>
      <w:r w:rsidRPr="00413FC1">
        <w:rPr>
          <w:rFonts w:ascii="Times New Roman" w:hAnsi="Times New Roman" w:cs="Times New Roman"/>
          <w:sz w:val="24"/>
          <w:szCs w:val="24"/>
        </w:rPr>
        <w:t xml:space="preserve">. </w:t>
      </w:r>
      <w:r w:rsidR="005E2AC7">
        <w:rPr>
          <w:rFonts w:ascii="Times New Roman" w:hAnsi="Times New Roman" w:cs="Times New Roman"/>
          <w:sz w:val="24"/>
        </w:rPr>
        <w:t xml:space="preserve">Mathematical modelling was utilised to further determine the mechanisms of peptide release. This kind of modelling is important considering the array of phenomena involved in drug release such as diffusion and swelling. Models such as zero and first order release models correspond to constant release or release dependent on drug concentration, respectively </w:t>
      </w:r>
      <w:r w:rsidR="005E2AC7">
        <w:rPr>
          <w:rFonts w:ascii="Times New Roman" w:hAnsi="Times New Roman" w:cs="Times New Roman"/>
          <w:sz w:val="24"/>
        </w:rPr>
        <w:fldChar w:fldCharType="begin"/>
      </w:r>
      <w:r w:rsidR="005E2AC7">
        <w:rPr>
          <w:rFonts w:ascii="Times New Roman" w:hAnsi="Times New Roman" w:cs="Times New Roman"/>
          <w:sz w:val="24"/>
        </w:rPr>
        <w:instrText xml:space="preserve"> ADDIN EN.CITE &lt;EndNote&gt;&lt;Cite&gt;&lt;Author&gt;Vigata&lt;/Author&gt;&lt;Year&gt;2020&lt;/Year&gt;&lt;RecNum&gt;1941&lt;/RecNum&gt;&lt;DisplayText&gt;(Vigata, Meinert, Hutmacher, &amp;amp; Bock, 2020)&lt;/DisplayText&gt;&lt;record&gt;&lt;rec-number&gt;1941&lt;/rec-number&gt;&lt;foreign-keys&gt;&lt;key app="EN" db-id="tvaxz09zld2sr6eswrtpd2t795twdppdtzsp" timestamp="1612452439" guid="ab049214-f310-42d2-98e5-bb2b7831479a"&gt;1941&lt;/key&gt;&lt;/foreign-keys&gt;&lt;ref-type name="Journal Article"&gt;17&lt;/ref-type&gt;&lt;contributors&gt;&lt;authors&gt;&lt;author&gt;Vigata, Margaux&lt;/author&gt;&lt;author&gt;Meinert, Christoph&lt;/author&gt;&lt;author&gt;Hutmacher, Dietmar W.&lt;/author&gt;&lt;author&gt;Bock, Nathalie&lt;/author&gt;&lt;/authors&gt;&lt;/contributors&gt;&lt;titles&gt;&lt;title&gt;Hydrogels as Drug Delivery Systems: A Review of Current Characterization and Evaluation Techniques&lt;/title&gt;&lt;secondary-title&gt;Pharmaceutics&lt;/secondary-title&gt;&lt;alt-title&gt;Pharmaceutics&lt;/alt-title&gt;&lt;/titles&gt;&lt;periodical&gt;&lt;full-title&gt;Pharmaceutics&lt;/full-title&gt;&lt;abbr-1&gt;Pharmaceutics&lt;/abbr-1&gt;&lt;/periodical&gt;&lt;alt-periodical&gt;&lt;full-title&gt;Pharmaceutics&lt;/full-title&gt;&lt;abbr-1&gt;Pharmaceutics&lt;/abbr-1&gt;&lt;/alt-periodical&gt;&lt;pages&gt;1188&lt;/pages&gt;&lt;volume&gt;12&lt;/volume&gt;&lt;number&gt;12&lt;/number&gt;&lt;keywords&gt;&lt;keyword&gt;characterization techniques&lt;/keyword&gt;&lt;keyword&gt;drug diffusion coefficient&lt;/keyword&gt;&lt;keyword&gt;drug release kinetics&lt;/keyword&gt;&lt;keyword&gt;hydrogel drug delivery system&lt;/keyword&gt;&lt;/keywords&gt;&lt;dates&gt;&lt;year&gt;2020&lt;/year&gt;&lt;/dates&gt;&lt;publisher&gt;MDPI&lt;/publisher&gt;&lt;isbn&gt;1999-4923&lt;/isbn&gt;&lt;accession-num&gt;33297493&lt;/accession-num&gt;&lt;urls&gt;&lt;related-urls&gt;&lt;url&gt;https://pubmed.ncbi.nlm.nih.gov/33297493&lt;/url&gt;&lt;url&gt;https://www.ncbi.nlm.nih.gov/pmc/articles/PMC7762425/&lt;/url&gt;&lt;/related-urls&gt;&lt;/urls&gt;&lt;electronic-resource-num&gt;10.3390/pharmaceutics12121188&lt;/electronic-resource-num&gt;&lt;remote-database-name&gt;PubMed&lt;/remote-database-name&gt;&lt;language&gt;eng&lt;/language&gt;&lt;/record&gt;&lt;/Cite&gt;&lt;/EndNote&gt;</w:instrText>
      </w:r>
      <w:r w:rsidR="005E2AC7">
        <w:rPr>
          <w:rFonts w:ascii="Times New Roman" w:hAnsi="Times New Roman" w:cs="Times New Roman"/>
          <w:sz w:val="24"/>
        </w:rPr>
        <w:fldChar w:fldCharType="separate"/>
      </w:r>
      <w:r w:rsidR="005E2AC7">
        <w:rPr>
          <w:rFonts w:ascii="Times New Roman" w:hAnsi="Times New Roman" w:cs="Times New Roman"/>
          <w:noProof/>
          <w:sz w:val="24"/>
        </w:rPr>
        <w:t>(Vigata, Meinert, Hutmacher, &amp; Bock, 2020)</w:t>
      </w:r>
      <w:r w:rsidR="005E2AC7">
        <w:rPr>
          <w:rFonts w:ascii="Times New Roman" w:hAnsi="Times New Roman" w:cs="Times New Roman"/>
          <w:sz w:val="24"/>
        </w:rPr>
        <w:fldChar w:fldCharType="end"/>
      </w:r>
      <w:r w:rsidR="005E2AC7">
        <w:rPr>
          <w:rFonts w:ascii="Times New Roman" w:hAnsi="Times New Roman" w:cs="Times New Roman"/>
          <w:sz w:val="24"/>
        </w:rPr>
        <w:t xml:space="preserve">. The Higuchi model initially was designed to model release from ointments, films and planar systems, but now also incorporates 3D dosage forms only where release is diffusion driven </w:t>
      </w:r>
      <w:r w:rsidR="005E2AC7">
        <w:rPr>
          <w:rFonts w:ascii="Times New Roman" w:hAnsi="Times New Roman" w:cs="Times New Roman"/>
          <w:sz w:val="24"/>
        </w:rPr>
        <w:fldChar w:fldCharType="begin"/>
      </w:r>
      <w:r w:rsidR="005E2AC7">
        <w:rPr>
          <w:rFonts w:ascii="Times New Roman" w:hAnsi="Times New Roman" w:cs="Times New Roman"/>
          <w:sz w:val="24"/>
        </w:rPr>
        <w:instrText xml:space="preserve"> ADDIN EN.CITE &lt;EndNote&gt;&lt;Cite&gt;&lt;Author&gt;Vigata&lt;/Author&gt;&lt;Year&gt;2020&lt;/Year&gt;&lt;RecNum&gt;1941&lt;/RecNum&gt;&lt;DisplayText&gt;(Vigata et al., 2020)&lt;/DisplayText&gt;&lt;record&gt;&lt;rec-number&gt;1941&lt;/rec-number&gt;&lt;foreign-keys&gt;&lt;key app="EN" db-id="tvaxz09zld2sr6eswrtpd2t795twdppdtzsp" timestamp="1612452439" guid="ab049214-f310-42d2-98e5-bb2b7831479a"&gt;1941&lt;/key&gt;&lt;/foreign-keys&gt;&lt;ref-type name="Journal Article"&gt;17&lt;/ref-type&gt;&lt;contributors&gt;&lt;authors&gt;&lt;author&gt;Vigata, Margaux&lt;/author&gt;&lt;author&gt;Meinert, Christoph&lt;/author&gt;&lt;author&gt;Hutmacher, Dietmar W.&lt;/author&gt;&lt;author&gt;Bock, Nathalie&lt;/author&gt;&lt;/authors&gt;&lt;/contributors&gt;&lt;titles&gt;&lt;title&gt;Hydrogels as Drug Delivery Systems: A Review of Current Characterization and Evaluation Techniques&lt;/title&gt;&lt;secondary-title&gt;Pharmaceutics&lt;/secondary-title&gt;&lt;alt-title&gt;Pharmaceutics&lt;/alt-title&gt;&lt;/titles&gt;&lt;periodical&gt;&lt;full-title&gt;Pharmaceutics&lt;/full-title&gt;&lt;abbr-1&gt;Pharmaceutics&lt;/abbr-1&gt;&lt;/periodical&gt;&lt;alt-periodical&gt;&lt;full-title&gt;Pharmaceutics&lt;/full-title&gt;&lt;abbr-1&gt;Pharmaceutics&lt;/abbr-1&gt;&lt;/alt-periodical&gt;&lt;pages&gt;1188&lt;/pages&gt;&lt;volume&gt;12&lt;/volume&gt;&lt;number&gt;12&lt;/number&gt;&lt;keywords&gt;&lt;keyword&gt;characterization techniques&lt;/keyword&gt;&lt;keyword&gt;drug diffusion coefficient&lt;/keyword&gt;&lt;keyword&gt;drug release kinetics&lt;/keyword&gt;&lt;keyword&gt;hydrogel drug delivery system&lt;/keyword&gt;&lt;/keywords&gt;&lt;dates&gt;&lt;year&gt;2020&lt;/year&gt;&lt;/dates&gt;&lt;publisher&gt;MDPI&lt;/publisher&gt;&lt;isbn&gt;1999-4923&lt;/isbn&gt;&lt;accession-num&gt;33297493&lt;/accession-num&gt;&lt;urls&gt;&lt;related-urls&gt;&lt;url&gt;https://pubmed.ncbi.nlm.nih.gov/33297493&lt;/url&gt;&lt;url&gt;https://www.ncbi.nlm.nih.gov/pmc/articles/PMC7762425/&lt;/url&gt;&lt;/related-urls&gt;&lt;/urls&gt;&lt;electronic-resource-num&gt;10.3390/pharmaceutics12121188&lt;/electronic-resource-num&gt;&lt;remote-database-name&gt;PubMed&lt;/remote-database-name&gt;&lt;language&gt;eng&lt;/language&gt;&lt;/record&gt;&lt;/Cite&gt;&lt;/EndNote&gt;</w:instrText>
      </w:r>
      <w:r w:rsidR="005E2AC7">
        <w:rPr>
          <w:rFonts w:ascii="Times New Roman" w:hAnsi="Times New Roman" w:cs="Times New Roman"/>
          <w:sz w:val="24"/>
        </w:rPr>
        <w:fldChar w:fldCharType="separate"/>
      </w:r>
      <w:r w:rsidR="005E2AC7">
        <w:rPr>
          <w:rFonts w:ascii="Times New Roman" w:hAnsi="Times New Roman" w:cs="Times New Roman"/>
          <w:noProof/>
          <w:sz w:val="24"/>
        </w:rPr>
        <w:t>(Vigata et al., 2020)</w:t>
      </w:r>
      <w:r w:rsidR="005E2AC7">
        <w:rPr>
          <w:rFonts w:ascii="Times New Roman" w:hAnsi="Times New Roman" w:cs="Times New Roman"/>
          <w:sz w:val="24"/>
        </w:rPr>
        <w:fldChar w:fldCharType="end"/>
      </w:r>
      <w:r w:rsidR="005E2AC7">
        <w:rPr>
          <w:rFonts w:ascii="Times New Roman" w:hAnsi="Times New Roman" w:cs="Times New Roman"/>
          <w:sz w:val="24"/>
        </w:rPr>
        <w:t xml:space="preserve">.  The most frequently studied release model for drug release from hydrogels is the Korsmeyer Peppas model </w:t>
      </w:r>
      <w:r w:rsidR="005E2AC7">
        <w:rPr>
          <w:rFonts w:ascii="Times New Roman" w:hAnsi="Times New Roman" w:cs="Times New Roman"/>
          <w:sz w:val="24"/>
        </w:rPr>
        <w:fldChar w:fldCharType="begin"/>
      </w:r>
      <w:r w:rsidR="005E2AC7">
        <w:rPr>
          <w:rFonts w:ascii="Times New Roman" w:hAnsi="Times New Roman" w:cs="Times New Roman"/>
          <w:sz w:val="24"/>
        </w:rPr>
        <w:instrText xml:space="preserve"> ADDIN EN.CITE &lt;EndNote&gt;&lt;Cite&gt;&lt;Author&gt;Vigata&lt;/Author&gt;&lt;Year&gt;2020&lt;/Year&gt;&lt;RecNum&gt;1941&lt;/RecNum&gt;&lt;DisplayText&gt;(Vigata et al., 2020)&lt;/DisplayText&gt;&lt;record&gt;&lt;rec-number&gt;1941&lt;/rec-number&gt;&lt;foreign-keys&gt;&lt;key app="EN" db-id="tvaxz09zld2sr6eswrtpd2t795twdppdtzsp" timestamp="1612452439" guid="ab049214-f310-42d2-98e5-bb2b7831479a"&gt;1941&lt;/key&gt;&lt;/foreign-keys&gt;&lt;ref-type name="Journal Article"&gt;17&lt;/ref-type&gt;&lt;contributors&gt;&lt;authors&gt;&lt;author&gt;Vigata, Margaux&lt;/author&gt;&lt;author&gt;Meinert, Christoph&lt;/author&gt;&lt;author&gt;Hutmacher, Dietmar W.&lt;/author&gt;&lt;author&gt;Bock, Nathalie&lt;/author&gt;&lt;/authors&gt;&lt;/contributors&gt;&lt;titles&gt;&lt;title&gt;Hydrogels as Drug Delivery Systems: A Review of Current Characterization and Evaluation Techniques&lt;/title&gt;&lt;secondary-title&gt;Pharmaceutics&lt;/secondary-title&gt;&lt;alt-title&gt;Pharmaceutics&lt;/alt-title&gt;&lt;/titles&gt;&lt;periodical&gt;&lt;full-title&gt;Pharmaceutics&lt;/full-title&gt;&lt;abbr-1&gt;Pharmaceutics&lt;/abbr-1&gt;&lt;/periodical&gt;&lt;alt-periodical&gt;&lt;full-title&gt;Pharmaceutics&lt;/full-title&gt;&lt;abbr-1&gt;Pharmaceutics&lt;/abbr-1&gt;&lt;/alt-periodical&gt;&lt;pages&gt;1188&lt;/pages&gt;&lt;volume&gt;12&lt;/volume&gt;&lt;number&gt;12&lt;/number&gt;&lt;keywords&gt;&lt;keyword&gt;characterization techniques&lt;/keyword&gt;&lt;keyword&gt;drug diffusion coefficient&lt;/keyword&gt;&lt;keyword&gt;drug release kinetics&lt;/keyword&gt;&lt;keyword&gt;hydrogel drug delivery system&lt;/keyword&gt;&lt;/keywords&gt;&lt;dates&gt;&lt;year&gt;2020&lt;/year&gt;&lt;/dates&gt;&lt;publisher&gt;MDPI&lt;/publisher&gt;&lt;isbn&gt;1999-4923&lt;/isbn&gt;&lt;accession-num&gt;33297493&lt;/accession-num&gt;&lt;urls&gt;&lt;related-urls&gt;&lt;url&gt;https://pubmed.ncbi.nlm.nih.gov/33297493&lt;/url&gt;&lt;url&gt;https://www.ncbi.nlm.nih.gov/pmc/articles/PMC7762425/&lt;/url&gt;&lt;/related-urls&gt;&lt;/urls&gt;&lt;electronic-resource-num&gt;10.3390/pharmaceutics12121188&lt;/electronic-resource-num&gt;&lt;remote-database-name&gt;PubMed&lt;/remote-database-name&gt;&lt;language&gt;eng&lt;/language&gt;&lt;/record&gt;&lt;/Cite&gt;&lt;/EndNote&gt;</w:instrText>
      </w:r>
      <w:r w:rsidR="005E2AC7">
        <w:rPr>
          <w:rFonts w:ascii="Times New Roman" w:hAnsi="Times New Roman" w:cs="Times New Roman"/>
          <w:sz w:val="24"/>
        </w:rPr>
        <w:fldChar w:fldCharType="separate"/>
      </w:r>
      <w:r w:rsidR="005E2AC7">
        <w:rPr>
          <w:rFonts w:ascii="Times New Roman" w:hAnsi="Times New Roman" w:cs="Times New Roman"/>
          <w:noProof/>
          <w:sz w:val="24"/>
        </w:rPr>
        <w:t>(Vigata et al., 2020)</w:t>
      </w:r>
      <w:r w:rsidR="005E2AC7">
        <w:rPr>
          <w:rFonts w:ascii="Times New Roman" w:hAnsi="Times New Roman" w:cs="Times New Roman"/>
          <w:sz w:val="24"/>
        </w:rPr>
        <w:fldChar w:fldCharType="end"/>
      </w:r>
      <w:r w:rsidR="005E2AC7">
        <w:rPr>
          <w:rFonts w:ascii="Times New Roman" w:hAnsi="Times New Roman" w:cs="Times New Roman"/>
          <w:sz w:val="24"/>
        </w:rPr>
        <w:t xml:space="preserve">, </w:t>
      </w:r>
      <w:r w:rsidR="005E2AC7">
        <w:rPr>
          <w:rFonts w:ascii="Times New Roman" w:hAnsi="Times New Roman" w:cs="Times New Roman"/>
          <w:b/>
          <w:sz w:val="24"/>
        </w:rPr>
        <w:t>Eq. S1</w:t>
      </w:r>
      <w:r w:rsidR="005E2AC7">
        <w:rPr>
          <w:rFonts w:ascii="Times New Roman" w:hAnsi="Times New Roman" w:cs="Times New Roman"/>
          <w:sz w:val="24"/>
        </w:rPr>
        <w:t xml:space="preserve">. In cylindrical shaped gels, release mechanisms can be described as being quasi-Fickian diffusion, where the diffusivity constant n &lt; 0.45 or Fickian diffusion where n = 0.45 while diffusivity constant values of 0.45 &lt; n &lt; 0.89 indicate anomalous or non-Fickian transport </w:t>
      </w:r>
      <w:r w:rsidR="005E2AC7">
        <w:rPr>
          <w:rFonts w:ascii="Times New Roman" w:hAnsi="Times New Roman" w:cs="Times New Roman"/>
          <w:sz w:val="24"/>
        </w:rPr>
        <w:fldChar w:fldCharType="begin"/>
      </w:r>
      <w:r w:rsidR="005E2AC7">
        <w:rPr>
          <w:rFonts w:ascii="Times New Roman" w:hAnsi="Times New Roman" w:cs="Times New Roman"/>
          <w:sz w:val="24"/>
        </w:rPr>
        <w:instrText xml:space="preserve"> ADDIN EN.CITE &lt;EndNote&gt;&lt;Cite&gt;&lt;Author&gt;Vigata&lt;/Author&gt;&lt;Year&gt;2020&lt;/Year&gt;&lt;RecNum&gt;1941&lt;/RecNum&gt;&lt;DisplayText&gt;(Vigata et al., 2020)&lt;/DisplayText&gt;&lt;record&gt;&lt;rec-number&gt;1941&lt;/rec-number&gt;&lt;foreign-keys&gt;&lt;key app="EN" db-id="tvaxz09zld2sr6eswrtpd2t795twdppdtzsp" timestamp="1612452439" guid="ab049214-f310-42d2-98e5-bb2b7831479a"&gt;1941&lt;/key&gt;&lt;/foreign-keys&gt;&lt;ref-type name="Journal Article"&gt;17&lt;/ref-type&gt;&lt;contributors&gt;&lt;authors&gt;&lt;author&gt;Vigata, Margaux&lt;/author&gt;&lt;author&gt;Meinert, Christoph&lt;/author&gt;&lt;author&gt;Hutmacher, Dietmar W.&lt;/author&gt;&lt;author&gt;Bock, Nathalie&lt;/author&gt;&lt;/authors&gt;&lt;/contributors&gt;&lt;titles&gt;&lt;title&gt;Hydrogels as Drug Delivery Systems: A Review of Current Characterization and Evaluation Techniques&lt;/title&gt;&lt;secondary-title&gt;Pharmaceutics&lt;/secondary-title&gt;&lt;alt-title&gt;Pharmaceutics&lt;/alt-title&gt;&lt;/titles&gt;&lt;periodical&gt;&lt;full-title&gt;Pharmaceutics&lt;/full-title&gt;&lt;abbr-1&gt;Pharmaceutics&lt;/abbr-1&gt;&lt;/periodical&gt;&lt;alt-periodical&gt;&lt;full-title&gt;Pharmaceutics&lt;/full-title&gt;&lt;abbr-1&gt;Pharmaceutics&lt;/abbr-1&gt;&lt;/alt-periodical&gt;&lt;pages&gt;1188&lt;/pages&gt;&lt;volume&gt;12&lt;/volume&gt;&lt;number&gt;12&lt;/number&gt;&lt;keywords&gt;&lt;keyword&gt;characterization techniques&lt;/keyword&gt;&lt;keyword&gt;drug diffusion coefficient&lt;/keyword&gt;&lt;keyword&gt;drug release kinetics&lt;/keyword&gt;&lt;keyword&gt;hydrogel drug delivery system&lt;/keyword&gt;&lt;/keywords&gt;&lt;dates&gt;&lt;year&gt;2020&lt;/year&gt;&lt;/dates&gt;&lt;publisher&gt;MDPI&lt;/publisher&gt;&lt;isbn&gt;1999-4923&lt;/isbn&gt;&lt;accession-num&gt;33297493&lt;/accession-num&gt;&lt;urls&gt;&lt;related-urls&gt;&lt;url&gt;https://pubmed.ncbi.nlm.nih.gov/33297493&lt;/url&gt;&lt;url&gt;https://www.ncbi.nlm.nih.gov/pmc/articles/PMC7762425/&lt;/url&gt;&lt;/related-urls&gt;&lt;/urls&gt;&lt;electronic-resource-num&gt;10.3390/pharmaceutics12121188&lt;/electronic-resource-num&gt;&lt;remote-database-name&gt;PubMed&lt;/remote-database-name&gt;&lt;language&gt;eng&lt;/language&gt;&lt;/record&gt;&lt;/Cite&gt;&lt;/EndNote&gt;</w:instrText>
      </w:r>
      <w:r w:rsidR="005E2AC7">
        <w:rPr>
          <w:rFonts w:ascii="Times New Roman" w:hAnsi="Times New Roman" w:cs="Times New Roman"/>
          <w:sz w:val="24"/>
        </w:rPr>
        <w:fldChar w:fldCharType="separate"/>
      </w:r>
      <w:r w:rsidR="005E2AC7">
        <w:rPr>
          <w:rFonts w:ascii="Times New Roman" w:hAnsi="Times New Roman" w:cs="Times New Roman"/>
          <w:noProof/>
          <w:sz w:val="24"/>
        </w:rPr>
        <w:t>(Vigata et al., 2020)</w:t>
      </w:r>
      <w:r w:rsidR="005E2AC7">
        <w:rPr>
          <w:rFonts w:ascii="Times New Roman" w:hAnsi="Times New Roman" w:cs="Times New Roman"/>
          <w:sz w:val="24"/>
        </w:rPr>
        <w:fldChar w:fldCharType="end"/>
      </w:r>
      <w:r w:rsidR="005E2AC7" w:rsidRPr="00413FC1">
        <w:rPr>
          <w:rFonts w:ascii="Times New Roman" w:hAnsi="Times New Roman" w:cs="Times New Roman"/>
          <w:sz w:val="24"/>
          <w:szCs w:val="24"/>
        </w:rPr>
        <w:t xml:space="preserve">, indicating </w:t>
      </w:r>
      <w:r w:rsidR="005E2AC7">
        <w:rPr>
          <w:rFonts w:ascii="Times New Roman" w:hAnsi="Times New Roman" w:cs="Times New Roman"/>
          <w:sz w:val="24"/>
          <w:szCs w:val="24"/>
        </w:rPr>
        <w:t>that</w:t>
      </w:r>
      <w:r w:rsidR="005E2AC7" w:rsidRPr="00413FC1">
        <w:rPr>
          <w:rFonts w:ascii="Times New Roman" w:hAnsi="Times New Roman" w:cs="Times New Roman"/>
          <w:sz w:val="24"/>
          <w:szCs w:val="24"/>
        </w:rPr>
        <w:t xml:space="preserve"> release is principally controlled by </w:t>
      </w:r>
      <w:r w:rsidR="005E2AC7">
        <w:rPr>
          <w:rFonts w:ascii="Times New Roman" w:hAnsi="Times New Roman" w:cs="Times New Roman"/>
          <w:sz w:val="24"/>
          <w:szCs w:val="24"/>
        </w:rPr>
        <w:t>degradation</w:t>
      </w:r>
      <w:r w:rsidR="005E2AC7" w:rsidRPr="00413FC1">
        <w:rPr>
          <w:rFonts w:ascii="Times New Roman" w:hAnsi="Times New Roman" w:cs="Times New Roman"/>
          <w:sz w:val="24"/>
          <w:szCs w:val="24"/>
        </w:rPr>
        <w:t xml:space="preserve"> and swelling of the gel matrix</w:t>
      </w:r>
      <w:r w:rsidR="005E2AC7">
        <w:rPr>
          <w:rFonts w:ascii="Times New Roman" w:hAnsi="Times New Roman" w:cs="Times New Roman"/>
          <w:sz w:val="24"/>
          <w:szCs w:val="24"/>
        </w:rPr>
        <w:t xml:space="preserve"> (non Fickian)</w:t>
      </w:r>
      <w:r w:rsidR="005E2AC7" w:rsidRPr="00413FC1">
        <w:rPr>
          <w:rFonts w:ascii="Times New Roman" w:hAnsi="Times New Roman" w:cs="Times New Roman"/>
          <w:sz w:val="24"/>
          <w:szCs w:val="24"/>
        </w:rPr>
        <w:t xml:space="preserve"> </w:t>
      </w:r>
      <w:r w:rsidR="005E2AC7" w:rsidRPr="00413FC1">
        <w:rPr>
          <w:rFonts w:ascii="Times New Roman" w:hAnsi="Times New Roman" w:cs="Times New Roman"/>
          <w:sz w:val="24"/>
          <w:szCs w:val="24"/>
        </w:rPr>
        <w:fldChar w:fldCharType="begin"/>
      </w:r>
      <w:r w:rsidR="005E2AC7">
        <w:rPr>
          <w:rFonts w:ascii="Times New Roman" w:hAnsi="Times New Roman" w:cs="Times New Roman"/>
          <w:sz w:val="24"/>
          <w:szCs w:val="24"/>
        </w:rPr>
        <w:instrText xml:space="preserve"> ADDIN EN.CITE &lt;EndNote&gt;&lt;Cite&gt;&lt;Author&gt;Bruschi&lt;/Author&gt;&lt;Year&gt;2015&lt;/Year&gt;&lt;RecNum&gt;1945&lt;/RecNum&gt;&lt;DisplayText&gt;(Bruschi, 2015)&lt;/DisplayText&gt;&lt;record&gt;&lt;rec-number&gt;1945&lt;/rec-number&gt;&lt;foreign-keys&gt;&lt;key app="EN" db-id="tvaxz09zld2sr6eswrtpd2t795twdppdtzsp" timestamp="1617460700" guid="2968fc62-72cc-4350-a5a3-85596bc2c79b"&gt;1945&lt;/key&gt;&lt;/foreign-keys&gt;&lt;ref-type name="Book Section"&gt;5&lt;/ref-type&gt;&lt;contributors&gt;&lt;authors&gt;&lt;author&gt;Bruschi, Marcos Luciano&lt;/author&gt;&lt;/authors&gt;&lt;/contributors&gt;&lt;titles&gt;&lt;title&gt;5 - Mathematical models of drug release&lt;/title&gt;&lt;secondary-title&gt;Strategies to Modify the Drug Release from Pharmaceutical Systems&lt;/secondary-title&gt;&lt;/titles&gt;&lt;pages&gt;63-86&lt;/pages&gt;&lt;keywords&gt;&lt;keyword&gt;Mathematical models&lt;/keyword&gt;&lt;keyword&gt;Drug release kinetics&lt;/keyword&gt;&lt;keyword&gt;Zero order&lt;/keyword&gt;&lt;keyword&gt;First order&lt;/keyword&gt;&lt;keyword&gt;Higuchi&lt;/keyword&gt;&lt;keyword&gt;Hixson–Crowell&lt;/keyword&gt;&lt;keyword&gt;Ritger–Peppas&lt;/keyword&gt;&lt;keyword&gt;Kormeyer–Peppas&lt;/keyword&gt;&lt;keyword&gt;Power law&lt;/keyword&gt;&lt;keyword&gt;Brazel–Peppas&lt;/keyword&gt;&lt;keyword&gt;Baker–Lonsdale&lt;/keyword&gt;&lt;keyword&gt;Hopfenberg&lt;/keyword&gt;&lt;keyword&gt;Weibull&lt;/keyword&gt;&lt;keyword&gt;Peppas–Sahlin.&lt;/keyword&gt;&lt;/keywords&gt;&lt;dates&gt;&lt;year&gt;2015&lt;/year&gt;&lt;pub-dates&gt;&lt;date&gt;2015/01/01/&lt;/date&gt;&lt;/pub-dates&gt;&lt;/dates&gt;&lt;publisher&gt;Woodhead Publishing&lt;/publisher&gt;&lt;isbn&gt;978-0-08-100092-2&lt;/isbn&gt;&lt;urls&gt;&lt;related-urls&gt;&lt;url&gt;https://www.sciencedirect.com/science/article/pii/B9780081000922000059&lt;/url&gt;&lt;/related-urls&gt;&lt;/urls&gt;&lt;electronic-resource-num&gt;https://doi.org/10.1016/B978-0-08-100092-2.00005-9&lt;/electronic-resource-num&gt;&lt;/record&gt;&lt;/Cite&gt;&lt;/EndNote&gt;</w:instrText>
      </w:r>
      <w:r w:rsidR="005E2AC7" w:rsidRPr="00413FC1">
        <w:rPr>
          <w:rFonts w:ascii="Times New Roman" w:hAnsi="Times New Roman" w:cs="Times New Roman"/>
          <w:sz w:val="24"/>
          <w:szCs w:val="24"/>
        </w:rPr>
        <w:fldChar w:fldCharType="separate"/>
      </w:r>
      <w:r w:rsidR="005E2AC7">
        <w:rPr>
          <w:rFonts w:ascii="Times New Roman" w:hAnsi="Times New Roman" w:cs="Times New Roman"/>
          <w:noProof/>
          <w:sz w:val="24"/>
          <w:szCs w:val="24"/>
        </w:rPr>
        <w:t>(Bruschi, 2015)</w:t>
      </w:r>
      <w:r w:rsidR="005E2AC7" w:rsidRPr="00413FC1">
        <w:rPr>
          <w:rFonts w:ascii="Times New Roman" w:hAnsi="Times New Roman" w:cs="Times New Roman"/>
          <w:sz w:val="24"/>
          <w:szCs w:val="24"/>
        </w:rPr>
        <w:fldChar w:fldCharType="end"/>
      </w:r>
      <w:r w:rsidR="005E2AC7" w:rsidRPr="00413FC1">
        <w:rPr>
          <w:rFonts w:ascii="Times New Roman" w:hAnsi="Times New Roman" w:cs="Times New Roman"/>
          <w:sz w:val="24"/>
          <w:szCs w:val="24"/>
        </w:rPr>
        <w:t xml:space="preserve">. </w:t>
      </w:r>
      <w:r w:rsidR="005E2AC7" w:rsidRPr="00687494">
        <w:rPr>
          <w:rFonts w:ascii="Times New Roman" w:hAnsi="Times New Roman" w:cs="Times New Roman"/>
          <w:sz w:val="24"/>
        </w:rPr>
        <w:t>The higher diffusivity constant 0.62</w:t>
      </w:r>
      <w:r w:rsidR="005E2AC7">
        <w:rPr>
          <w:rFonts w:ascii="Times New Roman" w:hAnsi="Times New Roman" w:cs="Times New Roman"/>
          <w:sz w:val="24"/>
        </w:rPr>
        <w:t xml:space="preserve"> (</w:t>
      </w:r>
      <w:r w:rsidR="005E2AC7" w:rsidRPr="00BF5FD3">
        <w:rPr>
          <w:rFonts w:ascii="Times New Roman" w:hAnsi="Times New Roman" w:cs="Times New Roman"/>
          <w:b/>
          <w:sz w:val="24"/>
        </w:rPr>
        <w:t xml:space="preserve">Table </w:t>
      </w:r>
      <w:r w:rsidR="005E2AC7">
        <w:rPr>
          <w:rFonts w:ascii="Times New Roman" w:hAnsi="Times New Roman" w:cs="Times New Roman"/>
          <w:b/>
          <w:sz w:val="24"/>
        </w:rPr>
        <w:t>S</w:t>
      </w:r>
      <w:r w:rsidR="005E2AC7" w:rsidRPr="00BF5FD3">
        <w:rPr>
          <w:rFonts w:ascii="Times New Roman" w:hAnsi="Times New Roman" w:cs="Times New Roman"/>
          <w:b/>
          <w:sz w:val="24"/>
        </w:rPr>
        <w:t>2</w:t>
      </w:r>
      <w:r w:rsidR="005E2AC7">
        <w:rPr>
          <w:rFonts w:ascii="Times New Roman" w:hAnsi="Times New Roman" w:cs="Times New Roman"/>
          <w:sz w:val="24"/>
        </w:rPr>
        <w:t>),</w:t>
      </w:r>
      <w:r w:rsidR="005E2AC7" w:rsidRPr="00687494">
        <w:rPr>
          <w:rFonts w:ascii="Times New Roman" w:hAnsi="Times New Roman" w:cs="Times New Roman"/>
          <w:sz w:val="24"/>
        </w:rPr>
        <w:t xml:space="preserve"> in gels with GC indicate that release is more </w:t>
      </w:r>
      <w:r w:rsidR="005E2AC7" w:rsidRPr="00687494">
        <w:rPr>
          <w:rFonts w:ascii="Times New Roman" w:hAnsi="Times New Roman" w:cs="Times New Roman"/>
          <w:sz w:val="24"/>
        </w:rPr>
        <w:lastRenderedPageBreak/>
        <w:t xml:space="preserve">likely due to swelling </w:t>
      </w:r>
      <w:r w:rsidR="005E2AC7" w:rsidRPr="00687494">
        <w:rPr>
          <w:rFonts w:ascii="Times New Roman" w:hAnsi="Times New Roman" w:cs="Times New Roman"/>
          <w:sz w:val="24"/>
        </w:rPr>
        <w:fldChar w:fldCharType="begin"/>
      </w:r>
      <w:r w:rsidR="005E2AC7">
        <w:rPr>
          <w:rFonts w:ascii="Times New Roman" w:hAnsi="Times New Roman" w:cs="Times New Roman"/>
          <w:sz w:val="24"/>
        </w:rPr>
        <w:instrText xml:space="preserve"> ADDIN EN.CITE &lt;EndNote&gt;&lt;Cite&gt;&lt;Author&gt;Vigata&lt;/Author&gt;&lt;Year&gt;2020&lt;/Year&gt;&lt;RecNum&gt;1941&lt;/RecNum&gt;&lt;DisplayText&gt;(Vigata et al., 2020)&lt;/DisplayText&gt;&lt;record&gt;&lt;rec-number&gt;1941&lt;/rec-number&gt;&lt;foreign-keys&gt;&lt;key app="EN" db-id="tvaxz09zld2sr6eswrtpd2t795twdppdtzsp" timestamp="1612452439" guid="ab049214-f310-42d2-98e5-bb2b7831479a"&gt;1941&lt;/key&gt;&lt;/foreign-keys&gt;&lt;ref-type name="Journal Article"&gt;17&lt;/ref-type&gt;&lt;contributors&gt;&lt;authors&gt;&lt;author&gt;Vigata, Margaux&lt;/author&gt;&lt;author&gt;Meinert, Christoph&lt;/author&gt;&lt;author&gt;Hutmacher, Dietmar W.&lt;/author&gt;&lt;author&gt;Bock, Nathalie&lt;/author&gt;&lt;/authors&gt;&lt;/contributors&gt;&lt;titles&gt;&lt;title&gt;Hydrogels as Drug Delivery Systems: A Review of Current Characterization and Evaluation Techniques&lt;/title&gt;&lt;secondary-title&gt;Pharmaceutics&lt;/secondary-title&gt;&lt;alt-title&gt;Pharmaceutics&lt;/alt-title&gt;&lt;/titles&gt;&lt;periodical&gt;&lt;full-title&gt;Pharmaceutics&lt;/full-title&gt;&lt;abbr-1&gt;Pharmaceutics&lt;/abbr-1&gt;&lt;/periodical&gt;&lt;alt-periodical&gt;&lt;full-title&gt;Pharmaceutics&lt;/full-title&gt;&lt;abbr-1&gt;Pharmaceutics&lt;/abbr-1&gt;&lt;/alt-periodical&gt;&lt;pages&gt;1188&lt;/pages&gt;&lt;volume&gt;12&lt;/volume&gt;&lt;number&gt;12&lt;/number&gt;&lt;keywords&gt;&lt;keyword&gt;characterization techniques&lt;/keyword&gt;&lt;keyword&gt;drug diffusion coefficient&lt;/keyword&gt;&lt;keyword&gt;drug release kinetics&lt;/keyword&gt;&lt;keyword&gt;hydrogel drug delivery system&lt;/keyword&gt;&lt;/keywords&gt;&lt;dates&gt;&lt;year&gt;2020&lt;/year&gt;&lt;/dates&gt;&lt;publisher&gt;MDPI&lt;/publisher&gt;&lt;isbn&gt;1999-4923&lt;/isbn&gt;&lt;accession-num&gt;33297493&lt;/accession-num&gt;&lt;urls&gt;&lt;related-urls&gt;&lt;url&gt;https://pubmed.ncbi.nlm.nih.gov/33297493&lt;/url&gt;&lt;url&gt;https://www.ncbi.nlm.nih.gov/pmc/articles/PMC7762425/&lt;/url&gt;&lt;/related-urls&gt;&lt;/urls&gt;&lt;electronic-resource-num&gt;10.3390/pharmaceutics12121188&lt;/electronic-resource-num&gt;&lt;remote-database-name&gt;PubMed&lt;/remote-database-name&gt;&lt;language&gt;eng&lt;/language&gt;&lt;/record&gt;&lt;/Cite&gt;&lt;/EndNote&gt;</w:instrText>
      </w:r>
      <w:r w:rsidR="005E2AC7" w:rsidRPr="00687494">
        <w:rPr>
          <w:rFonts w:ascii="Times New Roman" w:hAnsi="Times New Roman" w:cs="Times New Roman"/>
          <w:sz w:val="24"/>
        </w:rPr>
        <w:fldChar w:fldCharType="separate"/>
      </w:r>
      <w:r w:rsidR="005E2AC7">
        <w:rPr>
          <w:rFonts w:ascii="Times New Roman" w:hAnsi="Times New Roman" w:cs="Times New Roman"/>
          <w:noProof/>
          <w:sz w:val="24"/>
        </w:rPr>
        <w:t>(Vigata et al., 2020)</w:t>
      </w:r>
      <w:r w:rsidR="005E2AC7" w:rsidRPr="00687494">
        <w:rPr>
          <w:rFonts w:ascii="Times New Roman" w:hAnsi="Times New Roman" w:cs="Times New Roman"/>
          <w:sz w:val="24"/>
        </w:rPr>
        <w:fldChar w:fldCharType="end"/>
      </w:r>
      <w:r w:rsidR="005E2AC7" w:rsidRPr="00687494">
        <w:rPr>
          <w:rFonts w:ascii="Times New Roman" w:hAnsi="Times New Roman" w:cs="Times New Roman"/>
          <w:sz w:val="24"/>
        </w:rPr>
        <w:t>, which would correlate with swelling/stability studies (</w:t>
      </w:r>
      <w:r w:rsidR="005E2AC7">
        <w:rPr>
          <w:rFonts w:ascii="Times New Roman" w:hAnsi="Times New Roman" w:cs="Times New Roman"/>
          <w:b/>
          <w:sz w:val="24"/>
        </w:rPr>
        <w:t>main manuscript, Fig. 3)</w:t>
      </w:r>
      <w:r w:rsidR="005E2AC7">
        <w:rPr>
          <w:rFonts w:ascii="Times New Roman" w:hAnsi="Times New Roman" w:cs="Times New Roman"/>
          <w:sz w:val="24"/>
        </w:rPr>
        <w:t>.</w:t>
      </w:r>
    </w:p>
    <w:p w14:paraId="7C4F6935" w14:textId="2186988E" w:rsidR="004C0166" w:rsidRPr="00533DBB" w:rsidRDefault="004C0166" w:rsidP="004C0166">
      <w:pPr>
        <w:rPr>
          <w:rFonts w:ascii="Times New Roman" w:hAnsi="Times New Roman" w:cs="Times New Roman"/>
        </w:rPr>
      </w:pPr>
      <w:r>
        <w:rPr>
          <w:rFonts w:ascii="Times New Roman" w:hAnsi="Times New Roman" w:cs="Times New Roman"/>
          <w:b/>
        </w:rPr>
        <w:t>Table S2</w:t>
      </w:r>
      <w:r w:rsidRPr="0068570B">
        <w:rPr>
          <w:rFonts w:ascii="Times New Roman" w:hAnsi="Times New Roman" w:cs="Times New Roman"/>
          <w:b/>
        </w:rPr>
        <w:t xml:space="preserve"> </w:t>
      </w:r>
      <w:r w:rsidRPr="00413FC1">
        <w:rPr>
          <w:rFonts w:ascii="Times New Roman" w:hAnsi="Times New Roman" w:cs="Times New Roman"/>
        </w:rPr>
        <w:t>Table of diffusivity constants and release kinetics, as determined by fitting of the calculated release data to the Korsmeyer Peppas model.</w:t>
      </w:r>
    </w:p>
    <w:tbl>
      <w:tblPr>
        <w:tblStyle w:val="TableGrid"/>
        <w:tblW w:w="8567" w:type="dxa"/>
        <w:tblLook w:val="04A0" w:firstRow="1" w:lastRow="0" w:firstColumn="1" w:lastColumn="0" w:noHBand="0" w:noVBand="1"/>
      </w:tblPr>
      <w:tblGrid>
        <w:gridCol w:w="2122"/>
        <w:gridCol w:w="1275"/>
        <w:gridCol w:w="993"/>
        <w:gridCol w:w="850"/>
        <w:gridCol w:w="2410"/>
        <w:gridCol w:w="917"/>
      </w:tblGrid>
      <w:tr w:rsidR="004C0166" w14:paraId="30E19F30" w14:textId="77777777" w:rsidTr="002A611F">
        <w:trPr>
          <w:trHeight w:val="485"/>
        </w:trPr>
        <w:tc>
          <w:tcPr>
            <w:tcW w:w="2122" w:type="dxa"/>
          </w:tcPr>
          <w:p w14:paraId="0D841F73" w14:textId="77777777" w:rsidR="004C0166" w:rsidRPr="00F7386D" w:rsidRDefault="004C0166" w:rsidP="002A611F">
            <w:pPr>
              <w:spacing w:line="360" w:lineRule="auto"/>
              <w:rPr>
                <w:rFonts w:ascii="Times New Roman" w:hAnsi="Times New Roman" w:cs="Times New Roman"/>
                <w:b/>
                <w:color w:val="000000" w:themeColor="text1"/>
              </w:rPr>
            </w:pPr>
            <w:r w:rsidRPr="00F7386D">
              <w:rPr>
                <w:rFonts w:ascii="Times New Roman" w:hAnsi="Times New Roman" w:cs="Times New Roman"/>
                <w:b/>
                <w:bCs/>
                <w:color w:val="000000" w:themeColor="text1"/>
                <w:kern w:val="24"/>
              </w:rPr>
              <w:t>Sample</w:t>
            </w:r>
          </w:p>
        </w:tc>
        <w:tc>
          <w:tcPr>
            <w:tcW w:w="1275" w:type="dxa"/>
          </w:tcPr>
          <w:p w14:paraId="20B748BC" w14:textId="77777777" w:rsidR="004C0166" w:rsidRPr="00F7386D" w:rsidRDefault="004C0166" w:rsidP="002A611F">
            <w:pPr>
              <w:spacing w:line="360" w:lineRule="auto"/>
              <w:rPr>
                <w:rFonts w:ascii="Times New Roman" w:hAnsi="Times New Roman" w:cs="Times New Roman"/>
                <w:b/>
                <w:color w:val="000000" w:themeColor="text1"/>
              </w:rPr>
            </w:pPr>
            <w:r w:rsidRPr="00F7386D">
              <w:rPr>
                <w:rFonts w:ascii="Times New Roman" w:hAnsi="Times New Roman" w:cs="Times New Roman"/>
                <w:b/>
                <w:bCs/>
                <w:color w:val="000000" w:themeColor="text1"/>
                <w:kern w:val="24"/>
              </w:rPr>
              <w:t>D.O</w:t>
            </w:r>
          </w:p>
        </w:tc>
        <w:tc>
          <w:tcPr>
            <w:tcW w:w="993" w:type="dxa"/>
          </w:tcPr>
          <w:p w14:paraId="326E127D" w14:textId="77777777" w:rsidR="004C0166" w:rsidRPr="00F7386D" w:rsidRDefault="004C0166" w:rsidP="002A611F">
            <w:pPr>
              <w:spacing w:line="360" w:lineRule="auto"/>
              <w:rPr>
                <w:rFonts w:ascii="Times New Roman" w:hAnsi="Times New Roman" w:cs="Times New Roman"/>
                <w:b/>
                <w:color w:val="000000" w:themeColor="text1"/>
              </w:rPr>
            </w:pPr>
            <w:r w:rsidRPr="00F7386D">
              <w:rPr>
                <w:rFonts w:ascii="Times New Roman" w:hAnsi="Times New Roman" w:cs="Times New Roman"/>
                <w:b/>
                <w:bCs/>
                <w:color w:val="000000" w:themeColor="text1"/>
                <w:kern w:val="24"/>
              </w:rPr>
              <w:t>K</w:t>
            </w:r>
          </w:p>
        </w:tc>
        <w:tc>
          <w:tcPr>
            <w:tcW w:w="850" w:type="dxa"/>
          </w:tcPr>
          <w:p w14:paraId="43C8161C" w14:textId="77777777" w:rsidR="004C0166" w:rsidRPr="00F7386D" w:rsidRDefault="004C0166" w:rsidP="002A611F">
            <w:pPr>
              <w:spacing w:line="360" w:lineRule="auto"/>
              <w:rPr>
                <w:rFonts w:ascii="Times New Roman" w:hAnsi="Times New Roman" w:cs="Times New Roman"/>
                <w:b/>
                <w:color w:val="000000" w:themeColor="text1"/>
              </w:rPr>
            </w:pPr>
            <w:r w:rsidRPr="00F7386D">
              <w:rPr>
                <w:rFonts w:ascii="Times New Roman" w:hAnsi="Times New Roman" w:cs="Times New Roman"/>
                <w:b/>
                <w:bCs/>
                <w:color w:val="000000" w:themeColor="text1"/>
                <w:kern w:val="24"/>
              </w:rPr>
              <w:t>n</w:t>
            </w:r>
          </w:p>
        </w:tc>
        <w:tc>
          <w:tcPr>
            <w:tcW w:w="2410" w:type="dxa"/>
          </w:tcPr>
          <w:p w14:paraId="6E04FBB2" w14:textId="77777777" w:rsidR="004C0166" w:rsidRPr="00F7386D" w:rsidRDefault="004C0166" w:rsidP="002A611F">
            <w:pPr>
              <w:spacing w:line="360" w:lineRule="auto"/>
              <w:rPr>
                <w:rFonts w:ascii="Times New Roman" w:hAnsi="Times New Roman" w:cs="Times New Roman"/>
                <w:b/>
                <w:bCs/>
                <w:color w:val="000000" w:themeColor="text1"/>
                <w:kern w:val="24"/>
              </w:rPr>
            </w:pPr>
            <w:r>
              <w:rPr>
                <w:rFonts w:ascii="Times New Roman" w:hAnsi="Times New Roman" w:cs="Times New Roman"/>
                <w:b/>
                <w:bCs/>
                <w:color w:val="000000" w:themeColor="text1"/>
                <w:kern w:val="24"/>
              </w:rPr>
              <w:t>Type of Transport</w:t>
            </w:r>
          </w:p>
        </w:tc>
        <w:tc>
          <w:tcPr>
            <w:tcW w:w="917" w:type="dxa"/>
          </w:tcPr>
          <w:p w14:paraId="5038DF76" w14:textId="77777777" w:rsidR="004C0166" w:rsidRPr="00F7386D" w:rsidRDefault="004C0166" w:rsidP="002A611F">
            <w:pPr>
              <w:spacing w:line="360" w:lineRule="auto"/>
              <w:rPr>
                <w:rFonts w:ascii="Times New Roman" w:hAnsi="Times New Roman" w:cs="Times New Roman"/>
                <w:b/>
                <w:color w:val="000000" w:themeColor="text1"/>
              </w:rPr>
            </w:pPr>
            <w:r w:rsidRPr="00F7386D">
              <w:rPr>
                <w:rFonts w:ascii="Times New Roman" w:hAnsi="Times New Roman" w:cs="Times New Roman"/>
                <w:b/>
                <w:bCs/>
                <w:color w:val="000000" w:themeColor="text1"/>
                <w:kern w:val="24"/>
              </w:rPr>
              <w:t>R</w:t>
            </w:r>
            <w:r w:rsidRPr="00F7386D">
              <w:rPr>
                <w:rFonts w:ascii="Times New Roman" w:hAnsi="Times New Roman" w:cs="Times New Roman"/>
                <w:b/>
                <w:bCs/>
                <w:color w:val="000000" w:themeColor="text1"/>
                <w:kern w:val="24"/>
                <w:position w:val="11"/>
                <w:vertAlign w:val="superscript"/>
              </w:rPr>
              <w:t>2</w:t>
            </w:r>
          </w:p>
        </w:tc>
      </w:tr>
      <w:tr w:rsidR="004C0166" w14:paraId="783F8826" w14:textId="77777777" w:rsidTr="002A611F">
        <w:trPr>
          <w:trHeight w:val="466"/>
        </w:trPr>
        <w:tc>
          <w:tcPr>
            <w:tcW w:w="2122" w:type="dxa"/>
          </w:tcPr>
          <w:p w14:paraId="5AA4CECD" w14:textId="77777777" w:rsidR="004C0166" w:rsidRPr="00F7386D" w:rsidRDefault="004C0166" w:rsidP="002A611F">
            <w:pPr>
              <w:spacing w:line="360" w:lineRule="auto"/>
              <w:rPr>
                <w:rFonts w:ascii="Times New Roman" w:hAnsi="Times New Roman" w:cs="Times New Roman"/>
                <w:b/>
              </w:rPr>
            </w:pPr>
            <w:r w:rsidRPr="00F7386D">
              <w:rPr>
                <w:rFonts w:ascii="Times New Roman" w:hAnsi="Times New Roman" w:cs="Times New Roman"/>
                <w:b/>
                <w:bCs/>
                <w:color w:val="000000" w:themeColor="text1"/>
                <w:kern w:val="24"/>
              </w:rPr>
              <w:t>Dex</w:t>
            </w:r>
            <w:r w:rsidRPr="00F7386D">
              <w:rPr>
                <w:rFonts w:ascii="Times New Roman" w:hAnsi="Times New Roman" w:cs="Times New Roman"/>
                <w:b/>
                <w:bCs/>
                <w:color w:val="000000" w:themeColor="text1"/>
                <w:kern w:val="24"/>
                <w:position w:val="-9"/>
                <w:vertAlign w:val="subscript"/>
              </w:rPr>
              <w:t>14%</w:t>
            </w:r>
            <w:r w:rsidRPr="00F7386D">
              <w:rPr>
                <w:rFonts w:ascii="Times New Roman" w:hAnsi="Times New Roman" w:cs="Times New Roman"/>
                <w:b/>
                <w:bCs/>
                <w:color w:val="000000" w:themeColor="text1"/>
                <w:kern w:val="24"/>
              </w:rPr>
              <w:t>-Alg</w:t>
            </w:r>
          </w:p>
        </w:tc>
        <w:tc>
          <w:tcPr>
            <w:tcW w:w="1275" w:type="dxa"/>
          </w:tcPr>
          <w:p w14:paraId="7F9E6A8E" w14:textId="77777777" w:rsidR="004C0166" w:rsidRPr="00F7386D" w:rsidRDefault="004C0166" w:rsidP="002A611F">
            <w:pPr>
              <w:spacing w:line="360" w:lineRule="auto"/>
              <w:rPr>
                <w:rFonts w:ascii="Times New Roman" w:hAnsi="Times New Roman" w:cs="Times New Roman"/>
                <w:b/>
              </w:rPr>
            </w:pPr>
            <w:r w:rsidRPr="00F7386D">
              <w:rPr>
                <w:rFonts w:ascii="Times New Roman" w:hAnsi="Times New Roman" w:cs="Times New Roman"/>
                <w:color w:val="000000" w:themeColor="text1"/>
                <w:kern w:val="24"/>
              </w:rPr>
              <w:t>14%</w:t>
            </w:r>
          </w:p>
        </w:tc>
        <w:tc>
          <w:tcPr>
            <w:tcW w:w="993" w:type="dxa"/>
          </w:tcPr>
          <w:p w14:paraId="7B6AD2DA" w14:textId="77777777" w:rsidR="004C0166" w:rsidRPr="00F7386D" w:rsidRDefault="004C0166" w:rsidP="002A611F">
            <w:pPr>
              <w:spacing w:line="360" w:lineRule="auto"/>
              <w:rPr>
                <w:rFonts w:ascii="Times New Roman" w:hAnsi="Times New Roman" w:cs="Times New Roman"/>
                <w:b/>
              </w:rPr>
            </w:pPr>
            <w:r>
              <w:rPr>
                <w:rFonts w:ascii="Times New Roman" w:hAnsi="Times New Roman" w:cs="Times New Roman"/>
                <w:color w:val="000000" w:themeColor="text1"/>
                <w:kern w:val="24"/>
              </w:rPr>
              <w:t>173</w:t>
            </w:r>
          </w:p>
        </w:tc>
        <w:tc>
          <w:tcPr>
            <w:tcW w:w="850" w:type="dxa"/>
          </w:tcPr>
          <w:p w14:paraId="4C27EC68" w14:textId="77777777" w:rsidR="004C0166" w:rsidRPr="00F7386D" w:rsidRDefault="004C0166" w:rsidP="002A611F">
            <w:pPr>
              <w:spacing w:line="360" w:lineRule="auto"/>
              <w:rPr>
                <w:rFonts w:ascii="Times New Roman" w:hAnsi="Times New Roman" w:cs="Times New Roman"/>
                <w:b/>
              </w:rPr>
            </w:pPr>
            <w:r>
              <w:rPr>
                <w:rFonts w:ascii="Times New Roman" w:hAnsi="Times New Roman" w:cs="Times New Roman"/>
                <w:color w:val="000000" w:themeColor="text1"/>
                <w:kern w:val="24"/>
              </w:rPr>
              <w:t>0.54</w:t>
            </w:r>
          </w:p>
        </w:tc>
        <w:tc>
          <w:tcPr>
            <w:tcW w:w="2410" w:type="dxa"/>
          </w:tcPr>
          <w:p w14:paraId="32A52B52" w14:textId="77777777" w:rsidR="004C0166" w:rsidRPr="00F7386D" w:rsidRDefault="004C0166" w:rsidP="002A611F">
            <w:pPr>
              <w:spacing w:line="360" w:lineRule="auto"/>
              <w:rPr>
                <w:rFonts w:ascii="Times New Roman" w:hAnsi="Times New Roman" w:cs="Times New Roman"/>
                <w:color w:val="000000" w:themeColor="text1"/>
                <w:kern w:val="24"/>
              </w:rPr>
            </w:pPr>
            <w:r>
              <w:rPr>
                <w:rFonts w:ascii="Times New Roman" w:hAnsi="Times New Roman" w:cs="Times New Roman"/>
                <w:color w:val="000000" w:themeColor="text1"/>
                <w:kern w:val="24"/>
              </w:rPr>
              <w:t>Non-Fickian</w:t>
            </w:r>
          </w:p>
        </w:tc>
        <w:tc>
          <w:tcPr>
            <w:tcW w:w="917" w:type="dxa"/>
          </w:tcPr>
          <w:p w14:paraId="057BC4F4" w14:textId="77777777" w:rsidR="004C0166" w:rsidRPr="00F7386D" w:rsidRDefault="004C0166" w:rsidP="002A611F">
            <w:pPr>
              <w:spacing w:line="360" w:lineRule="auto"/>
              <w:rPr>
                <w:rFonts w:ascii="Times New Roman" w:hAnsi="Times New Roman" w:cs="Times New Roman"/>
                <w:b/>
              </w:rPr>
            </w:pPr>
            <w:r>
              <w:rPr>
                <w:rFonts w:ascii="Times New Roman" w:hAnsi="Times New Roman" w:cs="Times New Roman"/>
                <w:color w:val="000000" w:themeColor="text1"/>
                <w:kern w:val="24"/>
              </w:rPr>
              <w:t>0.99</w:t>
            </w:r>
          </w:p>
        </w:tc>
      </w:tr>
      <w:tr w:rsidR="004C0166" w14:paraId="5E2FE1B5" w14:textId="77777777" w:rsidTr="002A611F">
        <w:trPr>
          <w:trHeight w:val="466"/>
        </w:trPr>
        <w:tc>
          <w:tcPr>
            <w:tcW w:w="2122" w:type="dxa"/>
          </w:tcPr>
          <w:p w14:paraId="38570CE5" w14:textId="77777777" w:rsidR="004C0166" w:rsidRPr="00F7386D" w:rsidRDefault="004C0166" w:rsidP="002A611F">
            <w:pPr>
              <w:spacing w:line="360" w:lineRule="auto"/>
              <w:rPr>
                <w:rFonts w:ascii="Times New Roman" w:hAnsi="Times New Roman" w:cs="Times New Roman"/>
                <w:b/>
              </w:rPr>
            </w:pPr>
            <w:r w:rsidRPr="00F7386D">
              <w:rPr>
                <w:rFonts w:ascii="Times New Roman" w:hAnsi="Times New Roman" w:cs="Times New Roman"/>
                <w:b/>
                <w:bCs/>
                <w:color w:val="000000" w:themeColor="text1"/>
                <w:kern w:val="24"/>
              </w:rPr>
              <w:t>Dex</w:t>
            </w:r>
            <w:r w:rsidRPr="00F7386D">
              <w:rPr>
                <w:rFonts w:ascii="Times New Roman" w:hAnsi="Times New Roman" w:cs="Times New Roman"/>
                <w:b/>
                <w:bCs/>
                <w:color w:val="000000" w:themeColor="text1"/>
                <w:kern w:val="24"/>
                <w:position w:val="-9"/>
                <w:vertAlign w:val="subscript"/>
              </w:rPr>
              <w:t>14%</w:t>
            </w:r>
            <w:r w:rsidRPr="00F7386D">
              <w:rPr>
                <w:rFonts w:ascii="Times New Roman" w:hAnsi="Times New Roman" w:cs="Times New Roman"/>
                <w:b/>
                <w:bCs/>
                <w:color w:val="000000" w:themeColor="text1"/>
                <w:kern w:val="24"/>
              </w:rPr>
              <w:t>-GC</w:t>
            </w:r>
            <w:r>
              <w:rPr>
                <w:rFonts w:ascii="Times New Roman" w:hAnsi="Times New Roman" w:cs="Times New Roman"/>
                <w:b/>
                <w:bCs/>
                <w:color w:val="000000" w:themeColor="text1"/>
                <w:kern w:val="24"/>
              </w:rPr>
              <w:t>-Alg</w:t>
            </w:r>
          </w:p>
        </w:tc>
        <w:tc>
          <w:tcPr>
            <w:tcW w:w="1275" w:type="dxa"/>
          </w:tcPr>
          <w:p w14:paraId="7E968707" w14:textId="77777777" w:rsidR="004C0166" w:rsidRPr="00F7386D" w:rsidRDefault="004C0166" w:rsidP="002A611F">
            <w:pPr>
              <w:spacing w:line="360" w:lineRule="auto"/>
              <w:rPr>
                <w:rFonts w:ascii="Times New Roman" w:hAnsi="Times New Roman" w:cs="Times New Roman"/>
                <w:b/>
              </w:rPr>
            </w:pPr>
            <w:r w:rsidRPr="00F7386D">
              <w:rPr>
                <w:rFonts w:ascii="Times New Roman" w:hAnsi="Times New Roman" w:cs="Times New Roman"/>
                <w:color w:val="000000" w:themeColor="text1"/>
                <w:kern w:val="24"/>
              </w:rPr>
              <w:t>14%</w:t>
            </w:r>
          </w:p>
        </w:tc>
        <w:tc>
          <w:tcPr>
            <w:tcW w:w="993" w:type="dxa"/>
          </w:tcPr>
          <w:p w14:paraId="6FC70F93" w14:textId="77777777" w:rsidR="004C0166" w:rsidRPr="00F7386D" w:rsidRDefault="004C0166" w:rsidP="002A611F">
            <w:pPr>
              <w:spacing w:line="360" w:lineRule="auto"/>
              <w:rPr>
                <w:rFonts w:ascii="Times New Roman" w:hAnsi="Times New Roman" w:cs="Times New Roman"/>
                <w:b/>
              </w:rPr>
            </w:pPr>
            <w:r>
              <w:rPr>
                <w:rFonts w:ascii="Times New Roman" w:hAnsi="Times New Roman" w:cs="Times New Roman"/>
                <w:color w:val="000000" w:themeColor="text1"/>
                <w:kern w:val="24"/>
              </w:rPr>
              <w:t>241</w:t>
            </w:r>
          </w:p>
        </w:tc>
        <w:tc>
          <w:tcPr>
            <w:tcW w:w="850" w:type="dxa"/>
          </w:tcPr>
          <w:p w14:paraId="42AD7A4E" w14:textId="77777777" w:rsidR="004C0166" w:rsidRPr="00F7386D" w:rsidRDefault="004C0166" w:rsidP="002A611F">
            <w:pPr>
              <w:spacing w:line="360" w:lineRule="auto"/>
              <w:rPr>
                <w:rFonts w:ascii="Times New Roman" w:hAnsi="Times New Roman" w:cs="Times New Roman"/>
                <w:b/>
              </w:rPr>
            </w:pPr>
            <w:r>
              <w:rPr>
                <w:rFonts w:ascii="Times New Roman" w:hAnsi="Times New Roman" w:cs="Times New Roman"/>
                <w:color w:val="000000" w:themeColor="text1"/>
                <w:kern w:val="24"/>
              </w:rPr>
              <w:t>0.62</w:t>
            </w:r>
          </w:p>
        </w:tc>
        <w:tc>
          <w:tcPr>
            <w:tcW w:w="2410" w:type="dxa"/>
          </w:tcPr>
          <w:p w14:paraId="1439DE93" w14:textId="77777777" w:rsidR="004C0166" w:rsidRPr="00F7386D" w:rsidRDefault="004C0166" w:rsidP="002A611F">
            <w:pPr>
              <w:spacing w:line="360" w:lineRule="auto"/>
              <w:rPr>
                <w:rFonts w:ascii="Times New Roman" w:hAnsi="Times New Roman" w:cs="Times New Roman"/>
                <w:color w:val="000000" w:themeColor="text1"/>
                <w:kern w:val="24"/>
              </w:rPr>
            </w:pPr>
            <w:r w:rsidRPr="001B763C">
              <w:rPr>
                <w:rFonts w:ascii="Times New Roman" w:hAnsi="Times New Roman" w:cs="Times New Roman"/>
                <w:color w:val="000000" w:themeColor="text1"/>
                <w:kern w:val="24"/>
              </w:rPr>
              <w:t>Non-Fickian</w:t>
            </w:r>
          </w:p>
        </w:tc>
        <w:tc>
          <w:tcPr>
            <w:tcW w:w="917" w:type="dxa"/>
          </w:tcPr>
          <w:p w14:paraId="0B1C77E2" w14:textId="77777777" w:rsidR="004C0166" w:rsidRPr="00F7386D" w:rsidRDefault="004C0166" w:rsidP="002A611F">
            <w:pPr>
              <w:spacing w:line="360" w:lineRule="auto"/>
              <w:rPr>
                <w:rFonts w:ascii="Times New Roman" w:hAnsi="Times New Roman" w:cs="Times New Roman"/>
                <w:b/>
              </w:rPr>
            </w:pPr>
            <w:r>
              <w:rPr>
                <w:rFonts w:ascii="Times New Roman" w:hAnsi="Times New Roman" w:cs="Times New Roman"/>
                <w:color w:val="000000" w:themeColor="text1"/>
                <w:kern w:val="24"/>
              </w:rPr>
              <w:t>0.99</w:t>
            </w:r>
          </w:p>
        </w:tc>
      </w:tr>
      <w:tr w:rsidR="004C0166" w14:paraId="07E2F53C" w14:textId="77777777" w:rsidTr="002A611F">
        <w:trPr>
          <w:trHeight w:val="466"/>
        </w:trPr>
        <w:tc>
          <w:tcPr>
            <w:tcW w:w="2122" w:type="dxa"/>
          </w:tcPr>
          <w:p w14:paraId="6DF2B6F7" w14:textId="77777777" w:rsidR="004C0166" w:rsidRPr="00F7386D" w:rsidRDefault="004C0166" w:rsidP="002A611F">
            <w:pPr>
              <w:spacing w:line="360" w:lineRule="auto"/>
              <w:rPr>
                <w:rFonts w:ascii="Times New Roman" w:hAnsi="Times New Roman" w:cs="Times New Roman"/>
                <w:b/>
              </w:rPr>
            </w:pPr>
            <w:r w:rsidRPr="00F7386D">
              <w:rPr>
                <w:rFonts w:ascii="Times New Roman" w:hAnsi="Times New Roman" w:cs="Times New Roman"/>
                <w:b/>
                <w:bCs/>
                <w:color w:val="000000" w:themeColor="text1"/>
                <w:kern w:val="24"/>
              </w:rPr>
              <w:t>Dex60</w:t>
            </w:r>
            <w:r w:rsidRPr="00F7386D">
              <w:rPr>
                <w:rFonts w:ascii="Times New Roman" w:hAnsi="Times New Roman" w:cs="Times New Roman"/>
                <w:b/>
                <w:bCs/>
                <w:color w:val="000000" w:themeColor="text1"/>
                <w:kern w:val="24"/>
                <w:position w:val="-9"/>
                <w:vertAlign w:val="subscript"/>
              </w:rPr>
              <w:t>15%</w:t>
            </w:r>
            <w:r w:rsidRPr="007E1AE5">
              <w:rPr>
                <w:rFonts w:ascii="Times New Roman" w:hAnsi="Times New Roman" w:cs="Times New Roman"/>
                <w:b/>
                <w:bCs/>
                <w:color w:val="000000" w:themeColor="text1"/>
                <w:kern w:val="24"/>
                <w:position w:val="-9"/>
              </w:rPr>
              <w:t>-Alg</w:t>
            </w:r>
          </w:p>
        </w:tc>
        <w:tc>
          <w:tcPr>
            <w:tcW w:w="1275" w:type="dxa"/>
          </w:tcPr>
          <w:p w14:paraId="1362163F" w14:textId="77777777" w:rsidR="004C0166" w:rsidRPr="00F7386D" w:rsidRDefault="004C0166" w:rsidP="002A611F">
            <w:pPr>
              <w:spacing w:line="360" w:lineRule="auto"/>
              <w:rPr>
                <w:rFonts w:ascii="Times New Roman" w:hAnsi="Times New Roman" w:cs="Times New Roman"/>
                <w:b/>
              </w:rPr>
            </w:pPr>
            <w:r w:rsidRPr="00F7386D">
              <w:rPr>
                <w:rFonts w:ascii="Times New Roman" w:hAnsi="Times New Roman" w:cs="Times New Roman"/>
                <w:color w:val="000000" w:themeColor="text1"/>
                <w:kern w:val="24"/>
              </w:rPr>
              <w:t>15%</w:t>
            </w:r>
          </w:p>
        </w:tc>
        <w:tc>
          <w:tcPr>
            <w:tcW w:w="993" w:type="dxa"/>
          </w:tcPr>
          <w:p w14:paraId="34FC33BF" w14:textId="77777777" w:rsidR="004C0166" w:rsidRPr="00F7386D" w:rsidRDefault="004C0166" w:rsidP="002A611F">
            <w:pPr>
              <w:spacing w:line="360" w:lineRule="auto"/>
              <w:rPr>
                <w:rFonts w:ascii="Times New Roman" w:hAnsi="Times New Roman" w:cs="Times New Roman"/>
                <w:b/>
              </w:rPr>
            </w:pPr>
            <w:r>
              <w:rPr>
                <w:rFonts w:ascii="Times New Roman" w:hAnsi="Times New Roman" w:cs="Times New Roman"/>
                <w:color w:val="000000" w:themeColor="text1"/>
                <w:kern w:val="24"/>
              </w:rPr>
              <w:t>194</w:t>
            </w:r>
          </w:p>
        </w:tc>
        <w:tc>
          <w:tcPr>
            <w:tcW w:w="850" w:type="dxa"/>
          </w:tcPr>
          <w:p w14:paraId="4A59FD74" w14:textId="77777777" w:rsidR="004C0166" w:rsidRPr="00F7386D" w:rsidRDefault="004C0166" w:rsidP="002A611F">
            <w:pPr>
              <w:spacing w:line="360" w:lineRule="auto"/>
              <w:rPr>
                <w:rFonts w:ascii="Times New Roman" w:hAnsi="Times New Roman" w:cs="Times New Roman"/>
                <w:b/>
              </w:rPr>
            </w:pPr>
            <w:r>
              <w:rPr>
                <w:rFonts w:ascii="Times New Roman" w:hAnsi="Times New Roman" w:cs="Times New Roman"/>
                <w:color w:val="000000" w:themeColor="text1"/>
                <w:kern w:val="24"/>
              </w:rPr>
              <w:t>0.56</w:t>
            </w:r>
          </w:p>
        </w:tc>
        <w:tc>
          <w:tcPr>
            <w:tcW w:w="2410" w:type="dxa"/>
          </w:tcPr>
          <w:p w14:paraId="795D2786" w14:textId="77777777" w:rsidR="004C0166" w:rsidRPr="00F7386D" w:rsidRDefault="004C0166" w:rsidP="002A611F">
            <w:pPr>
              <w:spacing w:line="360" w:lineRule="auto"/>
              <w:rPr>
                <w:rFonts w:ascii="Times New Roman" w:hAnsi="Times New Roman" w:cs="Times New Roman"/>
                <w:color w:val="000000" w:themeColor="text1"/>
                <w:kern w:val="24"/>
              </w:rPr>
            </w:pPr>
            <w:r w:rsidRPr="001B763C">
              <w:rPr>
                <w:rFonts w:ascii="Times New Roman" w:hAnsi="Times New Roman" w:cs="Times New Roman"/>
                <w:color w:val="000000" w:themeColor="text1"/>
                <w:kern w:val="24"/>
              </w:rPr>
              <w:t>Non-Fickian</w:t>
            </w:r>
          </w:p>
        </w:tc>
        <w:tc>
          <w:tcPr>
            <w:tcW w:w="917" w:type="dxa"/>
          </w:tcPr>
          <w:p w14:paraId="05C23E76" w14:textId="77777777" w:rsidR="004C0166" w:rsidRPr="00F7386D" w:rsidRDefault="004C0166" w:rsidP="002A611F">
            <w:pPr>
              <w:spacing w:line="360" w:lineRule="auto"/>
              <w:rPr>
                <w:rFonts w:ascii="Times New Roman" w:hAnsi="Times New Roman" w:cs="Times New Roman"/>
                <w:b/>
              </w:rPr>
            </w:pPr>
            <w:r>
              <w:rPr>
                <w:rFonts w:ascii="Times New Roman" w:hAnsi="Times New Roman" w:cs="Times New Roman"/>
                <w:color w:val="000000" w:themeColor="text1"/>
                <w:kern w:val="24"/>
              </w:rPr>
              <w:t>0.99</w:t>
            </w:r>
          </w:p>
        </w:tc>
      </w:tr>
      <w:tr w:rsidR="004C0166" w14:paraId="37C89366" w14:textId="77777777" w:rsidTr="002A611F">
        <w:trPr>
          <w:trHeight w:val="446"/>
        </w:trPr>
        <w:tc>
          <w:tcPr>
            <w:tcW w:w="2122" w:type="dxa"/>
          </w:tcPr>
          <w:p w14:paraId="28E6B366" w14:textId="77777777" w:rsidR="004C0166" w:rsidRPr="00F7386D" w:rsidRDefault="004C0166" w:rsidP="002A611F">
            <w:pPr>
              <w:spacing w:line="360" w:lineRule="auto"/>
              <w:rPr>
                <w:rFonts w:ascii="Times New Roman" w:hAnsi="Times New Roman" w:cs="Times New Roman"/>
                <w:b/>
              </w:rPr>
            </w:pPr>
            <w:r w:rsidRPr="00F7386D">
              <w:rPr>
                <w:rFonts w:ascii="Times New Roman" w:hAnsi="Times New Roman" w:cs="Times New Roman"/>
                <w:b/>
                <w:bCs/>
                <w:color w:val="000000" w:themeColor="text1"/>
                <w:kern w:val="24"/>
              </w:rPr>
              <w:t>Dex</w:t>
            </w:r>
            <w:r w:rsidRPr="00F7386D">
              <w:rPr>
                <w:rFonts w:ascii="Times New Roman" w:hAnsi="Times New Roman" w:cs="Times New Roman"/>
                <w:b/>
                <w:bCs/>
                <w:color w:val="000000" w:themeColor="text1"/>
                <w:kern w:val="24"/>
                <w:position w:val="-9"/>
                <w:vertAlign w:val="subscript"/>
              </w:rPr>
              <w:t>34%</w:t>
            </w:r>
            <w:r w:rsidRPr="00F7386D">
              <w:rPr>
                <w:rFonts w:ascii="Times New Roman" w:hAnsi="Times New Roman" w:cs="Times New Roman"/>
                <w:b/>
                <w:bCs/>
                <w:color w:val="000000" w:themeColor="text1"/>
                <w:kern w:val="24"/>
              </w:rPr>
              <w:t>-Alg</w:t>
            </w:r>
          </w:p>
        </w:tc>
        <w:tc>
          <w:tcPr>
            <w:tcW w:w="1275" w:type="dxa"/>
          </w:tcPr>
          <w:p w14:paraId="357D172A" w14:textId="77777777" w:rsidR="004C0166" w:rsidRPr="00F7386D" w:rsidRDefault="004C0166" w:rsidP="002A611F">
            <w:pPr>
              <w:spacing w:line="360" w:lineRule="auto"/>
              <w:rPr>
                <w:rFonts w:ascii="Times New Roman" w:hAnsi="Times New Roman" w:cs="Times New Roman"/>
                <w:b/>
              </w:rPr>
            </w:pPr>
            <w:r w:rsidRPr="00F7386D">
              <w:rPr>
                <w:rFonts w:ascii="Times New Roman" w:hAnsi="Times New Roman" w:cs="Times New Roman"/>
                <w:color w:val="000000" w:themeColor="text1"/>
                <w:kern w:val="24"/>
              </w:rPr>
              <w:t>34%</w:t>
            </w:r>
          </w:p>
        </w:tc>
        <w:tc>
          <w:tcPr>
            <w:tcW w:w="993" w:type="dxa"/>
          </w:tcPr>
          <w:p w14:paraId="1AEE6833" w14:textId="77777777" w:rsidR="004C0166" w:rsidRPr="00F7386D" w:rsidRDefault="004C0166" w:rsidP="002A611F">
            <w:pPr>
              <w:spacing w:line="360" w:lineRule="auto"/>
              <w:rPr>
                <w:rFonts w:ascii="Times New Roman" w:hAnsi="Times New Roman" w:cs="Times New Roman"/>
                <w:b/>
              </w:rPr>
            </w:pPr>
            <w:r>
              <w:rPr>
                <w:rFonts w:ascii="Times New Roman" w:hAnsi="Times New Roman" w:cs="Times New Roman"/>
                <w:color w:val="000000" w:themeColor="text1"/>
                <w:kern w:val="24"/>
              </w:rPr>
              <w:t>38</w:t>
            </w:r>
          </w:p>
        </w:tc>
        <w:tc>
          <w:tcPr>
            <w:tcW w:w="850" w:type="dxa"/>
          </w:tcPr>
          <w:p w14:paraId="47201A02" w14:textId="77777777" w:rsidR="004C0166" w:rsidRPr="00F7386D" w:rsidRDefault="004C0166" w:rsidP="002A611F">
            <w:pPr>
              <w:spacing w:line="360" w:lineRule="auto"/>
              <w:rPr>
                <w:rFonts w:ascii="Times New Roman" w:hAnsi="Times New Roman" w:cs="Times New Roman"/>
                <w:b/>
              </w:rPr>
            </w:pPr>
            <w:r>
              <w:rPr>
                <w:rFonts w:ascii="Times New Roman" w:hAnsi="Times New Roman" w:cs="Times New Roman"/>
                <w:color w:val="000000" w:themeColor="text1"/>
                <w:kern w:val="24"/>
              </w:rPr>
              <w:t>0.14</w:t>
            </w:r>
          </w:p>
        </w:tc>
        <w:tc>
          <w:tcPr>
            <w:tcW w:w="2410" w:type="dxa"/>
          </w:tcPr>
          <w:p w14:paraId="3592A262" w14:textId="77777777" w:rsidR="004C0166" w:rsidRPr="00F7386D" w:rsidRDefault="004C0166" w:rsidP="002A611F">
            <w:pPr>
              <w:spacing w:line="360" w:lineRule="auto"/>
              <w:rPr>
                <w:rFonts w:ascii="Times New Roman" w:hAnsi="Times New Roman" w:cs="Times New Roman"/>
                <w:color w:val="000000" w:themeColor="text1"/>
                <w:kern w:val="24"/>
              </w:rPr>
            </w:pPr>
            <w:r>
              <w:rPr>
                <w:rFonts w:ascii="Times New Roman" w:hAnsi="Times New Roman" w:cs="Times New Roman"/>
                <w:color w:val="000000" w:themeColor="text1"/>
                <w:kern w:val="24"/>
              </w:rPr>
              <w:t>Quasi Fickian</w:t>
            </w:r>
          </w:p>
        </w:tc>
        <w:tc>
          <w:tcPr>
            <w:tcW w:w="917" w:type="dxa"/>
          </w:tcPr>
          <w:p w14:paraId="556C5368" w14:textId="77777777" w:rsidR="004C0166" w:rsidRPr="00F7386D" w:rsidRDefault="004C0166" w:rsidP="002A611F">
            <w:pPr>
              <w:spacing w:line="360" w:lineRule="auto"/>
              <w:rPr>
                <w:rFonts w:ascii="Times New Roman" w:hAnsi="Times New Roman" w:cs="Times New Roman"/>
                <w:b/>
              </w:rPr>
            </w:pPr>
            <w:r>
              <w:rPr>
                <w:rFonts w:ascii="Times New Roman" w:hAnsi="Times New Roman" w:cs="Times New Roman"/>
                <w:color w:val="000000" w:themeColor="text1"/>
                <w:kern w:val="24"/>
              </w:rPr>
              <w:t>0.89</w:t>
            </w:r>
          </w:p>
        </w:tc>
      </w:tr>
      <w:tr w:rsidR="004C0166" w14:paraId="7EBD8DC0" w14:textId="77777777" w:rsidTr="002A611F">
        <w:trPr>
          <w:trHeight w:val="466"/>
        </w:trPr>
        <w:tc>
          <w:tcPr>
            <w:tcW w:w="2122" w:type="dxa"/>
          </w:tcPr>
          <w:p w14:paraId="24CB88FF" w14:textId="77777777" w:rsidR="004C0166" w:rsidRPr="00F7386D" w:rsidRDefault="004C0166" w:rsidP="002A611F">
            <w:pPr>
              <w:spacing w:line="360" w:lineRule="auto"/>
              <w:rPr>
                <w:rFonts w:ascii="Times New Roman" w:hAnsi="Times New Roman" w:cs="Times New Roman"/>
                <w:b/>
              </w:rPr>
            </w:pPr>
            <w:r w:rsidRPr="00F7386D">
              <w:rPr>
                <w:rFonts w:ascii="Times New Roman" w:hAnsi="Times New Roman" w:cs="Times New Roman"/>
                <w:b/>
                <w:bCs/>
                <w:color w:val="000000" w:themeColor="text1"/>
                <w:kern w:val="24"/>
              </w:rPr>
              <w:t>Dex</w:t>
            </w:r>
            <w:r w:rsidRPr="00F7386D">
              <w:rPr>
                <w:rFonts w:ascii="Times New Roman" w:hAnsi="Times New Roman" w:cs="Times New Roman"/>
                <w:b/>
                <w:bCs/>
                <w:color w:val="000000" w:themeColor="text1"/>
                <w:kern w:val="24"/>
                <w:position w:val="-9"/>
                <w:vertAlign w:val="subscript"/>
              </w:rPr>
              <w:t>79%</w:t>
            </w:r>
            <w:r w:rsidRPr="00F7386D">
              <w:rPr>
                <w:rFonts w:ascii="Times New Roman" w:hAnsi="Times New Roman" w:cs="Times New Roman"/>
                <w:b/>
                <w:bCs/>
                <w:color w:val="000000" w:themeColor="text1"/>
                <w:kern w:val="24"/>
              </w:rPr>
              <w:t>-Alg</w:t>
            </w:r>
          </w:p>
        </w:tc>
        <w:tc>
          <w:tcPr>
            <w:tcW w:w="1275" w:type="dxa"/>
          </w:tcPr>
          <w:p w14:paraId="2F53696B" w14:textId="77777777" w:rsidR="004C0166" w:rsidRPr="00F7386D" w:rsidRDefault="004C0166" w:rsidP="002A611F">
            <w:pPr>
              <w:spacing w:line="360" w:lineRule="auto"/>
              <w:rPr>
                <w:rFonts w:ascii="Times New Roman" w:hAnsi="Times New Roman" w:cs="Times New Roman"/>
                <w:b/>
              </w:rPr>
            </w:pPr>
            <w:r w:rsidRPr="00F7386D">
              <w:rPr>
                <w:rFonts w:ascii="Times New Roman" w:hAnsi="Times New Roman" w:cs="Times New Roman"/>
                <w:color w:val="000000" w:themeColor="text1"/>
                <w:kern w:val="24"/>
              </w:rPr>
              <w:t>79%</w:t>
            </w:r>
          </w:p>
        </w:tc>
        <w:tc>
          <w:tcPr>
            <w:tcW w:w="993" w:type="dxa"/>
          </w:tcPr>
          <w:p w14:paraId="2DFFEBFD" w14:textId="77777777" w:rsidR="004C0166" w:rsidRPr="00F7386D" w:rsidRDefault="004C0166" w:rsidP="002A611F">
            <w:pPr>
              <w:spacing w:line="360" w:lineRule="auto"/>
              <w:rPr>
                <w:rFonts w:ascii="Times New Roman" w:hAnsi="Times New Roman" w:cs="Times New Roman"/>
                <w:b/>
              </w:rPr>
            </w:pPr>
            <w:r>
              <w:rPr>
                <w:rFonts w:ascii="Times New Roman" w:hAnsi="Times New Roman" w:cs="Times New Roman"/>
                <w:color w:val="000000" w:themeColor="text1"/>
                <w:kern w:val="24"/>
              </w:rPr>
              <w:t>42</w:t>
            </w:r>
          </w:p>
        </w:tc>
        <w:tc>
          <w:tcPr>
            <w:tcW w:w="850" w:type="dxa"/>
          </w:tcPr>
          <w:p w14:paraId="4E0D12A4" w14:textId="77777777" w:rsidR="004C0166" w:rsidRPr="00F7386D" w:rsidRDefault="004C0166" w:rsidP="002A611F">
            <w:pPr>
              <w:spacing w:line="360" w:lineRule="auto"/>
              <w:rPr>
                <w:rFonts w:ascii="Times New Roman" w:hAnsi="Times New Roman" w:cs="Times New Roman"/>
                <w:b/>
              </w:rPr>
            </w:pPr>
            <w:r>
              <w:rPr>
                <w:rFonts w:ascii="Times New Roman" w:hAnsi="Times New Roman" w:cs="Times New Roman"/>
                <w:color w:val="000000" w:themeColor="text1"/>
                <w:kern w:val="24"/>
              </w:rPr>
              <w:t>0.18</w:t>
            </w:r>
          </w:p>
        </w:tc>
        <w:tc>
          <w:tcPr>
            <w:tcW w:w="2410" w:type="dxa"/>
          </w:tcPr>
          <w:p w14:paraId="6690ED3A" w14:textId="77777777" w:rsidR="004C0166" w:rsidRPr="00F7386D" w:rsidRDefault="004C0166" w:rsidP="002A611F">
            <w:pPr>
              <w:spacing w:line="360" w:lineRule="auto"/>
              <w:rPr>
                <w:rFonts w:ascii="Times New Roman" w:hAnsi="Times New Roman" w:cs="Times New Roman"/>
                <w:color w:val="000000" w:themeColor="text1"/>
                <w:kern w:val="24"/>
              </w:rPr>
            </w:pPr>
            <w:r w:rsidRPr="00811768">
              <w:rPr>
                <w:rFonts w:ascii="Times New Roman" w:hAnsi="Times New Roman" w:cs="Times New Roman"/>
                <w:color w:val="000000" w:themeColor="text1"/>
                <w:kern w:val="24"/>
              </w:rPr>
              <w:t>Quasi Fickian</w:t>
            </w:r>
          </w:p>
        </w:tc>
        <w:tc>
          <w:tcPr>
            <w:tcW w:w="917" w:type="dxa"/>
          </w:tcPr>
          <w:p w14:paraId="60E9A721" w14:textId="77777777" w:rsidR="004C0166" w:rsidRPr="00F7386D" w:rsidRDefault="004C0166" w:rsidP="002A611F">
            <w:pPr>
              <w:spacing w:line="360" w:lineRule="auto"/>
              <w:rPr>
                <w:rFonts w:ascii="Times New Roman" w:hAnsi="Times New Roman" w:cs="Times New Roman"/>
                <w:b/>
              </w:rPr>
            </w:pPr>
            <w:r>
              <w:rPr>
                <w:rFonts w:ascii="Times New Roman" w:hAnsi="Times New Roman" w:cs="Times New Roman"/>
                <w:color w:val="000000" w:themeColor="text1"/>
                <w:kern w:val="24"/>
              </w:rPr>
              <w:t>0.96</w:t>
            </w:r>
          </w:p>
        </w:tc>
      </w:tr>
    </w:tbl>
    <w:p w14:paraId="2D31F68F" w14:textId="32D377D9" w:rsidR="004C0166" w:rsidRDefault="004C0166">
      <w:pPr>
        <w:rPr>
          <w:rFonts w:ascii="Times New Roman" w:hAnsi="Times New Roman" w:cs="Times New Roman"/>
          <w:b/>
          <w:sz w:val="28"/>
          <w:szCs w:val="28"/>
        </w:rPr>
      </w:pPr>
    </w:p>
    <w:p w14:paraId="482B11E3" w14:textId="242E9F91" w:rsidR="0087001C" w:rsidRDefault="00CF59FB">
      <w:pPr>
        <w:rPr>
          <w:rFonts w:ascii="Times New Roman" w:hAnsi="Times New Roman" w:cs="Times New Roman"/>
          <w:b/>
          <w:sz w:val="28"/>
          <w:szCs w:val="28"/>
        </w:rPr>
      </w:pPr>
      <w:r>
        <w:rPr>
          <w:rFonts w:ascii="Times New Roman" w:hAnsi="Times New Roman" w:cs="Times New Roman"/>
          <w:b/>
          <w:sz w:val="28"/>
          <w:szCs w:val="28"/>
        </w:rPr>
        <w:t>References</w:t>
      </w:r>
    </w:p>
    <w:p w14:paraId="22D85C1B" w14:textId="77777777" w:rsidR="001B4834" w:rsidRPr="001B4834" w:rsidRDefault="0087001C" w:rsidP="001B4834">
      <w:pPr>
        <w:pStyle w:val="EndNoteBibliography"/>
        <w:spacing w:after="0"/>
        <w:ind w:left="720" w:hanging="720"/>
      </w:pPr>
      <w:r w:rsidRPr="009A4F71">
        <w:rPr>
          <w:rFonts w:ascii="Times New Roman" w:hAnsi="Times New Roman" w:cs="Times New Roman"/>
          <w:b/>
          <w:color w:val="000000" w:themeColor="text1"/>
          <w:sz w:val="28"/>
          <w:szCs w:val="28"/>
        </w:rPr>
        <w:fldChar w:fldCharType="begin"/>
      </w:r>
      <w:r w:rsidRPr="009A4F71">
        <w:rPr>
          <w:rFonts w:ascii="Times New Roman" w:hAnsi="Times New Roman" w:cs="Times New Roman"/>
          <w:b/>
          <w:color w:val="000000" w:themeColor="text1"/>
          <w:sz w:val="28"/>
          <w:szCs w:val="28"/>
        </w:rPr>
        <w:instrText xml:space="preserve"> ADDIN EN.REFLIST </w:instrText>
      </w:r>
      <w:r w:rsidRPr="009A4F71">
        <w:rPr>
          <w:rFonts w:ascii="Times New Roman" w:hAnsi="Times New Roman" w:cs="Times New Roman"/>
          <w:b/>
          <w:color w:val="000000" w:themeColor="text1"/>
          <w:sz w:val="28"/>
          <w:szCs w:val="28"/>
        </w:rPr>
        <w:fldChar w:fldCharType="separate"/>
      </w:r>
      <w:r w:rsidR="001B4834" w:rsidRPr="001B4834">
        <w:t>[1]</w:t>
      </w:r>
      <w:r w:rsidR="001B4834" w:rsidRPr="001B4834">
        <w:tab/>
        <w:t xml:space="preserve">T. Salomonsen, H. M. Jensen, F. H. Larsen, S. Steuernagel, and S. B. Engelsen, "Direct quantification of M/G ratio from (13)C CP-MAS NMR spectra of alginate powders by multivariate curve resolution," (in eng), </w:t>
      </w:r>
      <w:r w:rsidR="001B4834" w:rsidRPr="001B4834">
        <w:rPr>
          <w:i/>
        </w:rPr>
        <w:t xml:space="preserve">Carbohydr Res, </w:t>
      </w:r>
      <w:r w:rsidR="001B4834" w:rsidRPr="001B4834">
        <w:t>vol. 344, no. 15, pp. 2014-22, Oct 12 2009, doi: 10.1016/j.carres.2009.06.025.</w:t>
      </w:r>
    </w:p>
    <w:p w14:paraId="58B8F779" w14:textId="0E559925" w:rsidR="001B4834" w:rsidRPr="001B4834" w:rsidRDefault="001B4834" w:rsidP="001B4834">
      <w:pPr>
        <w:pStyle w:val="EndNoteBibliography"/>
        <w:ind w:left="720" w:hanging="720"/>
      </w:pPr>
      <w:r w:rsidRPr="001B4834">
        <w:t>[2]</w:t>
      </w:r>
      <w:r w:rsidRPr="001B4834">
        <w:tab/>
        <w:t xml:space="preserve">J. Flynn, S. Mallen, E. Durack, P. M. O'Connor, and S. P. Hudson, "Mesoporous matrices for the delivery of the broad spectrum bacteriocin, nisin A," </w:t>
      </w:r>
      <w:r w:rsidRPr="001B4834">
        <w:rPr>
          <w:i/>
        </w:rPr>
        <w:t xml:space="preserve">Journal of Colloid and Interface Science, </w:t>
      </w:r>
      <w:r w:rsidRPr="001B4834">
        <w:t xml:space="preserve">vol. 537, pp. 396-406, 2019/03/01/ 2019, doi: </w:t>
      </w:r>
      <w:hyperlink r:id="rId6" w:history="1">
        <w:r w:rsidRPr="001B4834">
          <w:rPr>
            <w:rStyle w:val="Hyperlink"/>
          </w:rPr>
          <w:t>https://doi.org/10.1016/j.jcis.2018.11.037</w:t>
        </w:r>
      </w:hyperlink>
      <w:r w:rsidRPr="001B4834">
        <w:t>.</w:t>
      </w:r>
    </w:p>
    <w:p w14:paraId="20C113A3" w14:textId="296D1485" w:rsidR="005F2DEC" w:rsidRPr="005F2DEC" w:rsidRDefault="0087001C" w:rsidP="008C0C76">
      <w:pPr>
        <w:jc w:val="both"/>
        <w:rPr>
          <w:rFonts w:ascii="Times New Roman" w:hAnsi="Times New Roman" w:cs="Times New Roman"/>
          <w:b/>
          <w:sz w:val="28"/>
          <w:szCs w:val="28"/>
        </w:rPr>
      </w:pPr>
      <w:r w:rsidRPr="009A4F71">
        <w:rPr>
          <w:rFonts w:ascii="Times New Roman" w:hAnsi="Times New Roman" w:cs="Times New Roman"/>
          <w:b/>
          <w:color w:val="000000" w:themeColor="text1"/>
          <w:sz w:val="28"/>
          <w:szCs w:val="28"/>
        </w:rPr>
        <w:fldChar w:fldCharType="end"/>
      </w:r>
    </w:p>
    <w:sectPr w:rsidR="005F2DEC" w:rsidRPr="005F2DEC" w:rsidSect="00B50875">
      <w:pgSz w:w="11906" w:h="16838"/>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00000003" w:usb1="00000000" w:usb2="00000000" w:usb3="00000000" w:csb0="00000001" w:csb1="00000000"/>
  </w:font>
  <w:font w:name="Yu Mincho">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20002A87" w:usb1="80000000" w:usb2="00000008" w:usb3="00000000" w:csb0="000001FF" w:csb1="00000000"/>
  </w:font>
  <w:font w:name="Segoe UI">
    <w:altName w:val="Arial"/>
    <w:panose1 w:val="020B0604020202020204"/>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1"/>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IEE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vaxz09zld2sr6eswrtpd2t795twdppdtzsp&quot;&gt;My EndNote Library&lt;record-ids&gt;&lt;item&gt;700&lt;/item&gt;&lt;item&gt;2065&lt;/item&gt;&lt;/record-ids&gt;&lt;/item&gt;&lt;/Libraries&gt;"/>
  </w:docVars>
  <w:rsids>
    <w:rsidRoot w:val="005F2DEC"/>
    <w:rsid w:val="000F6870"/>
    <w:rsid w:val="001B4834"/>
    <w:rsid w:val="00251A84"/>
    <w:rsid w:val="002D719C"/>
    <w:rsid w:val="00387695"/>
    <w:rsid w:val="003B6045"/>
    <w:rsid w:val="004C0166"/>
    <w:rsid w:val="005A7BB3"/>
    <w:rsid w:val="005E2AC7"/>
    <w:rsid w:val="005F2DEC"/>
    <w:rsid w:val="00603561"/>
    <w:rsid w:val="007A0F53"/>
    <w:rsid w:val="008461F6"/>
    <w:rsid w:val="0087001C"/>
    <w:rsid w:val="008C0C76"/>
    <w:rsid w:val="008F197E"/>
    <w:rsid w:val="009A4F71"/>
    <w:rsid w:val="00B50875"/>
    <w:rsid w:val="00B75ACD"/>
    <w:rsid w:val="00C554B3"/>
    <w:rsid w:val="00CA05EA"/>
    <w:rsid w:val="00CC7750"/>
    <w:rsid w:val="00CD15D5"/>
    <w:rsid w:val="00CF59FB"/>
    <w:rsid w:val="00F64AD3"/>
  </w:rsids>
  <m:mathPr>
    <m:mathFont m:val="Cambria Math"/>
    <m:brkBin m:val="before"/>
    <m:brkBinSub m:val="--"/>
    <m:smallFrac m:val="0"/>
    <m:dispDef/>
    <m:lMargin m:val="0"/>
    <m:rMargin m:val="0"/>
    <m:defJc m:val="centerGroup"/>
    <m:wrapIndent m:val="1440"/>
    <m:intLim m:val="subSup"/>
    <m:naryLim m:val="undOvr"/>
  </m:mathPr>
  <w:themeFontLang w:val="en-IE"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AC873"/>
  <w15:chartTrackingRefBased/>
  <w15:docId w15:val="{3C67D23A-3C75-4E3D-9D7B-F4FE59AF9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IE" w:eastAsia="ja-JP"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F2DEC"/>
    <w:rPr>
      <w:rFonts w:eastAsiaTheme="minorHAns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F2DEC"/>
    <w:pPr>
      <w:spacing w:after="0" w:line="240" w:lineRule="auto"/>
    </w:pPr>
    <w:rPr>
      <w:rFonts w:eastAsiaTheme="minorHAnsi"/>
      <w:sz w:val="24"/>
      <w:szCs w:val="24"/>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F2DEC"/>
    <w:rPr>
      <w:sz w:val="16"/>
      <w:szCs w:val="16"/>
    </w:rPr>
  </w:style>
  <w:style w:type="paragraph" w:styleId="CommentText">
    <w:name w:val="annotation text"/>
    <w:basedOn w:val="Normal"/>
    <w:link w:val="CommentTextChar"/>
    <w:uiPriority w:val="99"/>
    <w:unhideWhenUsed/>
    <w:rsid w:val="005F2DEC"/>
    <w:pPr>
      <w:spacing w:line="240" w:lineRule="auto"/>
    </w:pPr>
    <w:rPr>
      <w:sz w:val="20"/>
      <w:szCs w:val="20"/>
    </w:rPr>
  </w:style>
  <w:style w:type="character" w:customStyle="1" w:styleId="CommentTextChar">
    <w:name w:val="Comment Text Char"/>
    <w:basedOn w:val="DefaultParagraphFont"/>
    <w:link w:val="CommentText"/>
    <w:uiPriority w:val="99"/>
    <w:rsid w:val="005F2DEC"/>
    <w:rPr>
      <w:rFonts w:eastAsiaTheme="minorHAnsi"/>
      <w:sz w:val="20"/>
      <w:szCs w:val="20"/>
      <w:lang w:eastAsia="en-US"/>
    </w:rPr>
  </w:style>
  <w:style w:type="paragraph" w:styleId="BalloonText">
    <w:name w:val="Balloon Text"/>
    <w:basedOn w:val="Normal"/>
    <w:link w:val="BalloonTextChar"/>
    <w:uiPriority w:val="99"/>
    <w:semiHidden/>
    <w:unhideWhenUsed/>
    <w:rsid w:val="005F2D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2DEC"/>
    <w:rPr>
      <w:rFonts w:ascii="Segoe UI" w:eastAsiaTheme="minorHAnsi" w:hAnsi="Segoe UI" w:cs="Segoe UI"/>
      <w:sz w:val="18"/>
      <w:szCs w:val="18"/>
      <w:lang w:eastAsia="en-US"/>
    </w:rPr>
  </w:style>
  <w:style w:type="character" w:styleId="LineNumber">
    <w:name w:val="line number"/>
    <w:basedOn w:val="DefaultParagraphFont"/>
    <w:uiPriority w:val="99"/>
    <w:semiHidden/>
    <w:unhideWhenUsed/>
    <w:rsid w:val="00B50875"/>
  </w:style>
  <w:style w:type="paragraph" w:customStyle="1" w:styleId="EndNoteBibliographyTitle">
    <w:name w:val="EndNote Bibliography Title"/>
    <w:basedOn w:val="Normal"/>
    <w:link w:val="EndNoteBibliographyTitleChar"/>
    <w:rsid w:val="0087001C"/>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87001C"/>
    <w:rPr>
      <w:rFonts w:ascii="Calibri" w:eastAsiaTheme="minorHAnsi" w:hAnsi="Calibri" w:cs="Calibri"/>
      <w:noProof/>
      <w:lang w:val="en-US" w:eastAsia="en-US"/>
    </w:rPr>
  </w:style>
  <w:style w:type="paragraph" w:customStyle="1" w:styleId="EndNoteBibliography">
    <w:name w:val="EndNote Bibliography"/>
    <w:basedOn w:val="Normal"/>
    <w:link w:val="EndNoteBibliographyChar"/>
    <w:rsid w:val="0087001C"/>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87001C"/>
    <w:rPr>
      <w:rFonts w:ascii="Calibri" w:eastAsiaTheme="minorHAnsi" w:hAnsi="Calibri" w:cs="Calibri"/>
      <w:noProof/>
      <w:lang w:val="en-US" w:eastAsia="en-US"/>
    </w:rPr>
  </w:style>
  <w:style w:type="character" w:styleId="Hyperlink">
    <w:name w:val="Hyperlink"/>
    <w:basedOn w:val="DefaultParagraphFont"/>
    <w:uiPriority w:val="99"/>
    <w:unhideWhenUsed/>
    <w:rsid w:val="001B483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7564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016/j.jcis.2018.11.037" TargetMode="External"/><Relationship Id="rId5" Type="http://schemas.openxmlformats.org/officeDocument/2006/relationships/image" Target="media/image2.png"/><Relationship Id="rId4"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3794</Words>
  <Characters>21629</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University of Limerick</Company>
  <LinksUpToDate>false</LinksUpToDate>
  <CharactersWithSpaces>25373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James.Flynn</dc:creator>
  <cp:keywords/>
  <dc:description/>
  <cp:lastModifiedBy>Sarah.Hudson</cp:lastModifiedBy>
  <cp:revision>3</cp:revision>
  <dcterms:created xsi:type="dcterms:W3CDTF">2022-03-08T16:26:00Z</dcterms:created>
  <dcterms:modified xsi:type="dcterms:W3CDTF">2022-03-19T17:27:00Z</dcterms:modified>
</cp:coreProperties>
</file>