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E84" w:rsidRDefault="004C6E84" w:rsidP="004C6E84">
      <w:pPr>
        <w:pStyle w:val="Default"/>
      </w:pPr>
    </w:p>
    <w:p w:rsidR="004C6E84" w:rsidRPr="004C6E84" w:rsidRDefault="004C6E84" w:rsidP="004C6E84">
      <w:pPr>
        <w:jc w:val="center"/>
        <w:rPr>
          <w:rFonts w:ascii="Times New Roman" w:hAnsi="Times New Roman" w:cs="Times New Roman"/>
          <w:bCs/>
        </w:rPr>
      </w:pP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2769F">
        <w:rPr>
          <w:rFonts w:ascii="Times New Roman" w:hAnsi="Times New Roman" w:cs="Times New Roman"/>
          <w:b/>
          <w:bCs/>
          <w:sz w:val="24"/>
          <w:szCs w:val="24"/>
          <w:lang w:val="en-GB"/>
        </w:rPr>
        <w:t>Iloprost-loaded inhalable Nano into Micro (</w:t>
      </w:r>
      <w:proofErr w:type="spellStart"/>
      <w:r w:rsidRPr="0092769F">
        <w:rPr>
          <w:rFonts w:ascii="Times New Roman" w:hAnsi="Times New Roman" w:cs="Times New Roman"/>
          <w:b/>
          <w:bCs/>
          <w:sz w:val="24"/>
          <w:szCs w:val="24"/>
          <w:lang w:val="en-GB"/>
        </w:rPr>
        <w:t>NiM</w:t>
      </w:r>
      <w:proofErr w:type="spellEnd"/>
      <w:r w:rsidRPr="0092769F">
        <w:rPr>
          <w:rFonts w:ascii="Times New Roman" w:hAnsi="Times New Roman" w:cs="Times New Roman"/>
          <w:b/>
          <w:bCs/>
          <w:sz w:val="24"/>
          <w:szCs w:val="24"/>
          <w:lang w:val="en-GB"/>
        </w:rPr>
        <w:t>) formulations for treating hyper-inflammation in a pre-clinical model of cystic fibrosis airway epithelial cells</w:t>
      </w: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F0AC7" w:rsidRPr="00D17F20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17F20">
        <w:rPr>
          <w:rFonts w:ascii="Times New Roman" w:hAnsi="Times New Roman" w:cs="Times New Roman"/>
          <w:bCs/>
          <w:sz w:val="24"/>
          <w:szCs w:val="24"/>
        </w:rPr>
        <w:t>Annalucia Carbone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1§</w:t>
      </w:r>
      <w:r w:rsidRPr="00D17F20">
        <w:rPr>
          <w:rFonts w:ascii="Times New Roman" w:hAnsi="Times New Roman" w:cs="Times New Roman"/>
          <w:bCs/>
          <w:sz w:val="24"/>
          <w:szCs w:val="24"/>
        </w:rPr>
        <w:t>, Piera Soccio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2§</w:t>
      </w:r>
      <w:r w:rsidRPr="00D17F20">
        <w:rPr>
          <w:rFonts w:ascii="Times New Roman" w:hAnsi="Times New Roman" w:cs="Times New Roman"/>
          <w:bCs/>
          <w:sz w:val="24"/>
          <w:szCs w:val="24"/>
        </w:rPr>
        <w:t>, Emanuela F. Craparo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3#</w:t>
      </w:r>
      <w:r w:rsidRPr="00D17F20">
        <w:rPr>
          <w:rFonts w:ascii="Times New Roman" w:hAnsi="Times New Roman" w:cs="Times New Roman"/>
          <w:bCs/>
          <w:sz w:val="24"/>
          <w:szCs w:val="24"/>
        </w:rPr>
        <w:t>, Pamela Vitullo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D17F2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Sofia</w:t>
      </w:r>
      <w:r w:rsidRPr="00D17F20">
        <w:rPr>
          <w:rFonts w:ascii="Times New Roman" w:hAnsi="Times New Roman" w:cs="Times New Roman"/>
          <w:bCs/>
          <w:sz w:val="24"/>
          <w:szCs w:val="24"/>
        </w:rPr>
        <w:t xml:space="preserve"> Bonsignore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D17F20">
        <w:rPr>
          <w:rFonts w:ascii="Times New Roman" w:hAnsi="Times New Roman" w:cs="Times New Roman"/>
          <w:bCs/>
          <w:sz w:val="24"/>
          <w:szCs w:val="24"/>
        </w:rPr>
        <w:t>, Pasquale Tondo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,5</w:t>
      </w:r>
      <w:r w:rsidRPr="00D17F20">
        <w:rPr>
          <w:rFonts w:ascii="Times New Roman" w:hAnsi="Times New Roman" w:cs="Times New Roman"/>
          <w:bCs/>
          <w:sz w:val="24"/>
          <w:szCs w:val="24"/>
        </w:rPr>
        <w:t>, Cinzia Scialabba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D17F2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17F20">
        <w:rPr>
          <w:rFonts w:ascii="Times New Roman" w:hAnsi="Times New Roman" w:cs="Times New Roman"/>
          <w:bCs/>
          <w:sz w:val="24"/>
          <w:szCs w:val="24"/>
        </w:rPr>
        <w:t>Namra</w:t>
      </w:r>
      <w:proofErr w:type="spellEnd"/>
      <w:r w:rsidRPr="00D17F20">
        <w:rPr>
          <w:rFonts w:ascii="Times New Roman" w:hAnsi="Times New Roman" w:cs="Times New Roman"/>
          <w:bCs/>
          <w:sz w:val="24"/>
          <w:szCs w:val="24"/>
        </w:rPr>
        <w:t xml:space="preserve"> Sajid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D17F2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Sobhan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Jahani,</w:t>
      </w:r>
      <w:r w:rsidRPr="00E953DB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7F20">
        <w:rPr>
          <w:rFonts w:ascii="Times New Roman" w:hAnsi="Times New Roman" w:cs="Times New Roman"/>
          <w:bCs/>
          <w:sz w:val="24"/>
          <w:szCs w:val="24"/>
        </w:rPr>
        <w:t>Salvatore Emanuele Drago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D17F20">
        <w:rPr>
          <w:rFonts w:ascii="Times New Roman" w:hAnsi="Times New Roman" w:cs="Times New Roman"/>
          <w:bCs/>
          <w:sz w:val="24"/>
          <w:szCs w:val="24"/>
        </w:rPr>
        <w:t>, Sante Di Gioia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D17F20">
        <w:rPr>
          <w:rFonts w:ascii="Times New Roman" w:hAnsi="Times New Roman" w:cs="Times New Roman"/>
          <w:bCs/>
          <w:sz w:val="24"/>
          <w:szCs w:val="24"/>
        </w:rPr>
        <w:t>, Donato Lacedonia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,5</w:t>
      </w:r>
      <w:r w:rsidRPr="00D17F20">
        <w:rPr>
          <w:rFonts w:ascii="Times New Roman" w:hAnsi="Times New Roman" w:cs="Times New Roman"/>
          <w:bCs/>
          <w:sz w:val="24"/>
          <w:szCs w:val="24"/>
        </w:rPr>
        <w:t>, Gennara Cavallaro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D17F20">
        <w:rPr>
          <w:rFonts w:ascii="Times New Roman" w:hAnsi="Times New Roman" w:cs="Times New Roman"/>
          <w:bCs/>
          <w:sz w:val="24"/>
          <w:szCs w:val="24"/>
        </w:rPr>
        <w:t>, Massimo Conese</w:t>
      </w: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1#</w:t>
      </w:r>
    </w:p>
    <w:p w:rsidR="003F0AC7" w:rsidRPr="00D17F20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2769F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1</w:t>
      </w:r>
      <w:r w:rsidRPr="0092769F">
        <w:rPr>
          <w:rFonts w:ascii="Times New Roman" w:hAnsi="Times New Roman" w:cs="Times New Roman"/>
          <w:bCs/>
          <w:sz w:val="24"/>
          <w:szCs w:val="24"/>
          <w:lang w:val="en-GB"/>
        </w:rPr>
        <w:t>Department of Clinical and Experimental Medicine, University of Foggia, Foggia, Italy</w:t>
      </w: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2769F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2</w:t>
      </w:r>
      <w:r w:rsidRPr="0092769F">
        <w:rPr>
          <w:rFonts w:ascii="Times New Roman" w:hAnsi="Times New Roman" w:cs="Times New Roman"/>
          <w:bCs/>
          <w:sz w:val="24"/>
          <w:szCs w:val="24"/>
          <w:lang w:val="en-GB"/>
        </w:rPr>
        <w:t>Department of Medical and Surgical Sciences, University of Foggia, Foggia, Italy</w:t>
      </w: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2769F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3</w:t>
      </w:r>
      <w:r w:rsidRPr="0092769F">
        <w:rPr>
          <w:rFonts w:ascii="Times New Roman" w:hAnsi="Times New Roman" w:cs="Times New Roman"/>
          <w:bCs/>
          <w:sz w:val="24"/>
          <w:szCs w:val="24"/>
          <w:lang w:val="en-GB"/>
        </w:rPr>
        <w:t>Department of Biological, Chemical and Pharmaceutical Sciences and Technologies (STEBICEF), University of Palermo, Palermo, Italy</w:t>
      </w:r>
    </w:p>
    <w:p w:rsidR="003F0AC7" w:rsidRPr="0092769F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3F0AC7" w:rsidRPr="00D17F20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17F20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D17F20">
        <w:rPr>
          <w:rFonts w:ascii="Times New Roman" w:hAnsi="Times New Roman" w:cs="Times New Roman"/>
          <w:bCs/>
          <w:sz w:val="24"/>
          <w:szCs w:val="24"/>
        </w:rPr>
        <w:t xml:space="preserve">Cystic </w:t>
      </w:r>
      <w:proofErr w:type="spellStart"/>
      <w:r w:rsidRPr="00D17F20">
        <w:rPr>
          <w:rFonts w:ascii="Times New Roman" w:hAnsi="Times New Roman" w:cs="Times New Roman"/>
          <w:bCs/>
          <w:sz w:val="24"/>
          <w:szCs w:val="24"/>
        </w:rPr>
        <w:t>Fibrosis</w:t>
      </w:r>
      <w:proofErr w:type="spellEnd"/>
      <w:r w:rsidRPr="00D17F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7F20">
        <w:rPr>
          <w:rFonts w:ascii="Times New Roman" w:hAnsi="Times New Roman" w:cs="Times New Roman"/>
          <w:bCs/>
          <w:sz w:val="24"/>
          <w:szCs w:val="24"/>
        </w:rPr>
        <w:t>Support</w:t>
      </w:r>
      <w:proofErr w:type="spellEnd"/>
      <w:r w:rsidRPr="00D17F20">
        <w:rPr>
          <w:rFonts w:ascii="Times New Roman" w:hAnsi="Times New Roman" w:cs="Times New Roman"/>
          <w:bCs/>
          <w:sz w:val="24"/>
          <w:szCs w:val="24"/>
        </w:rPr>
        <w:t xml:space="preserve"> Center, Ospedale “G. Tatarella”, Cerignola, </w:t>
      </w:r>
      <w:proofErr w:type="spellStart"/>
      <w:r w:rsidRPr="00D17F20">
        <w:rPr>
          <w:rFonts w:ascii="Times New Roman" w:hAnsi="Times New Roman" w:cs="Times New Roman"/>
          <w:bCs/>
          <w:sz w:val="24"/>
          <w:szCs w:val="24"/>
        </w:rPr>
        <w:t>Italy</w:t>
      </w:r>
      <w:proofErr w:type="spellEnd"/>
    </w:p>
    <w:p w:rsidR="003F0AC7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F0AC7" w:rsidRPr="00D17F20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5</w:t>
      </w:r>
      <w:r w:rsidRPr="009335C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Institute of Respiratory Diseases, </w:t>
      </w:r>
      <w:proofErr w:type="spellStart"/>
      <w:r w:rsidRPr="009335CB">
        <w:rPr>
          <w:rFonts w:ascii="Times New Roman" w:hAnsi="Times New Roman" w:cs="Times New Roman"/>
          <w:bCs/>
          <w:sz w:val="24"/>
          <w:szCs w:val="24"/>
          <w:lang w:val="en-GB"/>
        </w:rPr>
        <w:t>Policlinico</w:t>
      </w:r>
      <w:proofErr w:type="spellEnd"/>
      <w:r w:rsidRPr="009335C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9335CB">
        <w:rPr>
          <w:rFonts w:ascii="Times New Roman" w:hAnsi="Times New Roman" w:cs="Times New Roman"/>
          <w:bCs/>
          <w:sz w:val="24"/>
          <w:szCs w:val="24"/>
          <w:lang w:val="en-GB"/>
        </w:rPr>
        <w:t>Riuniti</w:t>
      </w:r>
      <w:proofErr w:type="spellEnd"/>
      <w:r w:rsidRPr="009335C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of Foggia, 71122 Foggia,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Italy</w:t>
      </w:r>
    </w:p>
    <w:p w:rsidR="003F0AC7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</w:pPr>
    </w:p>
    <w:p w:rsidR="003F0AC7" w:rsidRDefault="003F0AC7" w:rsidP="003F0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6</w:t>
      </w:r>
      <w:r w:rsidRPr="0092769F">
        <w:rPr>
          <w:rFonts w:ascii="Times New Roman" w:hAnsi="Times New Roman" w:cs="Times New Roman"/>
          <w:bCs/>
          <w:sz w:val="24"/>
          <w:szCs w:val="24"/>
          <w:lang w:val="en-GB"/>
        </w:rPr>
        <w:t>Department of Precision Medicine in Medical, Surgical and Critical Areas, University of Palermo, Palermo, Italy</w:t>
      </w:r>
    </w:p>
    <w:p w:rsidR="004C6E84" w:rsidRPr="004C6E84" w:rsidRDefault="004C6E84" w:rsidP="004C6E84">
      <w:pPr>
        <w:rPr>
          <w:rFonts w:ascii="Times New Roman" w:hAnsi="Times New Roman" w:cs="Times New Roman"/>
          <w:bCs/>
        </w:rPr>
      </w:pPr>
    </w:p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/>
    <w:p w:rsidR="004C6E84" w:rsidRDefault="004C6E84" w:rsidP="001F7824">
      <w:pPr>
        <w:rPr>
          <w:rFonts w:ascii="Times New Roman" w:hAnsi="Times New Roman" w:cs="Times New Roman"/>
        </w:rPr>
      </w:pPr>
    </w:p>
    <w:p w:rsidR="004C6E84" w:rsidRDefault="004C6E84" w:rsidP="001F7824">
      <w:pPr>
        <w:rPr>
          <w:rFonts w:ascii="Times New Roman" w:hAnsi="Times New Roman" w:cs="Times New Roman"/>
        </w:rPr>
      </w:pPr>
    </w:p>
    <w:p w:rsidR="004C6E84" w:rsidRDefault="004C6E84" w:rsidP="001F7824">
      <w:pPr>
        <w:rPr>
          <w:rFonts w:ascii="Times New Roman" w:hAnsi="Times New Roman" w:cs="Times New Roman"/>
        </w:rPr>
      </w:pPr>
    </w:p>
    <w:p w:rsidR="00006B9B" w:rsidRDefault="00006B9B">
      <w:pPr>
        <w:rPr>
          <w:rFonts w:ascii="Times New Roman" w:hAnsi="Times New Roman" w:cs="Times New Roman"/>
          <w:sz w:val="20"/>
          <w:szCs w:val="20"/>
        </w:rPr>
      </w:pPr>
    </w:p>
    <w:p w:rsidR="00006B9B" w:rsidRDefault="00006B9B">
      <w:pPr>
        <w:rPr>
          <w:rFonts w:ascii="Times New Roman" w:hAnsi="Times New Roman" w:cs="Times New Roman"/>
          <w:sz w:val="20"/>
          <w:szCs w:val="20"/>
        </w:rPr>
      </w:pPr>
    </w:p>
    <w:p w:rsidR="00006B9B" w:rsidRDefault="00006B9B">
      <w:pPr>
        <w:rPr>
          <w:rFonts w:ascii="Times New Roman" w:hAnsi="Times New Roman" w:cs="Times New Roman"/>
          <w:sz w:val="20"/>
          <w:szCs w:val="20"/>
        </w:rPr>
      </w:pPr>
    </w:p>
    <w:p w:rsidR="00006B9B" w:rsidRDefault="00006B9B">
      <w:pPr>
        <w:rPr>
          <w:rFonts w:ascii="Times New Roman" w:hAnsi="Times New Roman" w:cs="Times New Roman"/>
          <w:sz w:val="20"/>
          <w:szCs w:val="20"/>
        </w:rPr>
      </w:pPr>
    </w:p>
    <w:p w:rsidR="001C692B" w:rsidRDefault="001C692B">
      <w:pPr>
        <w:rPr>
          <w:rFonts w:ascii="Times New Roman" w:hAnsi="Times New Roman" w:cs="Times New Roman"/>
          <w:sz w:val="20"/>
          <w:szCs w:val="20"/>
        </w:rPr>
      </w:pPr>
      <w:r w:rsidRPr="001C692B">
        <w:rPr>
          <w:noProof/>
          <w:lang w:eastAsia="it-IT"/>
        </w:rPr>
        <w:drawing>
          <wp:inline distT="0" distB="0" distL="0" distR="0" wp14:anchorId="02D2F021" wp14:editId="07785ABF">
            <wp:extent cx="6120130" cy="2220595"/>
            <wp:effectExtent l="0" t="0" r="0" b="825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ABA" w:rsidRDefault="007363ED" w:rsidP="00760ABA">
      <w:pPr>
        <w:spacing w:line="240" w:lineRule="auto"/>
        <w:jc w:val="both"/>
        <w:rPr>
          <w:rFonts w:ascii="Times New Roman" w:hAnsi="Times New Roman" w:cs="Times New Roman"/>
        </w:rPr>
      </w:pPr>
      <w:r w:rsidRPr="00203942">
        <w:rPr>
          <w:rFonts w:ascii="Times New Roman" w:hAnsi="Times New Roman" w:cs="Times New Roman"/>
          <w:b/>
          <w:sz w:val="20"/>
          <w:szCs w:val="20"/>
        </w:rPr>
        <w:t>Supplementary Fig. 1</w:t>
      </w:r>
      <w:r w:rsidR="00006B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Morphology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hNECs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passages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Representative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images of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hNEC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captured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isolation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(A),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after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2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passages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(B) and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after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4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passages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(C).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Photograohs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taken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 xml:space="preserve"> with a 20X </w:t>
      </w:r>
      <w:proofErr w:type="spellStart"/>
      <w:r w:rsidR="001C692B">
        <w:rPr>
          <w:rFonts w:ascii="Times New Roman" w:hAnsi="Times New Roman" w:cs="Times New Roman"/>
          <w:sz w:val="20"/>
          <w:szCs w:val="20"/>
        </w:rPr>
        <w:t>objective</w:t>
      </w:r>
      <w:proofErr w:type="spellEnd"/>
      <w:r w:rsidR="001C692B">
        <w:rPr>
          <w:rFonts w:ascii="Times New Roman" w:hAnsi="Times New Roman" w:cs="Times New Roman"/>
          <w:sz w:val="20"/>
          <w:szCs w:val="20"/>
        </w:rPr>
        <w:t>.</w:t>
      </w:r>
    </w:p>
    <w:p w:rsidR="00203942" w:rsidRDefault="00203942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:rsidR="00203942" w:rsidRDefault="00203942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:rsidR="009135D8" w:rsidRDefault="009135D8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:rsidR="009135D8" w:rsidRDefault="00203942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203942">
        <w:rPr>
          <w:noProof/>
          <w:lang w:eastAsia="it-IT"/>
        </w:rPr>
        <w:drawing>
          <wp:inline distT="0" distB="0" distL="0" distR="0" wp14:anchorId="16CA228E" wp14:editId="03520C21">
            <wp:extent cx="4409524" cy="2066667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9524" cy="2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5D8" w:rsidRDefault="00203942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203942">
        <w:rPr>
          <w:rFonts w:ascii="Times New Roman" w:hAnsi="Times New Roman" w:cs="Times New Roman"/>
          <w:b/>
          <w:noProof/>
          <w:sz w:val="20"/>
          <w:szCs w:val="20"/>
          <w:lang w:val="en-US"/>
        </w:rPr>
        <w:t>Supplementary Fig. 2</w:t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Immunofluorescence and confocal microscopy of control sample. hNEC were rown on Trasnwells for 21 days and stained only with DAPI. Bar, 20 </w:t>
      </w:r>
      <w:r w:rsidRPr="00203942">
        <w:rPr>
          <w:rFonts w:ascii="Symbol" w:hAnsi="Symbol" w:cs="Times New Roman"/>
          <w:noProof/>
          <w:sz w:val="20"/>
          <w:szCs w:val="20"/>
          <w:lang w:val="en-US"/>
        </w:rPr>
        <w:t></w:t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t>m.</w:t>
      </w:r>
    </w:p>
    <w:p w:rsidR="009135D8" w:rsidRDefault="009135D8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:rsidR="009135D8" w:rsidRDefault="00947D50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947D50">
        <w:rPr>
          <w:noProof/>
          <w:lang w:eastAsia="it-IT"/>
        </w:rPr>
        <w:lastRenderedPageBreak/>
        <w:drawing>
          <wp:inline distT="0" distB="0" distL="0" distR="0" wp14:anchorId="5B055CC6" wp14:editId="511A6418">
            <wp:extent cx="5628571" cy="2895238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8571" cy="2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5D8" w:rsidRPr="00947D50" w:rsidRDefault="009135D8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:rsidR="009135D8" w:rsidRPr="00947D50" w:rsidRDefault="009135D8">
      <w:pPr>
        <w:rPr>
          <w:rFonts w:ascii="Times New Roman" w:hAnsi="Times New Roman" w:cs="Times New Roman"/>
          <w:color w:val="1F1F1F"/>
          <w:szCs w:val="20"/>
        </w:rPr>
      </w:pPr>
      <w:r w:rsidRPr="00203942">
        <w:rPr>
          <w:rFonts w:ascii="Times New Roman" w:hAnsi="Times New Roman" w:cs="Times New Roman"/>
          <w:b/>
          <w:noProof/>
          <w:szCs w:val="20"/>
          <w:lang w:val="en-US"/>
        </w:rPr>
        <w:t>Supplementary</w:t>
      </w:r>
      <w:r w:rsidR="00203942" w:rsidRPr="00203942">
        <w:rPr>
          <w:rFonts w:ascii="Times New Roman" w:hAnsi="Times New Roman" w:cs="Times New Roman"/>
          <w:b/>
          <w:noProof/>
          <w:szCs w:val="20"/>
          <w:lang w:val="en-US"/>
        </w:rPr>
        <w:t xml:space="preserve"> Fig. 3</w:t>
      </w:r>
      <w:r w:rsidRPr="00947D50">
        <w:rPr>
          <w:rFonts w:ascii="Times New Roman" w:hAnsi="Times New Roman" w:cs="Times New Roman"/>
          <w:noProof/>
          <w:szCs w:val="20"/>
          <w:lang w:val="en-US"/>
        </w:rPr>
        <w:t xml:space="preserve"> Gating strategy of NEC</w:t>
      </w:r>
      <w:r w:rsidR="003677B8">
        <w:rPr>
          <w:rFonts w:ascii="Times New Roman" w:hAnsi="Times New Roman" w:cs="Times New Roman"/>
          <w:noProof/>
          <w:szCs w:val="20"/>
          <w:lang w:val="en-US"/>
        </w:rPr>
        <w:t xml:space="preserve"> grown at ALI condition</w:t>
      </w:r>
      <w:r w:rsidRPr="00947D50">
        <w:rPr>
          <w:rFonts w:ascii="Times New Roman" w:hAnsi="Times New Roman" w:cs="Times New Roman"/>
          <w:noProof/>
          <w:szCs w:val="20"/>
          <w:lang w:val="en-US"/>
        </w:rPr>
        <w:t>.</w:t>
      </w:r>
      <w:r w:rsidRPr="00947D50">
        <w:rPr>
          <w:rFonts w:ascii="Times New Roman" w:hAnsi="Times New Roman" w:cs="Times New Roman"/>
          <w:color w:val="1F1F1F"/>
          <w:szCs w:val="20"/>
        </w:rPr>
        <w:t> </w:t>
      </w:r>
      <w:r w:rsidR="003677B8">
        <w:rPr>
          <w:rFonts w:ascii="Times New Roman" w:hAnsi="Times New Roman" w:cs="Times New Roman"/>
          <w:color w:val="1F1F1F"/>
          <w:szCs w:val="20"/>
        </w:rPr>
        <w:t xml:space="preserve">The </w:t>
      </w:r>
      <w:proofErr w:type="spellStart"/>
      <w:r w:rsidR="003677B8">
        <w:rPr>
          <w:rFonts w:ascii="Times New Roman" w:hAnsi="Times New Roman" w:cs="Times New Roman"/>
          <w:color w:val="1F1F1F"/>
          <w:szCs w:val="20"/>
        </w:rPr>
        <w:t>whole</w:t>
      </w:r>
      <w:proofErr w:type="spellEnd"/>
      <w:r w:rsidR="003677B8">
        <w:rPr>
          <w:rFonts w:ascii="Times New Roman" w:hAnsi="Times New Roman" w:cs="Times New Roman"/>
          <w:color w:val="1F1F1F"/>
          <w:szCs w:val="20"/>
        </w:rPr>
        <w:t xml:space="preserve"> </w:t>
      </w:r>
      <w:proofErr w:type="spellStart"/>
      <w:r w:rsidR="003677B8">
        <w:rPr>
          <w:rFonts w:ascii="Times New Roman" w:hAnsi="Times New Roman" w:cs="Times New Roman"/>
          <w:color w:val="1F1F1F"/>
          <w:szCs w:val="20"/>
        </w:rPr>
        <w:t>population</w:t>
      </w:r>
      <w:proofErr w:type="spellEnd"/>
      <w:r w:rsidR="003677B8">
        <w:rPr>
          <w:rFonts w:ascii="Times New Roman" w:hAnsi="Times New Roman" w:cs="Times New Roman"/>
          <w:color w:val="1F1F1F"/>
          <w:szCs w:val="20"/>
        </w:rPr>
        <w:t xml:space="preserve"> of control</w:t>
      </w:r>
      <w:r w:rsidRPr="00947D50">
        <w:rPr>
          <w:rFonts w:ascii="Times New Roman" w:hAnsi="Times New Roman" w:cs="Times New Roman"/>
          <w:color w:val="1F1F1F"/>
          <w:szCs w:val="20"/>
        </w:rPr>
        <w:t xml:space="preserve"> (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cells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not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incubated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with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NiMs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)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was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gated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(</w:t>
      </w:r>
      <w:r w:rsidR="00947D50" w:rsidRPr="00947D50">
        <w:rPr>
          <w:rFonts w:ascii="Times New Roman" w:hAnsi="Times New Roman" w:cs="Times New Roman"/>
          <w:color w:val="1F1F1F"/>
          <w:szCs w:val="20"/>
        </w:rPr>
        <w:t xml:space="preserve">R2 in </w:t>
      </w:r>
      <w:r w:rsidRPr="00947D50">
        <w:rPr>
          <w:rFonts w:ascii="Times New Roman" w:hAnsi="Times New Roman" w:cs="Times New Roman"/>
          <w:color w:val="1F1F1F"/>
          <w:szCs w:val="20"/>
        </w:rPr>
        <w:t xml:space="preserve">A) and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evaluated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for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fluorescence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intensity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</w:t>
      </w:r>
      <w:proofErr w:type="spellStart"/>
      <w:r w:rsidR="00947D50" w:rsidRPr="00947D50">
        <w:rPr>
          <w:rFonts w:ascii="Times New Roman" w:hAnsi="Times New Roman" w:cs="Times New Roman"/>
          <w:color w:val="1F1F1F"/>
          <w:szCs w:val="20"/>
        </w:rPr>
        <w:t>as</w:t>
      </w:r>
      <w:proofErr w:type="spellEnd"/>
      <w:r w:rsidR="00947D50" w:rsidRPr="00947D50">
        <w:rPr>
          <w:rFonts w:ascii="Times New Roman" w:hAnsi="Times New Roman" w:cs="Times New Roman"/>
          <w:color w:val="1F1F1F"/>
          <w:szCs w:val="20"/>
        </w:rPr>
        <w:t xml:space="preserve"> BL1-A </w:t>
      </w:r>
      <w:proofErr w:type="spellStart"/>
      <w:r w:rsidR="00947D50" w:rsidRPr="00947D50">
        <w:rPr>
          <w:rFonts w:ascii="Times New Roman" w:hAnsi="Times New Roman" w:cs="Times New Roman"/>
          <w:color w:val="1F1F1F"/>
          <w:szCs w:val="20"/>
        </w:rPr>
        <w:t>corresponding</w:t>
      </w:r>
      <w:proofErr w:type="spellEnd"/>
      <w:r w:rsidR="00947D50" w:rsidRPr="00947D50">
        <w:rPr>
          <w:rFonts w:ascii="Times New Roman" w:hAnsi="Times New Roman" w:cs="Times New Roman"/>
          <w:color w:val="1F1F1F"/>
          <w:szCs w:val="20"/>
        </w:rPr>
        <w:t xml:space="preserve"> to FITC </w:t>
      </w:r>
      <w:r w:rsidRPr="00947D50">
        <w:rPr>
          <w:rFonts w:ascii="Times New Roman" w:hAnsi="Times New Roman" w:cs="Times New Roman"/>
          <w:color w:val="1F1F1F"/>
          <w:szCs w:val="20"/>
        </w:rPr>
        <w:t xml:space="preserve">(B). </w:t>
      </w:r>
      <w:r w:rsidR="00947D50" w:rsidRPr="00947D50">
        <w:rPr>
          <w:rFonts w:ascii="Times New Roman" w:hAnsi="Times New Roman" w:cs="Times New Roman"/>
          <w:color w:val="1F1F1F"/>
          <w:szCs w:val="20"/>
        </w:rPr>
        <w:t>In B, a</w:t>
      </w:r>
      <w:r w:rsidRPr="00947D50">
        <w:rPr>
          <w:rFonts w:ascii="Times New Roman" w:hAnsi="Times New Roman" w:cs="Times New Roman"/>
          <w:color w:val="1F1F1F"/>
          <w:szCs w:val="20"/>
        </w:rPr>
        <w:t xml:space="preserve"> marker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separated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negative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cells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(on the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left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) from positive </w:t>
      </w:r>
      <w:proofErr w:type="spellStart"/>
      <w:r w:rsidRPr="00947D50">
        <w:rPr>
          <w:rFonts w:ascii="Times New Roman" w:hAnsi="Times New Roman" w:cs="Times New Roman"/>
          <w:color w:val="1F1F1F"/>
          <w:szCs w:val="20"/>
        </w:rPr>
        <w:t>cells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(on the right). </w:t>
      </w:r>
      <w:r w:rsidR="003677B8">
        <w:rPr>
          <w:rFonts w:ascii="Times New Roman" w:hAnsi="Times New Roman" w:cs="Times New Roman"/>
          <w:color w:val="1F1F1F"/>
          <w:szCs w:val="20"/>
        </w:rPr>
        <w:t xml:space="preserve">In the control, positive </w:t>
      </w:r>
      <w:proofErr w:type="spellStart"/>
      <w:r w:rsidR="003677B8">
        <w:rPr>
          <w:rFonts w:ascii="Times New Roman" w:hAnsi="Times New Roman" w:cs="Times New Roman"/>
          <w:color w:val="1F1F1F"/>
          <w:szCs w:val="20"/>
        </w:rPr>
        <w:t>cells</w:t>
      </w:r>
      <w:proofErr w:type="spellEnd"/>
      <w:r w:rsidR="003677B8">
        <w:rPr>
          <w:rFonts w:ascii="Times New Roman" w:hAnsi="Times New Roman" w:cs="Times New Roman"/>
          <w:color w:val="1F1F1F"/>
          <w:szCs w:val="20"/>
        </w:rPr>
        <w:t xml:space="preserve"> </w:t>
      </w:r>
      <w:proofErr w:type="spellStart"/>
      <w:r w:rsidR="003677B8">
        <w:rPr>
          <w:rFonts w:ascii="Times New Roman" w:hAnsi="Times New Roman" w:cs="Times New Roman"/>
          <w:color w:val="1F1F1F"/>
          <w:szCs w:val="20"/>
        </w:rPr>
        <w:t>were</w:t>
      </w:r>
      <w:proofErr w:type="spellEnd"/>
      <w:r w:rsidR="003677B8">
        <w:rPr>
          <w:rFonts w:ascii="Times New Roman" w:hAnsi="Times New Roman" w:cs="Times New Roman"/>
          <w:color w:val="1F1F1F"/>
          <w:szCs w:val="20"/>
        </w:rPr>
        <w:t xml:space="preserve"> set </w:t>
      </w:r>
      <w:proofErr w:type="spellStart"/>
      <w:r w:rsidR="003677B8">
        <w:rPr>
          <w:rFonts w:ascii="Times New Roman" w:hAnsi="Times New Roman" w:cs="Times New Roman"/>
          <w:color w:val="1F1F1F"/>
          <w:szCs w:val="20"/>
        </w:rPr>
        <w:t>at</w:t>
      </w:r>
      <w:proofErr w:type="spellEnd"/>
      <w:r w:rsidRPr="00947D50">
        <w:rPr>
          <w:rFonts w:ascii="Times New Roman" w:hAnsi="Times New Roman" w:cs="Times New Roman"/>
          <w:color w:val="1F1F1F"/>
          <w:szCs w:val="20"/>
        </w:rPr>
        <w:t xml:space="preserve"> 0.</w:t>
      </w:r>
    </w:p>
    <w:p w:rsidR="00006B9B" w:rsidRPr="00947D50" w:rsidRDefault="00006B9B">
      <w:pPr>
        <w:rPr>
          <w:rFonts w:ascii="Times New Roman" w:hAnsi="Times New Roman" w:cs="Times New Roman"/>
          <w:noProof/>
          <w:szCs w:val="20"/>
          <w:lang w:val="en-US"/>
        </w:rPr>
      </w:pPr>
      <w:bookmarkStart w:id="0" w:name="_GoBack"/>
      <w:bookmarkEnd w:id="0"/>
    </w:p>
    <w:sectPr w:rsidR="00006B9B" w:rsidRPr="00947D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ystic Fibrosi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9f2rv5zna99v8e9zrnvwf2krs9tstseat5a&quot;&gt;CFTR-Converted.enl-Saved-Saved-Saved-Saved-Saved-Saved-Saved-Saved (1)&lt;record-ids&gt;&lt;item&gt;18847&lt;/item&gt;&lt;/record-ids&gt;&lt;/item&gt;&lt;/Libraries&gt;"/>
  </w:docVars>
  <w:rsids>
    <w:rsidRoot w:val="001F7824"/>
    <w:rsid w:val="00006B9B"/>
    <w:rsid w:val="001B365D"/>
    <w:rsid w:val="001C692B"/>
    <w:rsid w:val="001F7824"/>
    <w:rsid w:val="00203942"/>
    <w:rsid w:val="003677B8"/>
    <w:rsid w:val="003C0AD6"/>
    <w:rsid w:val="003F0AC7"/>
    <w:rsid w:val="003F3422"/>
    <w:rsid w:val="004C6E84"/>
    <w:rsid w:val="00627A9E"/>
    <w:rsid w:val="007363ED"/>
    <w:rsid w:val="00754C7E"/>
    <w:rsid w:val="00760ABA"/>
    <w:rsid w:val="00784969"/>
    <w:rsid w:val="00893C61"/>
    <w:rsid w:val="00900C93"/>
    <w:rsid w:val="009135D8"/>
    <w:rsid w:val="00947D50"/>
    <w:rsid w:val="009A22E5"/>
    <w:rsid w:val="00A25B99"/>
    <w:rsid w:val="00A878F4"/>
    <w:rsid w:val="00AF5567"/>
    <w:rsid w:val="00C73989"/>
    <w:rsid w:val="00E566FF"/>
    <w:rsid w:val="00E84006"/>
    <w:rsid w:val="00F9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11D3"/>
  <w15:chartTrackingRefBased/>
  <w15:docId w15:val="{C832E741-059A-4483-B24C-694E9C77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78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C6E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e"/>
    <w:link w:val="EndNoteBibliographyTitleCarattere"/>
    <w:rsid w:val="004C6E8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4C6E8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4C6E8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4C6E84"/>
    <w:rPr>
      <w:rFonts w:ascii="Calibri" w:hAnsi="Calibri" w:cs="Calibri"/>
      <w:noProof/>
      <w:lang w:val="en-US"/>
    </w:rPr>
  </w:style>
  <w:style w:type="table" w:styleId="Grigliatabella">
    <w:name w:val="Table Grid"/>
    <w:basedOn w:val="Tabellanormale"/>
    <w:uiPriority w:val="39"/>
    <w:rsid w:val="003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cp:keywords/>
  <dc:description/>
  <cp:lastModifiedBy>massimo</cp:lastModifiedBy>
  <cp:revision>14</cp:revision>
  <dcterms:created xsi:type="dcterms:W3CDTF">2025-06-21T08:24:00Z</dcterms:created>
  <dcterms:modified xsi:type="dcterms:W3CDTF">2025-12-06T10:42:00Z</dcterms:modified>
</cp:coreProperties>
</file>