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numPr>
          <w:ilvl w:val="1"/>
          <w:numId w:val="3"/>
        </w:numPr>
        <w:spacing w:before="240" w:after="120"/>
        <w:jc w:val="left"/>
        <w:rPr>
          <w:sz w:val="32"/>
          <w:szCs w:val="56"/>
        </w:rPr>
      </w:pPr>
      <w:r>
        <w:rPr>
          <w:sz w:val="32"/>
          <w:szCs w:val="56"/>
        </w:rPr>
        <w:t xml:space="preserve">The Dialectics of Action </w:t>
      </w:r>
      <w:r>
        <w:rPr>
          <w:rFonts w:eastAsia="Noto Sans CJK SC" w:cs="Lohit Devanagari"/>
          <w:b/>
          <w:bCs/>
          <w:color w:val="auto"/>
          <w:kern w:val="2"/>
          <w:sz w:val="32"/>
          <w:szCs w:val="56"/>
          <w:lang w:val="en-US" w:eastAsia="zh-CN" w:bidi="hi-IN"/>
        </w:rPr>
        <w:t>and</w:t>
      </w:r>
      <w:r>
        <w:rPr>
          <w:sz w:val="32"/>
          <w:szCs w:val="56"/>
        </w:rPr>
        <w:t xml:space="preserve"> Technology in the Philosophy of Jean-Paul Sartre</w:t>
      </w:r>
    </w:p>
    <w:p>
      <w:pPr>
        <w:pStyle w:val="Berschrift1"/>
        <w:rPr/>
      </w:pPr>
      <w:r>
        <w:rPr/>
        <w:t>Detailed responses to reviewer #1:</w:t>
      </w:r>
    </w:p>
    <w:p>
      <w:pPr>
        <w:pStyle w:val="Berschrift2"/>
        <w:numPr>
          <w:ilvl w:val="1"/>
          <w:numId w:val="2"/>
        </w:numPr>
        <w:rPr/>
      </w:pPr>
      <w:r>
        <w:rPr/>
        <w:t>Text feeling insular:</w:t>
      </w:r>
    </w:p>
    <w:p>
      <w:pPr>
        <w:pStyle w:val="Textkrper"/>
        <w:numPr>
          <w:ilvl w:val="1"/>
          <w:numId w:val="3"/>
        </w:numPr>
        <w:spacing w:before="240" w:after="120"/>
        <w:jc w:val="left"/>
        <w:rPr/>
      </w:pPr>
      <w:r>
        <w:rPr>
          <w:rFonts w:eastAsia="Noto Sans CJK SC" w:cs="Lohit Devanagari"/>
          <w:b w:val="false"/>
          <w:bCs w:val="false"/>
          <w:color w:val="auto"/>
          <w:kern w:val="2"/>
          <w:sz w:val="24"/>
          <w:szCs w:val="24"/>
          <w:lang w:val="en-US" w:eastAsia="zh-CN" w:bidi="hi-IN"/>
        </w:rPr>
        <w:t xml:space="preserve">References to other authors within the main part of the paper have been taken out to increase the flow of argumentation. To outline the potential of Sartre's thoughts for the philosophy of technology an extensive exploration into these potentials, titled </w:t>
      </w:r>
      <w:r>
        <w:rPr>
          <w:rFonts w:eastAsia="Noto Sans CJK SC" w:cs="Lohit Devanagari"/>
          <w:b w:val="false"/>
          <w:bCs w:val="false"/>
          <w:i/>
          <w:iCs/>
          <w:color w:val="auto"/>
          <w:kern w:val="2"/>
          <w:sz w:val="24"/>
          <w:szCs w:val="24"/>
          <w:lang w:val="en-US" w:eastAsia="zh-CN" w:bidi="hi-IN"/>
        </w:rPr>
        <w:t>The Potentials of Sartre’s Thoughts on Technology</w:t>
      </w:r>
      <w:r>
        <w:rPr>
          <w:rFonts w:eastAsia="Noto Sans CJK SC" w:cs="Lohit Devanagari"/>
          <w:b w:val="false"/>
          <w:bCs w:val="false"/>
          <w:color w:val="auto"/>
          <w:kern w:val="2"/>
          <w:sz w:val="24"/>
          <w:szCs w:val="24"/>
          <w:lang w:val="en-US" w:eastAsia="zh-CN" w:bidi="hi-IN"/>
        </w:rPr>
        <w:t>, was created at the end of the paper, with a strong focus on Sartre's dialectical philosophy in relation to other dialectical traditions that reflect on technology, a juxtaposition between Sartre's conception of technological mediation with those found in Postphenomenology and ANT, and a reflection on Sartre's understanding of human action within a sociotechnical milieu,</w:t>
      </w:r>
    </w:p>
    <w:p>
      <w:pPr>
        <w:pStyle w:val="Textkrper"/>
        <w:numPr>
          <w:ilvl w:val="1"/>
          <w:numId w:val="3"/>
        </w:numPr>
        <w:spacing w:before="240" w:after="120"/>
        <w:rPr>
          <w:rFonts w:eastAsia="Noto Sans CJK SC" w:cs="Lohit Devanagari"/>
          <w:b w:val="false"/>
          <w:b w:val="false"/>
          <w:bCs w:val="false"/>
          <w:color w:val="auto"/>
          <w:kern w:val="2"/>
          <w:sz w:val="24"/>
          <w:szCs w:val="24"/>
          <w:lang w:val="en-US" w:eastAsia="zh-CN" w:bidi="hi-IN"/>
        </w:rPr>
      </w:pPr>
      <w:r>
        <w:rPr>
          <w:rFonts w:eastAsia="Noto Sans CJK SC" w:cs="Lohit Devanagari"/>
          <w:b w:val="false"/>
          <w:bCs w:val="false"/>
          <w:color w:val="auto"/>
          <w:kern w:val="2"/>
          <w:sz w:val="24"/>
          <w:szCs w:val="24"/>
          <w:lang w:val="en-US" w:eastAsia="zh-CN" w:bidi="hi-IN"/>
        </w:rPr>
      </w:r>
    </w:p>
    <w:p>
      <w:pPr>
        <w:pStyle w:val="Berschrift2"/>
        <w:numPr>
          <w:ilvl w:val="1"/>
          <w:numId w:val="2"/>
        </w:numPr>
        <w:rPr/>
      </w:pPr>
      <w:r>
        <w:rPr/>
        <w:t>Multistability vs. Metastability</w:t>
      </w:r>
    </w:p>
    <w:p>
      <w:pPr>
        <w:pStyle w:val="Textkrper"/>
        <w:numPr>
          <w:ilvl w:val="1"/>
          <w:numId w:val="3"/>
        </w:numPr>
        <w:spacing w:before="240" w:after="120"/>
        <w:rPr/>
      </w:pPr>
      <w:r>
        <w:rPr>
          <w:rFonts w:eastAsia="Noto Sans CJK SC" w:cs="Lohit Devanagari"/>
          <w:b w:val="false"/>
          <w:bCs w:val="false"/>
          <w:color w:val="auto"/>
          <w:kern w:val="2"/>
          <w:sz w:val="24"/>
          <w:szCs w:val="24"/>
          <w:lang w:val="en-US" w:eastAsia="zh-CN" w:bidi="hi-IN"/>
        </w:rPr>
        <w:t xml:space="preserve">Thank you very much for this recommendation. The end of the main part has been rewritten to more strongly focus on Sartre's thoughts about </w:t>
      </w:r>
      <w:r>
        <w:rPr>
          <w:rFonts w:eastAsia="Noto Sans CJK SC" w:cs="Lohit Devanagari"/>
          <w:b w:val="false"/>
          <w:bCs w:val="false"/>
          <w:i/>
          <w:iCs/>
          <w:color w:val="auto"/>
          <w:kern w:val="2"/>
          <w:sz w:val="24"/>
          <w:szCs w:val="24"/>
          <w:lang w:val="en-US" w:eastAsia="zh-CN" w:bidi="hi-IN"/>
        </w:rPr>
        <w:t>la force des choses</w:t>
      </w:r>
      <w:r>
        <w:rPr>
          <w:rFonts w:eastAsia="Noto Sans CJK SC" w:cs="Lohit Devanagari"/>
          <w:b w:val="false"/>
          <w:bCs w:val="false"/>
          <w:color w:val="auto"/>
          <w:kern w:val="2"/>
          <w:sz w:val="24"/>
          <w:szCs w:val="24"/>
          <w:lang w:val="en-US" w:eastAsia="zh-CN" w:bidi="hi-IN"/>
        </w:rPr>
        <w:t>. I deemed that Stiegler's conception of metastability in recourse to Simondon would be more suitable for a paper concerning Sartre's theory of practical ensembles, i.e. his quasi-system theory about the serial and communal structuring of forms of organization within human history, which is no longer in the paper. Furthermore, the hint to the concept of multistability is no longer in the paper as well as to have a more focused dispute with Postphenomenology's conception of technological mediation. Explaining the notion of multistability in relation to Sartre did not seem to provide any actual insight other than that Sartre also believes that things are not tied to their supposed function.</w:t>
      </w:r>
    </w:p>
    <w:p>
      <w:pPr>
        <w:pStyle w:val="Textkrper"/>
        <w:numPr>
          <w:ilvl w:val="1"/>
          <w:numId w:val="3"/>
        </w:numPr>
        <w:spacing w:before="240" w:after="120"/>
        <w:rPr>
          <w:rFonts w:eastAsia="Noto Sans CJK SC" w:cs="Lohit Devanagari"/>
          <w:b w:val="false"/>
          <w:b w:val="false"/>
          <w:bCs w:val="false"/>
          <w:color w:val="auto"/>
          <w:kern w:val="2"/>
          <w:sz w:val="24"/>
          <w:szCs w:val="24"/>
          <w:lang w:val="en-US" w:eastAsia="zh-CN" w:bidi="hi-IN"/>
        </w:rPr>
      </w:pPr>
      <w:r>
        <w:rPr>
          <w:rFonts w:eastAsia="Noto Sans CJK SC" w:cs="Lohit Devanagari"/>
          <w:b w:val="false"/>
          <w:bCs w:val="false"/>
          <w:color w:val="auto"/>
          <w:kern w:val="2"/>
          <w:sz w:val="24"/>
          <w:szCs w:val="24"/>
          <w:lang w:val="en-US" w:eastAsia="zh-CN" w:bidi="hi-IN"/>
        </w:rPr>
      </w:r>
    </w:p>
    <w:p>
      <w:pPr>
        <w:pStyle w:val="Berschrift2"/>
        <w:numPr>
          <w:ilvl w:val="1"/>
          <w:numId w:val="2"/>
        </w:numPr>
        <w:rPr/>
      </w:pPr>
      <w:r>
        <w:rPr/>
        <w:t>Cyborg Theory and STS</w:t>
      </w:r>
    </w:p>
    <w:p>
      <w:pPr>
        <w:pStyle w:val="Textkrper"/>
        <w:numPr>
          <w:ilvl w:val="1"/>
          <w:numId w:val="3"/>
        </w:numPr>
        <w:spacing w:before="240" w:after="120"/>
        <w:rPr/>
      </w:pPr>
      <w:r>
        <w:rPr>
          <w:rFonts w:eastAsia="Noto Sans CJK SC" w:cs="Lohit Devanagari"/>
          <w:b w:val="false"/>
          <w:bCs w:val="false"/>
          <w:color w:val="auto"/>
          <w:kern w:val="2"/>
          <w:sz w:val="24"/>
          <w:szCs w:val="24"/>
          <w:lang w:val="en-US" w:eastAsia="zh-CN" w:bidi="hi-IN"/>
        </w:rPr>
        <w:t>I have included a more detailed description of Sartre's thoughts on being an actor within a sociotechnical milieu to address this comment.</w:t>
      </w:r>
    </w:p>
    <w:p>
      <w:pPr>
        <w:pStyle w:val="Textkrper"/>
        <w:numPr>
          <w:ilvl w:val="1"/>
          <w:numId w:val="3"/>
        </w:numPr>
        <w:spacing w:before="240" w:after="120"/>
        <w:rPr>
          <w:rFonts w:eastAsia="Noto Sans CJK SC" w:cs="Lohit Devanagari"/>
          <w:b w:val="false"/>
          <w:b w:val="false"/>
          <w:bCs w:val="false"/>
          <w:color w:val="auto"/>
          <w:kern w:val="2"/>
          <w:sz w:val="24"/>
          <w:szCs w:val="24"/>
          <w:lang w:val="en-US" w:eastAsia="zh-CN" w:bidi="hi-IN"/>
        </w:rPr>
      </w:pPr>
      <w:r>
        <w:rPr>
          <w:rFonts w:eastAsia="Noto Sans CJK SC" w:cs="Lohit Devanagari"/>
          <w:b w:val="false"/>
          <w:bCs w:val="false"/>
          <w:color w:val="auto"/>
          <w:kern w:val="2"/>
          <w:sz w:val="24"/>
          <w:szCs w:val="24"/>
          <w:lang w:val="en-US" w:eastAsia="zh-CN" w:bidi="hi-IN"/>
        </w:rPr>
      </w:r>
    </w:p>
    <w:p>
      <w:pPr>
        <w:pStyle w:val="Berschrift2"/>
        <w:numPr>
          <w:ilvl w:val="1"/>
          <w:numId w:val="2"/>
        </w:numPr>
        <w:rPr/>
      </w:pPr>
      <w:r>
        <w:rPr/>
        <w:t>Gualeni and Vella</w:t>
      </w:r>
    </w:p>
    <w:p>
      <w:pPr>
        <w:pStyle w:val="Textkrper"/>
        <w:numPr>
          <w:ilvl w:val="1"/>
          <w:numId w:val="3"/>
        </w:numPr>
        <w:spacing w:before="240" w:after="120"/>
        <w:rPr/>
      </w:pPr>
      <w:r>
        <w:rPr>
          <w:rFonts w:eastAsia="Noto Sans CJK SC" w:cs="Lohit Devanagari"/>
          <w:b w:val="false"/>
          <w:bCs w:val="false"/>
          <w:color w:val="auto"/>
          <w:kern w:val="2"/>
          <w:sz w:val="24"/>
          <w:szCs w:val="24"/>
          <w:lang w:val="en-US" w:eastAsia="zh-CN" w:bidi="hi-IN"/>
        </w:rPr>
        <w:t>Although I find this recommendation helpful, I also agree with reviewer #1 that these authors are not a perfect fit, which is why I did not include them in the paper.</w:t>
      </w:r>
    </w:p>
    <w:p>
      <w:pPr>
        <w:pStyle w:val="Textkrper"/>
        <w:numPr>
          <w:ilvl w:val="1"/>
          <w:numId w:val="3"/>
        </w:numPr>
        <w:spacing w:before="240" w:after="120"/>
        <w:rPr>
          <w:rFonts w:eastAsia="Noto Sans CJK SC" w:cs="Lohit Devanagari"/>
          <w:b w:val="false"/>
          <w:b w:val="false"/>
          <w:bCs w:val="false"/>
          <w:color w:val="auto"/>
          <w:kern w:val="2"/>
          <w:sz w:val="24"/>
          <w:szCs w:val="24"/>
          <w:lang w:val="en-US" w:eastAsia="zh-CN" w:bidi="hi-IN"/>
        </w:rPr>
      </w:pPr>
      <w:r>
        <w:rPr>
          <w:rFonts w:eastAsia="Noto Sans CJK SC" w:cs="Lohit Devanagari"/>
          <w:b w:val="false"/>
          <w:bCs w:val="false"/>
          <w:color w:val="auto"/>
          <w:kern w:val="2"/>
          <w:sz w:val="24"/>
          <w:szCs w:val="24"/>
          <w:lang w:val="en-US" w:eastAsia="zh-CN" w:bidi="hi-IN"/>
        </w:rPr>
      </w:r>
    </w:p>
    <w:p>
      <w:pPr>
        <w:pStyle w:val="Berschrift1"/>
        <w:widowControl/>
        <w:numPr>
          <w:ilvl w:val="0"/>
          <w:numId w:val="0"/>
        </w:numPr>
        <w:suppressAutoHyphens w:val="true"/>
        <w:ind w:left="0" w:hanging="0"/>
        <w:jc w:val="left"/>
        <w:rPr/>
      </w:pPr>
      <w:r>
        <w:rPr/>
      </w:r>
      <w:r>
        <w:br w:type="page"/>
      </w:r>
    </w:p>
    <w:p>
      <w:pPr>
        <w:pStyle w:val="Berschrift1"/>
        <w:numPr>
          <w:ilvl w:val="1"/>
          <w:numId w:val="3"/>
        </w:numPr>
        <w:rPr/>
      </w:pPr>
      <w:r>
        <w:rPr/>
        <w:t>Detailed responses to reviewer #2:</w:t>
      </w:r>
    </w:p>
    <w:p>
      <w:pPr>
        <w:pStyle w:val="Berschrift2"/>
        <w:numPr>
          <w:ilvl w:val="1"/>
          <w:numId w:val="2"/>
        </w:numPr>
        <w:rPr/>
      </w:pPr>
      <w:r>
        <w:rPr/>
        <w:t>Shorten historical sections</w:t>
      </w:r>
    </w:p>
    <w:p>
      <w:pPr>
        <w:pStyle w:val="Textkrper"/>
        <w:numPr>
          <w:ilvl w:val="1"/>
          <w:numId w:val="3"/>
        </w:numPr>
        <w:spacing w:before="240" w:after="120"/>
        <w:rPr/>
      </w:pPr>
      <w:r>
        <w:rPr>
          <w:rFonts w:eastAsia="Noto Sans CJK SC" w:cs="Lohit Devanagari"/>
          <w:b w:val="false"/>
          <w:bCs w:val="false"/>
          <w:color w:val="auto"/>
          <w:kern w:val="2"/>
          <w:sz w:val="24"/>
          <w:szCs w:val="24"/>
          <w:lang w:val="en-US" w:eastAsia="zh-CN" w:bidi="hi-IN"/>
        </w:rPr>
        <w:t xml:space="preserve">I shortened the last part of the main part, as I deemed it diverged too much from what I intended to say in the paper. Now, it provides a more focused reconstruction of Sartre's thoughts about la force des choses. </w:t>
      </w:r>
    </w:p>
    <w:p>
      <w:pPr>
        <w:pStyle w:val="Textkrper"/>
        <w:numPr>
          <w:ilvl w:val="1"/>
          <w:numId w:val="3"/>
        </w:numPr>
        <w:spacing w:before="240" w:after="120"/>
        <w:rPr>
          <w:rFonts w:eastAsia="Noto Sans CJK SC" w:cs="Lohit Devanagari"/>
          <w:b w:val="false"/>
          <w:b w:val="false"/>
          <w:bCs w:val="false"/>
          <w:color w:val="auto"/>
          <w:kern w:val="2"/>
          <w:sz w:val="24"/>
          <w:szCs w:val="24"/>
          <w:lang w:val="en-US" w:eastAsia="zh-CN" w:bidi="hi-IN"/>
        </w:rPr>
      </w:pPr>
      <w:r>
        <w:rPr>
          <w:rFonts w:eastAsia="Noto Sans CJK SC" w:cs="Lohit Devanagari"/>
          <w:b w:val="false"/>
          <w:bCs w:val="false"/>
          <w:color w:val="auto"/>
          <w:kern w:val="2"/>
          <w:sz w:val="24"/>
          <w:szCs w:val="24"/>
          <w:lang w:val="en-US" w:eastAsia="zh-CN" w:bidi="hi-IN"/>
        </w:rPr>
      </w:r>
    </w:p>
    <w:p>
      <w:pPr>
        <w:pStyle w:val="Berschrift2"/>
        <w:numPr>
          <w:ilvl w:val="1"/>
          <w:numId w:val="2"/>
        </w:numPr>
        <w:rPr/>
      </w:pPr>
      <w:r>
        <w:rPr/>
        <w:t>Create new part</w:t>
      </w:r>
    </w:p>
    <w:p>
      <w:pPr>
        <w:pStyle w:val="Textkrper"/>
        <w:numPr>
          <w:ilvl w:val="1"/>
          <w:numId w:val="3"/>
        </w:numPr>
        <w:spacing w:before="240" w:after="120"/>
        <w:rPr/>
      </w:pPr>
      <w:r>
        <w:rPr>
          <w:rFonts w:eastAsia="Noto Sans CJK SC" w:cs="Lohit Devanagari"/>
          <w:b w:val="false"/>
          <w:bCs w:val="false"/>
          <w:color w:val="auto"/>
          <w:kern w:val="2"/>
          <w:sz w:val="24"/>
          <w:szCs w:val="24"/>
          <w:lang w:val="en-US" w:eastAsia="zh-CN" w:bidi="hi-IN"/>
        </w:rPr>
        <w:t xml:space="preserve">I rewrote the introduction to not only include some of the information from the historical section, but also the statement by Loeve et al. The new introduction frames the investigation as an attempt to explore Sartre's neglected philosophical thoughts. I created a whole new part, titled </w:t>
      </w:r>
      <w:r>
        <w:rPr>
          <w:rFonts w:eastAsia="Noto Sans CJK SC" w:cs="Lohit Devanagari"/>
          <w:b w:val="false"/>
          <w:bCs w:val="false"/>
          <w:i/>
          <w:iCs/>
          <w:color w:val="auto"/>
          <w:kern w:val="2"/>
          <w:sz w:val="24"/>
          <w:szCs w:val="24"/>
          <w:lang w:val="en-US" w:eastAsia="zh-CN" w:bidi="hi-IN"/>
        </w:rPr>
        <w:t>The Potentials of Sartre’s Thoughts on Technology</w:t>
      </w:r>
      <w:r>
        <w:rPr>
          <w:rFonts w:eastAsia="Noto Sans CJK SC" w:cs="Lohit Devanagari"/>
          <w:b w:val="false"/>
          <w:bCs w:val="false"/>
          <w:color w:val="auto"/>
          <w:kern w:val="2"/>
          <w:sz w:val="24"/>
          <w:szCs w:val="24"/>
          <w:lang w:val="en-US" w:eastAsia="zh-CN" w:bidi="hi-IN"/>
        </w:rPr>
        <w:t>, which provides the agreeably missing comparative and theoretical dimension. In this new part, I more extensively explored Sartre’s potential for the philosophy of technology. I included parts about Sartre’s philosophy within dialectical lines of thought, about Sartre’s conception of technological mediation and material agency, as well as about his understanding of totalizing action in relation to a sociotechnical milieu. For the juxtaposition with postphenomenology and ANT, I tried to bring forth a more Sartre-focused critique that addresses the nuanced yet crucial differences between Sartre and Postphenomenology/ANT.</w:t>
      </w:r>
    </w:p>
    <w:sectPr>
      <w:footerReference w:type="default" r:id="rId2"/>
      <w:type w:val="nextPage"/>
      <w:pgSz w:w="11906" w:h="16838"/>
      <w:pgMar w:left="1417" w:right="1417" w:header="0" w:top="1417" w:footer="1417" w:bottom="194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harter">
    <w:charset w:val="01"/>
    <w:family w:val="roman"/>
    <w:pitch w:val="default"/>
  </w:font>
  <w:font w:name="OpenSymbol">
    <w:altName w:val="Arial Unicode MS"/>
    <w:charset w:val="01"/>
    <w:family w:val="roman"/>
    <w:pitch w:val="default"/>
  </w:font>
  <w:font w:name="FrontPage Pro">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jc w:val="center"/>
      <w:rPr/>
    </w:pPr>
    <w:r>
      <w:rPr/>
      <w:fldChar w:fldCharType="begin"/>
    </w:r>
    <w:r>
      <w:rPr/>
      <w:instrText> PAGE </w:instrText>
    </w:r>
    <w:r>
      <w:rPr/>
      <w:fldChar w:fldCharType="separate"/>
    </w:r>
    <w:r>
      <w:rPr/>
      <w:t>3</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pStyle w:val="Berschrift2"/>
      <w:numFmt w:val="none"/>
      <w:suff w:val="nothing"/>
      <w:lvlText w:val=""/>
      <w:lvlJc w:val="left"/>
      <w:pPr>
        <w:tabs>
          <w:tab w:val="num" w:pos="0"/>
        </w:tabs>
        <w:ind w:left="0" w:hanging="0"/>
      </w:pPr>
    </w:lvl>
    <w:lvl w:ilvl="2">
      <w:start w:val="1"/>
      <w:pStyle w:val="Berschrift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harter" w:hAnsi="Charter" w:eastAsia="Noto Serif CJK SC" w:cs="Lohit Devanagari"/>
        <w:kern w:val="2"/>
        <w:sz w:val="20"/>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harter" w:hAnsi="Charter" w:eastAsia="Noto Serif CJK SC" w:cs="Lohit Devanagari"/>
      <w:color w:val="auto"/>
      <w:kern w:val="2"/>
      <w:sz w:val="24"/>
      <w:szCs w:val="24"/>
      <w:lang w:val="en-US" w:eastAsia="zh-CN" w:bidi="hi-IN"/>
    </w:rPr>
  </w:style>
  <w:style w:type="paragraph" w:styleId="Berschrift1">
    <w:name w:val="Heading 1"/>
    <w:basedOn w:val="Berschrift"/>
    <w:next w:val="Textkrper"/>
    <w:qFormat/>
    <w:pPr>
      <w:spacing w:before="240" w:after="120"/>
    </w:pPr>
    <w:rPr>
      <w:b/>
      <w:bCs/>
      <w:sz w:val="28"/>
      <w:szCs w:val="28"/>
    </w:rPr>
  </w:style>
  <w:style w:type="paragraph" w:styleId="Berschrift2">
    <w:name w:val="Heading 2"/>
    <w:basedOn w:val="Berschrift"/>
    <w:next w:val="Textkrper"/>
    <w:qFormat/>
    <w:pPr>
      <w:numPr>
        <w:ilvl w:val="1"/>
        <w:numId w:val="1"/>
      </w:numPr>
      <w:spacing w:before="200" w:after="120"/>
      <w:outlineLvl w:val="1"/>
    </w:pPr>
    <w:rPr>
      <w:b/>
      <w:bCs/>
      <w:sz w:val="24"/>
      <w:szCs w:val="24"/>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character" w:styleId="Nummerierungszeichen">
    <w:name w:val="Nummerierungszeichen"/>
    <w:qFormat/>
    <w:rPr/>
  </w:style>
  <w:style w:type="character" w:styleId="Aufzhlungszeichen">
    <w:name w:val="Aufzählungszeichen"/>
    <w:qFormat/>
    <w:rPr>
      <w:rFonts w:ascii="OpenSymbol" w:hAnsi="OpenSymbol" w:eastAsia="OpenSymbol" w:cs="OpenSymbol"/>
    </w:rPr>
  </w:style>
  <w:style w:type="character" w:styleId="Internetverknpfung">
    <w:name w:val="Internetverknüpfung"/>
    <w:rPr>
      <w:color w:val="000080"/>
      <w:u w:val="single"/>
      <w:lang w:val="zxx" w:eastAsia="zxx" w:bidi="zxx"/>
    </w:rPr>
  </w:style>
  <w:style w:type="character" w:styleId="Funotenzeichen">
    <w:name w:val="Fußnotenzeichen"/>
    <w:qFormat/>
    <w:rPr/>
  </w:style>
  <w:style w:type="character" w:styleId="Funotenanker">
    <w:name w:val="Fußnotenanker"/>
    <w:rPr>
      <w:vertAlign w:val="superscript"/>
    </w:rPr>
  </w:style>
  <w:style w:type="character" w:styleId="Endnotenanker">
    <w:name w:val="Endnotenanker"/>
    <w:rPr>
      <w:vertAlign w:val="superscript"/>
    </w:rPr>
  </w:style>
  <w:style w:type="character" w:styleId="Endnotenzeichen">
    <w:name w:val="Endnotenzeichen"/>
    <w:qFormat/>
    <w:rPr/>
  </w:style>
  <w:style w:type="character" w:styleId="Betont">
    <w:name w:val="Betont"/>
    <w:qFormat/>
    <w:rPr>
      <w:i/>
      <w:iCs/>
    </w:rPr>
  </w:style>
  <w:style w:type="character" w:styleId="BesuchteInternetverknpfung">
    <w:name w:val="Besuchte Internetverknüpfung"/>
    <w:rPr>
      <w:color w:val="800000"/>
      <w:u w:val="single"/>
      <w:lang w:val="zxx" w:eastAsia="zxx" w:bidi="zxx"/>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FrontPage Pro" w:hAnsi="FrontPage Pro" w:eastAsia="Noto Sans CJK SC" w:cs="Lohit Devanagari"/>
      <w:sz w:val="28"/>
      <w:szCs w:val="28"/>
    </w:rPr>
  </w:style>
  <w:style w:type="paragraph" w:styleId="Textkrper">
    <w:name w:val="Body Text"/>
    <w:basedOn w:val="Normal"/>
    <w:pPr>
      <w:spacing w:lineRule="auto" w:line="360" w:before="0" w:after="140"/>
      <w:jc w:val="both"/>
    </w:pPr>
    <w:rPr/>
  </w:style>
  <w:style w:type="paragraph" w:styleId="Liste">
    <w:name w:val="List"/>
    <w:basedOn w:val="Textkrper"/>
    <w:pPr/>
    <w:rPr>
      <w:rFonts w:ascii="Charter" w:hAnsi="Charter" w:cs="Lohit Devanagari"/>
    </w:rPr>
  </w:style>
  <w:style w:type="paragraph" w:styleId="Beschriftung">
    <w:name w:val="Caption"/>
    <w:basedOn w:val="Normal"/>
    <w:qFormat/>
    <w:pPr>
      <w:suppressLineNumbers/>
      <w:spacing w:before="120" w:after="120"/>
    </w:pPr>
    <w:rPr>
      <w:rFonts w:ascii="Charter" w:hAnsi="Charter" w:cs="Lohit Devanagari"/>
      <w:i/>
      <w:iCs/>
      <w:sz w:val="24"/>
      <w:szCs w:val="24"/>
    </w:rPr>
  </w:style>
  <w:style w:type="paragraph" w:styleId="Verzeichnis">
    <w:name w:val="Verzeichnis"/>
    <w:basedOn w:val="Normal"/>
    <w:qFormat/>
    <w:pPr>
      <w:suppressLineNumbers/>
    </w:pPr>
    <w:rPr>
      <w:rFonts w:ascii="Charter" w:hAnsi="Charter" w:cs="Lohit Devanagari"/>
    </w:rPr>
  </w:style>
  <w:style w:type="paragraph" w:styleId="Titel">
    <w:name w:val="Title"/>
    <w:basedOn w:val="Berschrift"/>
    <w:next w:val="Textkrper"/>
    <w:qFormat/>
    <w:pPr>
      <w:jc w:val="center"/>
    </w:pPr>
    <w:rPr>
      <w:b/>
      <w:bCs/>
      <w:sz w:val="56"/>
      <w:szCs w:val="56"/>
    </w:rPr>
  </w:style>
  <w:style w:type="paragraph" w:styleId="Funote">
    <w:name w:val="Footnote Text"/>
    <w:basedOn w:val="Normal"/>
    <w:pPr>
      <w:suppressLineNumbers/>
      <w:ind w:left="339" w:hanging="339"/>
    </w:pPr>
    <w:rPr>
      <w:sz w:val="20"/>
      <w:szCs w:val="20"/>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Fuzeile">
    <w:name w:val="Footer"/>
    <w:basedOn w:val="KopfundFuzeile"/>
    <w:pPr>
      <w:suppressLineNumbers/>
    </w:pPr>
    <w:rPr/>
  </w:style>
  <w:style w:type="paragraph" w:styleId="Zitat">
    <w:name w:val="Zitat"/>
    <w:basedOn w:val="Normal"/>
    <w:qFormat/>
    <w:pPr>
      <w:spacing w:lineRule="auto" w:line="276" w:before="0" w:after="283"/>
      <w:ind w:left="567" w:right="567" w:hanging="0"/>
      <w:jc w:val="both"/>
    </w:pPr>
    <w:rPr>
      <w:sz w:val="20"/>
      <w:szCs w:val="20"/>
    </w:rPr>
  </w:style>
  <w:style w:type="paragraph" w:styleId="Literaturverzeichnis1">
    <w:name w:val="Literaturverzeichnis 1"/>
    <w:basedOn w:val="Verzeichnis"/>
    <w:qFormat/>
    <w:pPr>
      <w:tabs>
        <w:tab w:val="clear" w:pos="709"/>
        <w:tab w:val="right" w:pos="9072" w:leader="dot"/>
      </w:tabs>
      <w:ind w:lef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37168</TotalTime>
  <Application>LibreOffice/6.4.7.2$Linux_X86_64 LibreOffice_project/40$Build-2</Application>
  <Pages>3</Pages>
  <Words>512</Words>
  <Characters>2797</Characters>
  <CharactersWithSpaces>3313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2021-02-25T10:18:52Z</dcterms:created>
  <dc:creator/>
  <dc:description/>
  <dc:language>de-DE</dc:language>
  <cp:lastModifiedBy>Marcel Siegler</cp:lastModifiedBy>
  <cp:lastPrinted>2022-03-07T21:38:19Z</cp:lastPrinted>
  <dcterms:modified xsi:type="dcterms:W3CDTF">2022-03-08T09:04:33Z</dcterms:modified>
  <cp:revision>5810</cp:revision>
  <dc:subject/>
  <dc:title/>
</cp:coreProperties>
</file>