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431FF5" w14:textId="75AC1AC7" w:rsidR="00FB31E0" w:rsidRDefault="00FB31E0" w:rsidP="00FB31E0">
      <w:pPr>
        <w:ind w:firstLine="0"/>
        <w:rPr>
          <w:b/>
          <w:bCs/>
          <w:lang w:val="en-US"/>
        </w:rPr>
      </w:pPr>
      <w:bookmarkStart w:id="0" w:name="_Hlk205565701"/>
      <w:r>
        <w:rPr>
          <w:b/>
          <w:bCs/>
          <w:lang w:val="en-US"/>
        </w:rPr>
        <w:t>Critical Engagement: The Value of Transparency of AI in Healthcare – Reviewer Responses</w:t>
      </w:r>
    </w:p>
    <w:bookmarkEnd w:id="0"/>
    <w:p w14:paraId="33E47C66" w14:textId="5BA2746C" w:rsidR="00FB31E0" w:rsidRDefault="00BA0335" w:rsidP="00BA0335">
      <w:pPr>
        <w:ind w:firstLine="0"/>
      </w:pPr>
      <w:r>
        <w:t xml:space="preserve">We thank the reviewers for their time and comments. We have made some changes according to their suggestions to improve the paper. Below are some specific responses to their comments, questions, and suggestions. </w:t>
      </w:r>
    </w:p>
    <w:p w14:paraId="36E00D00" w14:textId="142D6147" w:rsidR="00BA0335" w:rsidRDefault="00BA0335" w:rsidP="00BA0335">
      <w:pPr>
        <w:ind w:firstLine="0"/>
        <w:rPr>
          <w:u w:val="single"/>
        </w:rPr>
      </w:pPr>
      <w:r>
        <w:rPr>
          <w:u w:val="single"/>
        </w:rPr>
        <w:t xml:space="preserve">Reviewer 1: </w:t>
      </w:r>
    </w:p>
    <w:tbl>
      <w:tblPr>
        <w:tblStyle w:val="TableGrid"/>
        <w:tblW w:w="0" w:type="auto"/>
        <w:tblLook w:val="04A0" w:firstRow="1" w:lastRow="0" w:firstColumn="1" w:lastColumn="0" w:noHBand="0" w:noVBand="1"/>
      </w:tblPr>
      <w:tblGrid>
        <w:gridCol w:w="4649"/>
        <w:gridCol w:w="4649"/>
        <w:gridCol w:w="4650"/>
      </w:tblGrid>
      <w:tr w:rsidR="00FB31E0" w14:paraId="368E79C9" w14:textId="77777777" w:rsidTr="00FB31E0">
        <w:tc>
          <w:tcPr>
            <w:tcW w:w="4649" w:type="dxa"/>
          </w:tcPr>
          <w:p w14:paraId="5F50AE39" w14:textId="07D1CB7F" w:rsidR="00FB31E0" w:rsidRPr="00BA0335" w:rsidRDefault="00BA0335">
            <w:pPr>
              <w:ind w:firstLine="0"/>
              <w:rPr>
                <w:b/>
                <w:bCs/>
              </w:rPr>
            </w:pPr>
            <w:r w:rsidRPr="00BA0335">
              <w:rPr>
                <w:b/>
                <w:bCs/>
              </w:rPr>
              <w:t>Comment</w:t>
            </w:r>
          </w:p>
        </w:tc>
        <w:tc>
          <w:tcPr>
            <w:tcW w:w="4649" w:type="dxa"/>
          </w:tcPr>
          <w:p w14:paraId="3538A377" w14:textId="1EFEF2FB" w:rsidR="00FB31E0" w:rsidRPr="00BA0335" w:rsidRDefault="00BA0335">
            <w:pPr>
              <w:ind w:firstLine="0"/>
              <w:rPr>
                <w:b/>
                <w:bCs/>
              </w:rPr>
            </w:pPr>
            <w:r w:rsidRPr="00BA0335">
              <w:rPr>
                <w:b/>
                <w:bCs/>
              </w:rPr>
              <w:t>Response</w:t>
            </w:r>
          </w:p>
        </w:tc>
        <w:tc>
          <w:tcPr>
            <w:tcW w:w="4650" w:type="dxa"/>
          </w:tcPr>
          <w:p w14:paraId="58E3CF24" w14:textId="1F8DEC96" w:rsidR="00FB31E0" w:rsidRPr="00BA0335" w:rsidRDefault="00BA0335">
            <w:pPr>
              <w:ind w:firstLine="0"/>
              <w:rPr>
                <w:b/>
                <w:bCs/>
              </w:rPr>
            </w:pPr>
            <w:r w:rsidRPr="00BA0335">
              <w:rPr>
                <w:b/>
                <w:bCs/>
              </w:rPr>
              <w:t>Change/s made (in red)</w:t>
            </w:r>
          </w:p>
        </w:tc>
      </w:tr>
      <w:tr w:rsidR="00FB31E0" w14:paraId="6D4D324C" w14:textId="77777777" w:rsidTr="00FB31E0">
        <w:tc>
          <w:tcPr>
            <w:tcW w:w="4649" w:type="dxa"/>
          </w:tcPr>
          <w:p w14:paraId="12E2E877" w14:textId="22B9E972" w:rsidR="00FB31E0" w:rsidRDefault="00BA0335">
            <w:pPr>
              <w:ind w:firstLine="0"/>
            </w:pPr>
            <w:r w:rsidRPr="00BA0335">
              <w:t>I appreciate the authors' efforts in revising the manuscript and addressing the feedback provided. The additional material and clarifications have improved the clarity, depth, and overall quality of the paper.</w:t>
            </w:r>
          </w:p>
        </w:tc>
        <w:tc>
          <w:tcPr>
            <w:tcW w:w="4649" w:type="dxa"/>
          </w:tcPr>
          <w:p w14:paraId="25FCEBE8" w14:textId="146B2432" w:rsidR="00FB31E0" w:rsidRDefault="00BA0335">
            <w:pPr>
              <w:ind w:firstLine="0"/>
            </w:pPr>
            <w:r>
              <w:t>We thank the reviewer for the kind response.</w:t>
            </w:r>
          </w:p>
        </w:tc>
        <w:tc>
          <w:tcPr>
            <w:tcW w:w="4650" w:type="dxa"/>
          </w:tcPr>
          <w:p w14:paraId="72F2F27A" w14:textId="6D9A0014" w:rsidR="00FB31E0" w:rsidRDefault="00BA0335">
            <w:pPr>
              <w:ind w:firstLine="0"/>
            </w:pPr>
            <w:r>
              <w:t>NA</w:t>
            </w:r>
          </w:p>
        </w:tc>
      </w:tr>
    </w:tbl>
    <w:p w14:paraId="0AD8A836" w14:textId="77777777" w:rsidR="00BA0335" w:rsidRDefault="00BA0335"/>
    <w:p w14:paraId="5B340B3D" w14:textId="2B35F02B" w:rsidR="00BA0335" w:rsidRDefault="00BA0335" w:rsidP="00BA0335">
      <w:pPr>
        <w:ind w:firstLine="0"/>
        <w:rPr>
          <w:u w:val="single"/>
        </w:rPr>
      </w:pPr>
      <w:r w:rsidRPr="00BA0335">
        <w:rPr>
          <w:u w:val="single"/>
        </w:rPr>
        <w:t xml:space="preserve">Reviewer 3: </w:t>
      </w:r>
    </w:p>
    <w:tbl>
      <w:tblPr>
        <w:tblStyle w:val="TableGrid"/>
        <w:tblW w:w="0" w:type="auto"/>
        <w:tblLook w:val="04A0" w:firstRow="1" w:lastRow="0" w:firstColumn="1" w:lastColumn="0" w:noHBand="0" w:noVBand="1"/>
      </w:tblPr>
      <w:tblGrid>
        <w:gridCol w:w="5918"/>
        <w:gridCol w:w="3575"/>
        <w:gridCol w:w="4455"/>
      </w:tblGrid>
      <w:tr w:rsidR="007E6DD8" w:rsidRPr="00BA0335" w14:paraId="094935CE" w14:textId="77777777" w:rsidTr="007E6DD8">
        <w:tc>
          <w:tcPr>
            <w:tcW w:w="5918" w:type="dxa"/>
          </w:tcPr>
          <w:p w14:paraId="5BFEB07A" w14:textId="77777777" w:rsidR="00BA0335" w:rsidRPr="00BA0335" w:rsidRDefault="00BA0335" w:rsidP="001706D1">
            <w:pPr>
              <w:ind w:firstLine="0"/>
              <w:rPr>
                <w:b/>
                <w:bCs/>
              </w:rPr>
            </w:pPr>
            <w:r w:rsidRPr="00BA0335">
              <w:rPr>
                <w:b/>
                <w:bCs/>
              </w:rPr>
              <w:t>Comment</w:t>
            </w:r>
          </w:p>
        </w:tc>
        <w:tc>
          <w:tcPr>
            <w:tcW w:w="3575" w:type="dxa"/>
          </w:tcPr>
          <w:p w14:paraId="54C51515" w14:textId="77777777" w:rsidR="00BA0335" w:rsidRPr="00BA0335" w:rsidRDefault="00BA0335" w:rsidP="001706D1">
            <w:pPr>
              <w:ind w:firstLine="0"/>
              <w:rPr>
                <w:b/>
                <w:bCs/>
              </w:rPr>
            </w:pPr>
            <w:r w:rsidRPr="00BA0335">
              <w:rPr>
                <w:b/>
                <w:bCs/>
              </w:rPr>
              <w:t>Response</w:t>
            </w:r>
          </w:p>
        </w:tc>
        <w:tc>
          <w:tcPr>
            <w:tcW w:w="4455" w:type="dxa"/>
          </w:tcPr>
          <w:p w14:paraId="27C69B86" w14:textId="77777777" w:rsidR="00BA0335" w:rsidRPr="00BA0335" w:rsidRDefault="00BA0335" w:rsidP="001706D1">
            <w:pPr>
              <w:ind w:firstLine="0"/>
              <w:rPr>
                <w:b/>
                <w:bCs/>
              </w:rPr>
            </w:pPr>
            <w:r w:rsidRPr="00BA0335">
              <w:rPr>
                <w:b/>
                <w:bCs/>
              </w:rPr>
              <w:t>Change/s made (in red)</w:t>
            </w:r>
          </w:p>
        </w:tc>
      </w:tr>
      <w:tr w:rsidR="007E6DD8" w:rsidRPr="00BA0335" w14:paraId="1322911C" w14:textId="77777777" w:rsidTr="007E6DD8">
        <w:tc>
          <w:tcPr>
            <w:tcW w:w="5918" w:type="dxa"/>
          </w:tcPr>
          <w:p w14:paraId="6D496445" w14:textId="02F719CD" w:rsidR="00BA0335" w:rsidRPr="00BA0335" w:rsidRDefault="006E2A4B" w:rsidP="001706D1">
            <w:pPr>
              <w:ind w:firstLine="0"/>
            </w:pPr>
            <w:r>
              <w:t xml:space="preserve">1. </w:t>
            </w:r>
            <w:r w:rsidR="00BA0335" w:rsidRPr="00BA0335">
              <w:t>Your definition of critical engagement seems to include an exchange of reasons that is not given for (transparent) AI systems (other than dialogue systems).</w:t>
            </w:r>
          </w:p>
        </w:tc>
        <w:tc>
          <w:tcPr>
            <w:tcW w:w="3575" w:type="dxa"/>
          </w:tcPr>
          <w:p w14:paraId="3398A9C5" w14:textId="64C5A93B" w:rsidR="00BA0335" w:rsidRPr="0000754E" w:rsidRDefault="0000754E" w:rsidP="001706D1">
            <w:pPr>
              <w:ind w:firstLine="0"/>
            </w:pPr>
            <w:r>
              <w:t xml:space="preserve">This is a useful distinction. There is a difference between a system that provides the reasons for why it came to some decision, vs a system which can engage in dialogue. We have refined our description of critical engagement so that it is compatible with the claim that </w:t>
            </w:r>
            <w:r>
              <w:rPr>
                <w:i/>
                <w:iCs/>
              </w:rPr>
              <w:t xml:space="preserve">both </w:t>
            </w:r>
            <w:r>
              <w:t xml:space="preserve">systems can be useful for critical engagement. </w:t>
            </w:r>
          </w:p>
        </w:tc>
        <w:tc>
          <w:tcPr>
            <w:tcW w:w="4455" w:type="dxa"/>
          </w:tcPr>
          <w:p w14:paraId="74C4E99C" w14:textId="77777777" w:rsidR="00BA0335" w:rsidRDefault="0000754E" w:rsidP="001706D1">
            <w:pPr>
              <w:ind w:firstLine="0"/>
              <w:rPr>
                <w:color w:val="EE0000"/>
              </w:rPr>
            </w:pPr>
            <w:r>
              <w:t xml:space="preserve">(pp. 5-6) </w:t>
            </w:r>
            <w:r w:rsidRPr="006B7894">
              <w:t xml:space="preserve">When we critically engage with each other on a topic, we may begin by stating our conclusions (or beliefs), and then supplying premises in </w:t>
            </w:r>
            <w:proofErr w:type="spellStart"/>
            <w:r w:rsidRPr="006B7894">
              <w:t>favor</w:t>
            </w:r>
            <w:proofErr w:type="spellEnd"/>
            <w:r w:rsidRPr="006B7894">
              <w:t xml:space="preserve"> of those conclusions. Subsequently, we may </w:t>
            </w:r>
            <w:proofErr w:type="spellStart"/>
            <w:r w:rsidRPr="006B7894">
              <w:t>analyze</w:t>
            </w:r>
            <w:proofErr w:type="spellEnd"/>
            <w:r w:rsidRPr="006B7894">
              <w:t xml:space="preserve"> the relationship between the premises and the conclusions, determining if the premises successfully support the conclusions, if the arguments need to be modified, or if our beliefs are strengthened or undermined by those arguments. </w:t>
            </w:r>
            <w:r w:rsidRPr="0000754E">
              <w:rPr>
                <w:color w:val="EE0000"/>
              </w:rPr>
              <w:t xml:space="preserve">In most cases, human beings can also engage in continued back-and-forth dialogue. Such dialogue can be very helpful, although not necessary for critical engagement </w:t>
            </w:r>
            <w:r w:rsidRPr="0000754E">
              <w:rPr>
                <w:color w:val="EE0000"/>
              </w:rPr>
              <w:lastRenderedPageBreak/>
              <w:t>(consider someone who writes a single letter to a friend to provide them with advice on a decision).</w:t>
            </w:r>
          </w:p>
          <w:p w14:paraId="3FE6DAEB" w14:textId="77777777" w:rsidR="0000754E" w:rsidRDefault="0000754E" w:rsidP="001706D1">
            <w:pPr>
              <w:ind w:firstLine="0"/>
              <w:rPr>
                <w:color w:val="EE0000"/>
              </w:rPr>
            </w:pPr>
          </w:p>
          <w:p w14:paraId="02B5CA67" w14:textId="7D36BE25" w:rsidR="0000754E" w:rsidRPr="0000754E" w:rsidRDefault="0000754E" w:rsidP="001706D1">
            <w:pPr>
              <w:ind w:firstLine="0"/>
              <w:rPr>
                <w:color w:val="000000" w:themeColor="text1"/>
              </w:rPr>
            </w:pPr>
            <w:r>
              <w:rPr>
                <w:color w:val="000000" w:themeColor="text1"/>
              </w:rPr>
              <w:t xml:space="preserve">… </w:t>
            </w:r>
            <w:r w:rsidRPr="006B7894">
              <w:t xml:space="preserve">Human agents can critically engage with transparent AI models in a way that’s </w:t>
            </w:r>
            <w:r w:rsidRPr="0000754E">
              <w:rPr>
                <w:i/>
                <w:iCs/>
                <w:color w:val="EE0000"/>
              </w:rPr>
              <w:t xml:space="preserve">partially </w:t>
            </w:r>
            <w:r w:rsidRPr="006B7894">
              <w:t xml:space="preserve">analogous to the way we critically engage with each other. A transparent AI model can give us information about how or why the model arrived at a decision. This information can give us reasons – which we might not otherwise have – to increase or decrease our confidence in our beliefs. Information about how a model arrived at its decision can therefore count as an epistemically relevant resource. </w:t>
            </w:r>
            <w:r w:rsidRPr="0000754E">
              <w:rPr>
                <w:color w:val="EE0000"/>
              </w:rPr>
              <w:t>To be clear, such a model alone is not perfectly analogous to a human interlocutor, as it cannot engage in further discussion and dialogue (it may be possible to supplement the model with an LLM which then engages in dialogue).</w:t>
            </w:r>
            <w:r>
              <w:rPr>
                <w:color w:val="EE0000"/>
              </w:rPr>
              <w:t xml:space="preserve"> </w:t>
            </w:r>
            <w:r w:rsidRPr="0000754E">
              <w:rPr>
                <w:color w:val="EE0000"/>
              </w:rPr>
              <w:t>Nevertheless, further dialogue is not strictly necessary for critical engagement to occur, and information about how the model arrived at its decision may be sufficient to help a practitioner arrive at better conclusions.</w:t>
            </w:r>
          </w:p>
        </w:tc>
      </w:tr>
      <w:tr w:rsidR="007E6DD8" w:rsidRPr="00BA0335" w14:paraId="1D12F47D" w14:textId="77777777" w:rsidTr="007E6DD8">
        <w:tc>
          <w:tcPr>
            <w:tcW w:w="5918" w:type="dxa"/>
          </w:tcPr>
          <w:p w14:paraId="5F441AEE" w14:textId="77777777" w:rsidR="006E2A4B" w:rsidRPr="006E2A4B" w:rsidRDefault="006E2A4B" w:rsidP="006E2A4B">
            <w:pPr>
              <w:ind w:firstLine="0"/>
            </w:pPr>
            <w:r w:rsidRPr="006E2A4B">
              <w:lastRenderedPageBreak/>
              <w:t>2. The novelty in your approach is not self-evident to me. Similar arguments (though in a different setting) have been made, especially by Kempt et al. (</w:t>
            </w:r>
            <w:hyperlink r:id="rId4" w:history="1">
              <w:r w:rsidRPr="006E2A4B">
                <w:rPr>
                  <w:rStyle w:val="Hyperlink"/>
                </w:rPr>
                <w:t>https://jme.bmj.com/content/medethics/48/4/222.full.pdf</w:t>
              </w:r>
            </w:hyperlink>
            <w:r w:rsidRPr="006E2A4B">
              <w:t xml:space="preserve"> on peer disagreement, </w:t>
            </w:r>
            <w:hyperlink r:id="rId5" w:anchor="Sec9" w:history="1">
              <w:r w:rsidRPr="006E2A4B">
                <w:rPr>
                  <w:rStyle w:val="Hyperlink"/>
                </w:rPr>
                <w:t>https://link.springer.com/article/10.1007/s00146-022-01418-x#Sec9</w:t>
              </w:r>
            </w:hyperlink>
            <w:r w:rsidRPr="006E2A4B">
              <w:t xml:space="preserve"> on meaningful disagreement). While the </w:t>
            </w:r>
            <w:r w:rsidRPr="006E2A4B">
              <w:lastRenderedPageBreak/>
              <w:t xml:space="preserve">arguments here are following the objective to find areas of use of AI in medicine, it should be considered and made clear in what way your arguments add to their points. </w:t>
            </w:r>
          </w:p>
          <w:p w14:paraId="694AFEE2" w14:textId="77777777" w:rsidR="006E2A4B" w:rsidRPr="00BA0335" w:rsidRDefault="006E2A4B" w:rsidP="001706D1">
            <w:pPr>
              <w:ind w:firstLine="0"/>
            </w:pPr>
          </w:p>
        </w:tc>
        <w:tc>
          <w:tcPr>
            <w:tcW w:w="3575" w:type="dxa"/>
          </w:tcPr>
          <w:p w14:paraId="2457D0FF" w14:textId="77777777" w:rsidR="006E2A4B" w:rsidRDefault="006E2A4B" w:rsidP="001706D1">
            <w:pPr>
              <w:ind w:firstLine="0"/>
            </w:pPr>
            <w:r>
              <w:lastRenderedPageBreak/>
              <w:t xml:space="preserve">Thanks for bringing these papers to our attention. The points raised in them are relevant and we’ve incorporated them into our paper. </w:t>
            </w:r>
          </w:p>
          <w:p w14:paraId="1ABCE5F7" w14:textId="77777777" w:rsidR="00DF4013" w:rsidRDefault="00DF4013" w:rsidP="001706D1">
            <w:pPr>
              <w:ind w:firstLine="0"/>
            </w:pPr>
          </w:p>
          <w:p w14:paraId="7E7630AC" w14:textId="77777777" w:rsidR="00DF4013" w:rsidRDefault="00DF4013" w:rsidP="001706D1">
            <w:pPr>
              <w:ind w:firstLine="0"/>
            </w:pPr>
            <w:r>
              <w:t xml:space="preserve">Here, we’d like to note a key difference between our paper and </w:t>
            </w:r>
            <w:r>
              <w:lastRenderedPageBreak/>
              <w:t xml:space="preserve">the ones by Kempt et. al. From what we are able to tell, the papers by Kempt et al do discuss human cooperation with AI-DSSs, and how to navigate disagreements between practitioners and AI-DSSs. This is a discussion on critical engagement with AI. </w:t>
            </w:r>
          </w:p>
          <w:p w14:paraId="15081942" w14:textId="77777777" w:rsidR="00DF4013" w:rsidRDefault="00DF4013" w:rsidP="001706D1">
            <w:pPr>
              <w:ind w:firstLine="0"/>
            </w:pPr>
          </w:p>
          <w:p w14:paraId="4CE087D6" w14:textId="4E13F601" w:rsidR="000B31A0" w:rsidRDefault="000B31A0" w:rsidP="001706D1">
            <w:pPr>
              <w:ind w:firstLine="0"/>
            </w:pPr>
            <w:r>
              <w:t xml:space="preserve">We believe that there may be some differences between Kempt et </w:t>
            </w:r>
            <w:proofErr w:type="spellStart"/>
            <w:r>
              <w:t>al’s</w:t>
            </w:r>
            <w:proofErr w:type="spellEnd"/>
            <w:r>
              <w:t xml:space="preserve"> concept of cooperation and disagreement, and our conception of critical engagement. For example, Kempt </w:t>
            </w:r>
            <w:proofErr w:type="gramStart"/>
            <w:r>
              <w:t>seem</w:t>
            </w:r>
            <w:proofErr w:type="gramEnd"/>
            <w:r>
              <w:t xml:space="preserve"> to hold that cooperation requires reasoning, and that explainability does not reach the threshold of reasoning. </w:t>
            </w:r>
            <w:r w:rsidR="00970901">
              <w:t>Critical engagement does not require that an AI can reason, only that the user can.</w:t>
            </w:r>
          </w:p>
          <w:p w14:paraId="059CC777" w14:textId="77777777" w:rsidR="000B31A0" w:rsidRDefault="000B31A0" w:rsidP="001706D1">
            <w:pPr>
              <w:ind w:firstLine="0"/>
            </w:pPr>
          </w:p>
          <w:p w14:paraId="7D2122BA" w14:textId="6ED17368" w:rsidR="00DF4013" w:rsidRDefault="000B31A0" w:rsidP="001706D1">
            <w:pPr>
              <w:ind w:firstLine="0"/>
            </w:pPr>
            <w:r>
              <w:t>However, what we take to be our main novel contribution is that o</w:t>
            </w:r>
            <w:r w:rsidR="00DF4013">
              <w:t>ur paper expands on a specific claim; that transparency is important for critical engagement. Kempt and Nagel do discuss this issue</w:t>
            </w:r>
            <w:r w:rsidR="0047620E">
              <w:t xml:space="preserve">, but we </w:t>
            </w:r>
            <w:r w:rsidR="00A17DC5">
              <w:t xml:space="preserve">focus on the issue and </w:t>
            </w:r>
            <w:r w:rsidR="00DF4013">
              <w:t xml:space="preserve">elaborate on how transparency aids critical engagement, and why other types of reason-giving AI (such as the “justifiable AI” in section III of our paper) cannot fulfil the same role.  </w:t>
            </w:r>
          </w:p>
        </w:tc>
        <w:tc>
          <w:tcPr>
            <w:tcW w:w="4455" w:type="dxa"/>
          </w:tcPr>
          <w:p w14:paraId="6CC3118B" w14:textId="71552023" w:rsidR="00A17DC5" w:rsidRDefault="00A17DC5" w:rsidP="00A17DC5">
            <w:pPr>
              <w:ind w:firstLine="0"/>
              <w:rPr>
                <w:color w:val="EE0000"/>
              </w:rPr>
            </w:pPr>
            <w:r>
              <w:lastRenderedPageBreak/>
              <w:t xml:space="preserve">(pp. 6-7): </w:t>
            </w:r>
            <w:r w:rsidRPr="00A17DC5">
              <w:rPr>
                <w:color w:val="EE0000"/>
              </w:rPr>
              <w:t xml:space="preserve">Similar points have been previously observed by Kempt and Nagel </w:t>
            </w:r>
            <w:r w:rsidRPr="00A17DC5">
              <w:rPr>
                <w:color w:val="EE0000"/>
              </w:rPr>
              <w:fldChar w:fldCharType="begin"/>
            </w:r>
            <w:r w:rsidRPr="00A17DC5">
              <w:rPr>
                <w:color w:val="EE0000"/>
              </w:rPr>
              <w:instrText xml:space="preserve"> ADDIN ZOTERO_ITEM CSL_CITATION {"citationID":"B18cpdpQ","properties":{"formattedCitation":"(2022)","plainCitation":"(2022)","noteIndex":0},"citationItems":[{"id":1988,"uris":["http://zotero.org/users/14846092/items/VCJHUZGG"],"itemData":{"id":1988,"type":"webpage","title":"Responsibility, second opinions and peer-disagreement: ethical and epistemological challenges of using AI in clinical diagnostic contexts | Journal of Medical Ethics","URL":"https://jme.bmj.com/content/48/4/222","author":[{"family":"Kempt","given":"Hendrik"},{"family":"Nagel","given":"Saskia K"}],"accessed":{"date-parts":[["2025",10,27]]},"issued":{"date-parts":[["2022"]]}},"suppress-author":true}],"schema":"https://github.com/citation-style-language/schema/raw/master/csl-citation.json"} </w:instrText>
            </w:r>
            <w:r w:rsidRPr="00A17DC5">
              <w:rPr>
                <w:color w:val="EE0000"/>
              </w:rPr>
              <w:fldChar w:fldCharType="separate"/>
            </w:r>
            <w:r w:rsidRPr="00A17DC5">
              <w:rPr>
                <w:color w:val="EE0000"/>
              </w:rPr>
              <w:t>(2022)</w:t>
            </w:r>
            <w:r w:rsidRPr="00A17DC5">
              <w:rPr>
                <w:color w:val="EE0000"/>
              </w:rPr>
              <w:fldChar w:fldCharType="end"/>
            </w:r>
            <w:r w:rsidRPr="00A17DC5">
              <w:rPr>
                <w:color w:val="EE0000"/>
              </w:rPr>
              <w:t xml:space="preserve"> and Kempt et. al. </w:t>
            </w:r>
            <w:r w:rsidRPr="00A17DC5">
              <w:rPr>
                <w:color w:val="EE0000"/>
              </w:rPr>
              <w:fldChar w:fldCharType="begin"/>
            </w:r>
            <w:r w:rsidRPr="00A17DC5">
              <w:rPr>
                <w:color w:val="EE0000"/>
              </w:rPr>
              <w:instrText xml:space="preserve"> ADDIN ZOTERO_ITEM CSL_CITATION {"citationID":"C9AiVo0p","properties":{"formattedCitation":"(2023)","plainCitation":"(2023)","noteIndex":0},"citationItems":[{"id":1985,"uris":["http://zotero.org/users/14846092/items/EY49DUXC"],"itemData":{"id":1985,"type":"article-journal","abstract":"This paper explores the role and resolution of disagreements between physicians and their diagnostic AI-based decision support systems (DSS). With an ever-growing number of applications for these independently operating diagnostic tools, it becomes less and less clear what a physician ought to do in case their diagnosis is in faultless conflict with the results of the DSS. The consequences of such uncertainty can ultimately lead to effects detrimental to the intended purpose of such machines, e.g. by shifting the burden of proof towards a physician. Thus, we require normative clarity for integrating these machines without affecting established, trusted, and relied upon workflows. In reconstructing different causes of conflicts between physicians and their AI-based tools—inspired by the approach of “meaningful human control” over autonomous systems and the challenges to resolve them—we will delineate normative conditions for “meaningful disagreements”. These incorporate the potential of DSS to take on more tasks and outline how the moral responsibility of a physician can be preserved in an increasingly automated clinical work environment.","container-title":"AI &amp; SOCIETY","DOI":"10.1007/s00146-022-01418-x","ISSN":"1435-5655","issue":"4","journalAbbreviation":"AI &amp; Soc","language":"en","page":"1407-1414","source":"Springer Link","title":"“I’m afraid I can’t let you do that, Doctor”: meaningful disagreements with AI in medical contexts","title-short":"“I’m afraid I can’t let you do that, Doctor”","volume":"38","author":[{"family":"Kempt","given":"Hendrik"},{"family":"Heilinger","given":"Jan-Christoph"},{"family":"Nagel","given":"Saskia K."}],"issued":{"date-parts":[["2023",8,1]]}},"suppress-author":true}],"schema":"https://github.com/citation-style-language/schema/raw/master/csl-citation.json"} </w:instrText>
            </w:r>
            <w:r w:rsidRPr="00A17DC5">
              <w:rPr>
                <w:color w:val="EE0000"/>
              </w:rPr>
              <w:fldChar w:fldCharType="separate"/>
            </w:r>
            <w:r w:rsidRPr="00A17DC5">
              <w:rPr>
                <w:color w:val="EE0000"/>
              </w:rPr>
              <w:t>(2023)</w:t>
            </w:r>
            <w:r w:rsidRPr="00A17DC5">
              <w:rPr>
                <w:color w:val="EE0000"/>
              </w:rPr>
              <w:fldChar w:fldCharType="end"/>
            </w:r>
            <w:r w:rsidRPr="00A17DC5">
              <w:rPr>
                <w:color w:val="EE0000"/>
              </w:rPr>
              <w:t xml:space="preserve">. Kempt and Nagel </w:t>
            </w:r>
            <w:r w:rsidRPr="00A17DC5">
              <w:rPr>
                <w:color w:val="EE0000"/>
              </w:rPr>
              <w:fldChar w:fldCharType="begin"/>
            </w:r>
            <w:r w:rsidRPr="00A17DC5">
              <w:rPr>
                <w:color w:val="EE0000"/>
              </w:rPr>
              <w:instrText xml:space="preserve"> ADDIN ZOTERO_ITEM CSL_CITATION {"citationID":"f3iRl5v1","properties":{"formattedCitation":"(2022)","plainCitation":"(2022)","noteIndex":0},"citationItems":[{"id":1988,"uris":["http://zotero.org/users/14846092/items/VCJHUZGG"],"itemData":{"id":1988,"type":"webpage","title":"Responsibility, second opinions and peer-disagreement: ethical and epistemological challenges of using AI in clinical diagnostic contexts | Journal of Medical Ethics","URL":"https://jme.bmj.com/content/48/4/222","author":[{"family":"Kempt","given":"Hendrik"},{"family":"Nagel","given":"Saskia K"}],"accessed":{"date-parts":[["2025",10,27]]},"issued":{"date-parts":[["2022"]]}},"suppress-author":true}],"schema":"https://github.com/citation-style-language/schema/raw/master/csl-citation.json"} </w:instrText>
            </w:r>
            <w:r w:rsidRPr="00A17DC5">
              <w:rPr>
                <w:color w:val="EE0000"/>
              </w:rPr>
              <w:fldChar w:fldCharType="separate"/>
            </w:r>
            <w:r w:rsidRPr="00A17DC5">
              <w:rPr>
                <w:color w:val="EE0000"/>
              </w:rPr>
              <w:t>(2022)</w:t>
            </w:r>
            <w:r w:rsidRPr="00A17DC5">
              <w:rPr>
                <w:color w:val="EE0000"/>
              </w:rPr>
              <w:fldChar w:fldCharType="end"/>
            </w:r>
            <w:r w:rsidRPr="00A17DC5">
              <w:rPr>
                <w:color w:val="EE0000"/>
              </w:rPr>
              <w:t xml:space="preserve"> point out that AI Decision Making Systems (DSSs) can partially play the role of someone providing a second opinion for practitioners, such that if a practitioner is challenged by an </w:t>
            </w:r>
            <w:r w:rsidRPr="00A17DC5">
              <w:rPr>
                <w:color w:val="EE0000"/>
              </w:rPr>
              <w:lastRenderedPageBreak/>
              <w:t>AI-DSS, the disagreement must be resolved by another practitioner. They further point out an interpretable AI system “allows for the interpretation of its inner workings </w:t>
            </w:r>
            <w:r w:rsidRPr="00A17DC5">
              <w:rPr>
                <w:i/>
                <w:iCs/>
                <w:color w:val="EE0000"/>
              </w:rPr>
              <w:t>as reasons</w:t>
            </w:r>
            <w:r w:rsidRPr="00A17DC5">
              <w:rPr>
                <w:color w:val="EE0000"/>
              </w:rPr>
              <w:t> for the physician-in-charge”</w:t>
            </w:r>
            <w:r w:rsidRPr="00A17DC5">
              <w:rPr>
                <w:color w:val="EE0000"/>
              </w:rPr>
              <w:fldChar w:fldCharType="begin"/>
            </w:r>
            <w:r w:rsidRPr="00A17DC5">
              <w:rPr>
                <w:color w:val="EE0000"/>
              </w:rPr>
              <w:instrText xml:space="preserve"> ADDIN ZOTERO_ITEM CSL_CITATION {"citationID":"4GUWges4","properties":{"formattedCitation":"(Kempt &amp; Nagel, 2022, p. 225)","plainCitation":"(Kempt &amp; Nagel, 2022, p. 225)","noteIndex":0},"citationItems":[{"id":1988,"uris":["http://zotero.org/users/14846092/items/VCJHUZGG"],"itemData":{"id":1988,"type":"webpage","title":"Responsibility, second opinions and peer-disagreement: ethical and epistemological challenges of using AI in clinical diagnostic contexts | Journal of Medical Ethics","URL":"https://jme.bmj.com/content/48/4/222","author":[{"family":"Kempt","given":"Hendrik"},{"family":"Nagel","given":"Saskia K"}],"accessed":{"date-parts":[["2025",10,27]]},"issued":{"date-parts":[["2022"]]}},"locator":"225","label":"page"}],"schema":"https://github.com/citation-style-language/schema/raw/master/csl-citation.json"} </w:instrText>
            </w:r>
            <w:r w:rsidRPr="00A17DC5">
              <w:rPr>
                <w:color w:val="EE0000"/>
              </w:rPr>
              <w:fldChar w:fldCharType="separate"/>
            </w:r>
            <w:r w:rsidRPr="00A17DC5">
              <w:rPr>
                <w:color w:val="EE0000"/>
              </w:rPr>
              <w:t>(Kempt &amp; Nagel, 2022, p. 225)</w:t>
            </w:r>
            <w:r w:rsidRPr="00A17DC5">
              <w:rPr>
                <w:color w:val="EE0000"/>
              </w:rPr>
              <w:fldChar w:fldCharType="end"/>
            </w:r>
            <w:r w:rsidRPr="00A17DC5">
              <w:rPr>
                <w:color w:val="EE0000"/>
              </w:rPr>
              <w:t xml:space="preserve">. Thus, interpretable models can give their users evidence about the correctness of their own opinions or reasoning. In contrast, non-explainable systems do not similarly provide users the tools to reason about the recommendations provided by the system. As a result, “a disagreement is not resolved but merely decided in favour of one side” </w:t>
            </w:r>
            <w:r w:rsidRPr="00A17DC5">
              <w:rPr>
                <w:color w:val="EE0000"/>
              </w:rPr>
              <w:fldChar w:fldCharType="begin"/>
            </w:r>
            <w:r w:rsidRPr="00A17DC5">
              <w:rPr>
                <w:color w:val="EE0000"/>
              </w:rPr>
              <w:instrText xml:space="preserve"> ADDIN ZOTERO_ITEM CSL_CITATION {"citationID":"S86VgLBA","properties":{"formattedCitation":"(Kempt &amp; Nagel, 2022)","plainCitation":"(Kempt &amp; Nagel, 2022)","noteIndex":0},"citationItems":[{"id":1988,"uris":["http://zotero.org/users/14846092/items/VCJHUZGG"],"itemData":{"id":1988,"type":"webpage","title":"Responsibility, second opinions and peer-disagreement: ethical and epistemological challenges of using AI in clinical diagnostic contexts | Journal of Medical Ethics","URL":"https://jme.bmj.com/content/48/4/222","author":[{"family":"Kempt","given":"Hendrik"},{"family":"Nagel","given":"Saskia K"}],"accessed":{"date-parts":[["2025",10,27]]},"issued":{"date-parts":[["2022"]]}}}],"schema":"https://github.com/citation-style-language/schema/raw/master/csl-citation.json"} </w:instrText>
            </w:r>
            <w:r w:rsidRPr="00A17DC5">
              <w:rPr>
                <w:color w:val="EE0000"/>
              </w:rPr>
              <w:fldChar w:fldCharType="separate"/>
            </w:r>
            <w:r w:rsidRPr="00A17DC5">
              <w:rPr>
                <w:color w:val="EE0000"/>
              </w:rPr>
              <w:t>(Kempt &amp; Nagel, 2022)</w:t>
            </w:r>
            <w:r w:rsidRPr="00A17DC5">
              <w:rPr>
                <w:color w:val="EE0000"/>
              </w:rPr>
              <w:fldChar w:fldCharType="end"/>
            </w:r>
            <w:r w:rsidRPr="00A17DC5">
              <w:rPr>
                <w:color w:val="EE0000"/>
              </w:rPr>
              <w:t xml:space="preserve">. In this section, we will </w:t>
            </w:r>
            <w:r w:rsidR="000B31A0">
              <w:rPr>
                <w:color w:val="EE0000"/>
              </w:rPr>
              <w:t>build</w:t>
            </w:r>
            <w:r w:rsidRPr="00A17DC5">
              <w:rPr>
                <w:color w:val="EE0000"/>
              </w:rPr>
              <w:t xml:space="preserve"> on these ideas by explaining in more detail how</w:t>
            </w:r>
            <w:r w:rsidRPr="00A17DC5">
              <w:rPr>
                <w:i/>
                <w:iCs/>
                <w:color w:val="EE0000"/>
              </w:rPr>
              <w:t xml:space="preserve"> </w:t>
            </w:r>
            <w:r w:rsidRPr="00A17DC5">
              <w:rPr>
                <w:color w:val="EE0000"/>
              </w:rPr>
              <w:t xml:space="preserve">transparent AI systems can give practitioners reasons to make decisions. And in the following section, we argue that transparent AI – not just any AI capable of providing reasons – provides distinctly valuable information for medical practitioners. </w:t>
            </w:r>
          </w:p>
          <w:p w14:paraId="67DDB55B" w14:textId="77777777" w:rsidR="00A17DC5" w:rsidRDefault="00A17DC5" w:rsidP="00A17DC5">
            <w:pPr>
              <w:ind w:firstLine="0"/>
              <w:rPr>
                <w:color w:val="EE0000"/>
              </w:rPr>
            </w:pPr>
          </w:p>
          <w:p w14:paraId="2AD03C5F" w14:textId="6750A06B" w:rsidR="00A17DC5" w:rsidRPr="00A35C89" w:rsidRDefault="00A17DC5" w:rsidP="00A17DC5">
            <w:pPr>
              <w:ind w:firstLine="0"/>
            </w:pPr>
          </w:p>
          <w:p w14:paraId="7B3E38B8" w14:textId="1284F869" w:rsidR="006E2A4B" w:rsidRDefault="006E2A4B" w:rsidP="001706D1">
            <w:pPr>
              <w:ind w:firstLine="0"/>
            </w:pPr>
          </w:p>
        </w:tc>
      </w:tr>
    </w:tbl>
    <w:p w14:paraId="403F6B28" w14:textId="77777777" w:rsidR="00BA0335" w:rsidRDefault="00BA0335" w:rsidP="00BA0335">
      <w:pPr>
        <w:ind w:firstLine="0"/>
        <w:rPr>
          <w:u w:val="single"/>
        </w:rPr>
      </w:pPr>
    </w:p>
    <w:p w14:paraId="242A169D" w14:textId="6DAE3FCD" w:rsidR="00A17DC5" w:rsidRDefault="00A17DC5" w:rsidP="00BA0335">
      <w:pPr>
        <w:ind w:firstLine="0"/>
        <w:rPr>
          <w:u w:val="single"/>
        </w:rPr>
      </w:pPr>
      <w:r w:rsidRPr="00A17DC5">
        <w:rPr>
          <w:u w:val="single"/>
        </w:rPr>
        <w:t>Reviewer 4:</w:t>
      </w:r>
    </w:p>
    <w:tbl>
      <w:tblPr>
        <w:tblStyle w:val="TableGrid"/>
        <w:tblW w:w="0" w:type="auto"/>
        <w:tblLook w:val="04A0" w:firstRow="1" w:lastRow="0" w:firstColumn="1" w:lastColumn="0" w:noHBand="0" w:noVBand="1"/>
      </w:tblPr>
      <w:tblGrid>
        <w:gridCol w:w="4649"/>
        <w:gridCol w:w="4649"/>
        <w:gridCol w:w="4650"/>
      </w:tblGrid>
      <w:tr w:rsidR="00A17DC5" w14:paraId="6B221349" w14:textId="77777777" w:rsidTr="00A17DC5">
        <w:tc>
          <w:tcPr>
            <w:tcW w:w="4649" w:type="dxa"/>
          </w:tcPr>
          <w:p w14:paraId="2E2C543E" w14:textId="4C48D8EE" w:rsidR="00A17DC5" w:rsidRDefault="00A17DC5" w:rsidP="00A17DC5">
            <w:pPr>
              <w:ind w:firstLine="0"/>
            </w:pPr>
            <w:r w:rsidRPr="00BA0335">
              <w:rPr>
                <w:b/>
                <w:bCs/>
              </w:rPr>
              <w:t>Comment</w:t>
            </w:r>
          </w:p>
        </w:tc>
        <w:tc>
          <w:tcPr>
            <w:tcW w:w="4649" w:type="dxa"/>
          </w:tcPr>
          <w:p w14:paraId="75A89FF8" w14:textId="21B6EFB7" w:rsidR="00A17DC5" w:rsidRDefault="00A17DC5" w:rsidP="00A17DC5">
            <w:pPr>
              <w:ind w:firstLine="0"/>
            </w:pPr>
            <w:r w:rsidRPr="00BA0335">
              <w:rPr>
                <w:b/>
                <w:bCs/>
              </w:rPr>
              <w:t>Response</w:t>
            </w:r>
          </w:p>
        </w:tc>
        <w:tc>
          <w:tcPr>
            <w:tcW w:w="4650" w:type="dxa"/>
          </w:tcPr>
          <w:p w14:paraId="610DD7F1" w14:textId="0216FD60" w:rsidR="00A17DC5" w:rsidRDefault="00A17DC5" w:rsidP="00A17DC5">
            <w:pPr>
              <w:ind w:firstLine="0"/>
            </w:pPr>
            <w:r w:rsidRPr="00BA0335">
              <w:rPr>
                <w:b/>
                <w:bCs/>
              </w:rPr>
              <w:t>Change/s made (in red)</w:t>
            </w:r>
          </w:p>
        </w:tc>
      </w:tr>
      <w:tr w:rsidR="00A17DC5" w14:paraId="57227AB2" w14:textId="77777777" w:rsidTr="00A17DC5">
        <w:tc>
          <w:tcPr>
            <w:tcW w:w="4649" w:type="dxa"/>
          </w:tcPr>
          <w:p w14:paraId="154AD673" w14:textId="730ED1AA" w:rsidR="00A17DC5" w:rsidRDefault="00A17DC5" w:rsidP="00A17DC5">
            <w:pPr>
              <w:ind w:firstLine="0"/>
            </w:pPr>
            <w:r w:rsidRPr="00A17DC5">
              <w:t>Page 3: '"Transparency" may be defined in contrast with…'</w:t>
            </w:r>
          </w:p>
        </w:tc>
        <w:tc>
          <w:tcPr>
            <w:tcW w:w="4649" w:type="dxa"/>
          </w:tcPr>
          <w:p w14:paraId="7311C839" w14:textId="01975BA7" w:rsidR="00A17DC5" w:rsidRDefault="00EE7DF7" w:rsidP="00A17DC5">
            <w:pPr>
              <w:ind w:firstLine="0"/>
            </w:pPr>
            <w:r>
              <w:t xml:space="preserve">The sentence has since been removed to accommodate the next set of changes below. </w:t>
            </w:r>
          </w:p>
        </w:tc>
        <w:tc>
          <w:tcPr>
            <w:tcW w:w="4650" w:type="dxa"/>
          </w:tcPr>
          <w:p w14:paraId="0C3B39BB" w14:textId="26A3CB52" w:rsidR="00A17DC5" w:rsidRDefault="00A17DC5" w:rsidP="00A17DC5">
            <w:pPr>
              <w:ind w:firstLine="0"/>
            </w:pPr>
          </w:p>
        </w:tc>
      </w:tr>
      <w:tr w:rsidR="00A17DC5" w14:paraId="3686A9F0" w14:textId="77777777" w:rsidTr="00A17DC5">
        <w:tc>
          <w:tcPr>
            <w:tcW w:w="4649" w:type="dxa"/>
          </w:tcPr>
          <w:p w14:paraId="024C4CA1" w14:textId="77777777" w:rsidR="00A17DC5" w:rsidRPr="00A17DC5" w:rsidRDefault="00A17DC5" w:rsidP="00A17DC5">
            <w:pPr>
              <w:ind w:firstLine="0"/>
            </w:pPr>
            <w:r w:rsidRPr="00A17DC5">
              <w:t>Pages 4-5: The authors present Alvarez's definition of opacity as a prelude to giving their own definition of transparency. It is not completely clear why a definition of opacity is given; why not simply argue for the preferred definition of transparency? My guess is that the authors want to use it as a foil against which to put forward their own definition. With this in mind, I suggest presenting the definition of transparency in the same style as that of opacity, to bring out both the contrast and the connection between the two. Perhaps something like the following:</w:t>
            </w:r>
          </w:p>
          <w:p w14:paraId="44247A14" w14:textId="77777777" w:rsidR="00A17DC5" w:rsidRPr="00A17DC5" w:rsidRDefault="00A17DC5" w:rsidP="00A17DC5">
            <w:pPr>
              <w:ind w:firstLine="0"/>
            </w:pPr>
            <w:r w:rsidRPr="00A17DC5">
              <w:t xml:space="preserve">Process P (a medical AI's decision-making) is transparent to an agent S (any medical practitioner) </w:t>
            </w:r>
            <w:proofErr w:type="spellStart"/>
            <w:r w:rsidRPr="00A17DC5">
              <w:t>iff</w:t>
            </w:r>
            <w:proofErr w:type="spellEnd"/>
            <w:r w:rsidRPr="00A17DC5">
              <w:t xml:space="preserve"> it is practical, in virtue of feature F (presumably interpretability or a high-fidelity secondary model) of the process P, which is irresponsive to the particular agential resources of S (though perhaps enhanced by the agential resources of medical professionals generally, e.g. a high degree of background medical knowledge), for S to know the epistemically relevant elements of the process This would also show that transparency is not just the negation of Alvarez's opacity, but something positive—it </w:t>
            </w:r>
            <w:r w:rsidRPr="00A17DC5">
              <w:lastRenderedPageBreak/>
              <w:t>is not enough for knowing the relevant elements to not be impossible, it needs to be practical—while also making explicit that, unlike Alvarez's definition, this is relative to a certain type of agent, a medical practitioner (I think I've understood this correctly - the idea is for AI to be transparent to medical practitioners; it need not be transparent to those without decent medical knowledge?).</w:t>
            </w:r>
          </w:p>
          <w:p w14:paraId="60C9EE9B" w14:textId="77777777" w:rsidR="00A17DC5" w:rsidRDefault="00A17DC5" w:rsidP="00A17DC5">
            <w:pPr>
              <w:ind w:firstLine="0"/>
            </w:pPr>
          </w:p>
        </w:tc>
        <w:tc>
          <w:tcPr>
            <w:tcW w:w="4649" w:type="dxa"/>
          </w:tcPr>
          <w:p w14:paraId="6355FC7D" w14:textId="77777777" w:rsidR="00A17DC5" w:rsidRDefault="00FE5CF8" w:rsidP="00A17DC5">
            <w:pPr>
              <w:ind w:firstLine="0"/>
            </w:pPr>
            <w:r>
              <w:lastRenderedPageBreak/>
              <w:t xml:space="preserve">From what we can tell, many of the precise, philosophical definitions on this topic are for “opacity”, like Burrell’s discussion on opacity and Alvarez’s. Some were suggested by another reviewer in a previous round of reviews. So we took this approach in order to engage more extensively with existing philosophical literature. </w:t>
            </w:r>
          </w:p>
          <w:p w14:paraId="27EB0FFF" w14:textId="77777777" w:rsidR="00C44F7C" w:rsidRDefault="00C44F7C" w:rsidP="00A17DC5">
            <w:pPr>
              <w:ind w:firstLine="0"/>
            </w:pPr>
          </w:p>
          <w:p w14:paraId="3DD39862" w14:textId="380F0A8F" w:rsidR="00C44F7C" w:rsidRDefault="00C44F7C" w:rsidP="00A17DC5">
            <w:pPr>
              <w:ind w:firstLine="0"/>
            </w:pPr>
            <w:r>
              <w:t xml:space="preserve">Nevertheless, we take the point that it’s clearer and more straightforward to begin with a definition of transparency. We’ve moved things around so that we now begin by defining transparency, before explaining the definition with a discussion on opacity. </w:t>
            </w:r>
            <w:r w:rsidR="00EE7DF7">
              <w:t xml:space="preserve">We have also adopted the formulation suggested by the reviewer, with thanks. </w:t>
            </w:r>
          </w:p>
        </w:tc>
        <w:tc>
          <w:tcPr>
            <w:tcW w:w="4650" w:type="dxa"/>
          </w:tcPr>
          <w:p w14:paraId="2A659E63" w14:textId="75A1BA55" w:rsidR="00C44F7C" w:rsidRPr="00C44F7C" w:rsidRDefault="00C44F7C" w:rsidP="00C44F7C">
            <w:pPr>
              <w:ind w:firstLine="0"/>
              <w:rPr>
                <w:color w:val="EE0000"/>
              </w:rPr>
            </w:pPr>
            <w:r>
              <w:t xml:space="preserve">(pp. 3-4): </w:t>
            </w:r>
            <w:r w:rsidRPr="00C44F7C">
              <w:rPr>
                <w:color w:val="EE0000"/>
              </w:rPr>
              <w:t>We define “transparency” the following way:</w:t>
            </w:r>
          </w:p>
          <w:p w14:paraId="1779F5AA" w14:textId="77777777" w:rsidR="00C44F7C" w:rsidRPr="00C44F7C" w:rsidRDefault="00C44F7C" w:rsidP="00C44F7C">
            <w:pPr>
              <w:ind w:left="720" w:firstLine="0"/>
              <w:rPr>
                <w:color w:val="EE0000"/>
              </w:rPr>
            </w:pPr>
            <w:r w:rsidRPr="00C44F7C">
              <w:rPr>
                <w:color w:val="EE0000"/>
              </w:rPr>
              <w:t xml:space="preserve">Process P (a medical AI's decision-making) is transparent to an agent S (any medical practitioner) </w:t>
            </w:r>
            <w:proofErr w:type="spellStart"/>
            <w:r w:rsidRPr="00C44F7C">
              <w:rPr>
                <w:color w:val="EE0000"/>
              </w:rPr>
              <w:t>iff</w:t>
            </w:r>
            <w:proofErr w:type="spellEnd"/>
            <w:r w:rsidRPr="00C44F7C">
              <w:rPr>
                <w:color w:val="EE0000"/>
              </w:rPr>
              <w:t xml:space="preserve"> it is practical, in virtue of feature F of the process P, for S (given their agential resources) to know the epistemically relevant elements of the process.</w:t>
            </w:r>
          </w:p>
          <w:p w14:paraId="3CD23760" w14:textId="3C77CCBE" w:rsidR="00C44F7C" w:rsidRPr="00C44F7C" w:rsidRDefault="00EE7DF7" w:rsidP="00C44F7C">
            <w:pPr>
              <w:ind w:firstLine="0"/>
              <w:rPr>
                <w:color w:val="EE0000"/>
              </w:rPr>
            </w:pPr>
            <w:r>
              <w:rPr>
                <w:color w:val="EE0000"/>
              </w:rPr>
              <w:t>Less formally</w:t>
            </w:r>
            <w:r w:rsidR="00C44F7C" w:rsidRPr="00C44F7C">
              <w:rPr>
                <w:color w:val="EE0000"/>
              </w:rPr>
              <w:t xml:space="preserve">, a transparent AI system as one where it is </w:t>
            </w:r>
            <w:r w:rsidR="00C44F7C" w:rsidRPr="00C44F7C">
              <w:rPr>
                <w:i/>
                <w:iCs/>
                <w:color w:val="EE0000"/>
              </w:rPr>
              <w:t xml:space="preserve">practical </w:t>
            </w:r>
            <w:r w:rsidR="00C44F7C" w:rsidRPr="00C44F7C">
              <w:rPr>
                <w:color w:val="EE0000"/>
              </w:rPr>
              <w:t>for medical practitioners (reasonable to access, given their likely resources and training) to know the epistemically relevant elements of the process.</w:t>
            </w:r>
          </w:p>
          <w:p w14:paraId="7989CCE7" w14:textId="030889A0" w:rsidR="00A17DC5" w:rsidRDefault="00C44F7C" w:rsidP="00C44F7C">
            <w:pPr>
              <w:ind w:firstLine="0"/>
            </w:pPr>
            <w:r w:rsidRPr="00C44F7C">
              <w:rPr>
                <w:color w:val="EE0000"/>
              </w:rPr>
              <w:t>Our definition of transparency is motivated by definitions of “opacity” in the philosophical literature.</w:t>
            </w:r>
            <w:r>
              <w:rPr>
                <w:color w:val="EE0000"/>
              </w:rPr>
              <w:t xml:space="preserve"> </w:t>
            </w:r>
            <w:r w:rsidR="00E63325" w:rsidRPr="006B7894">
              <w:t>A system can be “opaque” in a number of senses.</w:t>
            </w:r>
            <w:r w:rsidR="00E63325">
              <w:t xml:space="preserve"> . . </w:t>
            </w:r>
          </w:p>
        </w:tc>
      </w:tr>
      <w:tr w:rsidR="00A17DC5" w14:paraId="002B5383" w14:textId="77777777" w:rsidTr="00A17DC5">
        <w:tc>
          <w:tcPr>
            <w:tcW w:w="4649" w:type="dxa"/>
          </w:tcPr>
          <w:p w14:paraId="10C9489B" w14:textId="77777777" w:rsidR="00A17DC5" w:rsidRPr="00A17DC5" w:rsidRDefault="00A17DC5" w:rsidP="00A17DC5">
            <w:pPr>
              <w:ind w:firstLine="0"/>
            </w:pPr>
            <w:r w:rsidRPr="00A17DC5">
              <w:t>Page 4: 'As we shall argue in later, …'</w:t>
            </w:r>
          </w:p>
          <w:p w14:paraId="673224F1" w14:textId="77777777" w:rsidR="00A17DC5" w:rsidRDefault="00A17DC5" w:rsidP="00A17DC5">
            <w:pPr>
              <w:ind w:firstLine="0"/>
            </w:pPr>
          </w:p>
        </w:tc>
        <w:tc>
          <w:tcPr>
            <w:tcW w:w="4649" w:type="dxa"/>
          </w:tcPr>
          <w:p w14:paraId="09C019B4" w14:textId="0E3612F4" w:rsidR="00A17DC5" w:rsidRDefault="00A17DC5" w:rsidP="00A17DC5">
            <w:pPr>
              <w:ind w:firstLine="0"/>
            </w:pPr>
            <w:r>
              <w:t>Correction made</w:t>
            </w:r>
          </w:p>
        </w:tc>
        <w:tc>
          <w:tcPr>
            <w:tcW w:w="4650" w:type="dxa"/>
          </w:tcPr>
          <w:p w14:paraId="29A6D44D" w14:textId="52A09AC0" w:rsidR="00A17DC5" w:rsidRDefault="00A17DC5" w:rsidP="00A17DC5">
            <w:pPr>
              <w:ind w:firstLine="0"/>
            </w:pPr>
            <w:r w:rsidRPr="006B7894">
              <w:t>As we shall argue later</w:t>
            </w:r>
            <w:r>
              <w:t>, …</w:t>
            </w:r>
          </w:p>
        </w:tc>
      </w:tr>
      <w:tr w:rsidR="00A17DC5" w14:paraId="1A6BF1BC" w14:textId="77777777" w:rsidTr="00A17DC5">
        <w:tc>
          <w:tcPr>
            <w:tcW w:w="4649" w:type="dxa"/>
          </w:tcPr>
          <w:p w14:paraId="315888E9" w14:textId="77777777" w:rsidR="00FE0A76" w:rsidRPr="00FE0A76" w:rsidRDefault="00FE0A76" w:rsidP="00FE0A76">
            <w:pPr>
              <w:ind w:firstLine="0"/>
            </w:pPr>
            <w:r w:rsidRPr="00FE0A76">
              <w:t>Page 5: The authors suggest that only high-fidelity secondary models make the primary model transparent. But there may be a trade-off here: the greater its fidelity, the more complex its explanations become, which will make it harder to understand. Opening the black box does not help much if what is inside is unintelligible to us. So, there may be a tension between accuracy and simplicity - where reducing either will reduce transparency in some sense. This is partially addressed in the objections (p. 11-12), but it would be good to see the problem given a little more attention. For instance, might there be some value in low-fidelity models after all, at least in situations in which a high-fidelity model is proving difficult to understand?</w:t>
            </w:r>
          </w:p>
          <w:p w14:paraId="192F6B49" w14:textId="77777777" w:rsidR="00A17DC5" w:rsidRDefault="00A17DC5" w:rsidP="00A17DC5">
            <w:pPr>
              <w:ind w:firstLine="0"/>
            </w:pPr>
          </w:p>
        </w:tc>
        <w:tc>
          <w:tcPr>
            <w:tcW w:w="4649" w:type="dxa"/>
          </w:tcPr>
          <w:p w14:paraId="6838ABE6" w14:textId="77777777" w:rsidR="00A17DC5" w:rsidRDefault="001668B2" w:rsidP="00A17DC5">
            <w:pPr>
              <w:ind w:firstLine="0"/>
            </w:pPr>
            <w:r>
              <w:t xml:space="preserve">We agree that in many practical situations, there may well be a trade-off between accuracy and simplicity of explainable models. As the reviewer says, in the end it may be necessary to make trade-offs, accepting a lower-fidelity model (or even an opaque one), in order to achieve our other aims like understanding and usefulness. </w:t>
            </w:r>
          </w:p>
          <w:p w14:paraId="46E940FC" w14:textId="77777777" w:rsidR="001668B2" w:rsidRDefault="001668B2" w:rsidP="00A17DC5">
            <w:pPr>
              <w:ind w:firstLine="0"/>
            </w:pPr>
          </w:p>
          <w:p w14:paraId="4B3386D1" w14:textId="5073A2A1" w:rsidR="001668B2" w:rsidRDefault="001668B2" w:rsidP="00A17DC5">
            <w:pPr>
              <w:ind w:firstLine="0"/>
            </w:pPr>
            <w:r>
              <w:t xml:space="preserve">We have integrated some of these comments into the paper. </w:t>
            </w:r>
          </w:p>
        </w:tc>
        <w:tc>
          <w:tcPr>
            <w:tcW w:w="4650" w:type="dxa"/>
          </w:tcPr>
          <w:p w14:paraId="4F26B4DA" w14:textId="23B182A2" w:rsidR="001668B2" w:rsidRPr="006B7894" w:rsidRDefault="001668B2" w:rsidP="001668B2">
            <w:pPr>
              <w:ind w:firstLine="0"/>
            </w:pPr>
            <w:r>
              <w:t xml:space="preserve">(p. 5-6): </w:t>
            </w:r>
            <w:r w:rsidR="00F06638" w:rsidRPr="00F06638">
              <w:rPr>
                <w:color w:val="EE0000"/>
              </w:rPr>
              <w:t xml:space="preserve">In contrast, low-fidelity models are less accurate or precise. While they may still provide users with some useful information about how the primary model works, the arguments we present in this paper may not apply as well to them. </w:t>
            </w:r>
            <w:r w:rsidR="009529D3">
              <w:rPr>
                <w:color w:val="EE0000"/>
              </w:rPr>
              <w:t>F</w:t>
            </w:r>
            <w:r w:rsidRPr="006B7894">
              <w:t xml:space="preserve">or our purposes “transparent AI” refers to any interpretable AI model, or any primary model paired with a high-fidelity secondary model. </w:t>
            </w:r>
          </w:p>
          <w:p w14:paraId="6C8DC16F" w14:textId="77777777" w:rsidR="00A17DC5" w:rsidRDefault="00A17DC5" w:rsidP="00A17DC5">
            <w:pPr>
              <w:ind w:firstLine="0"/>
            </w:pPr>
          </w:p>
          <w:p w14:paraId="334F21E1" w14:textId="6CF7842D" w:rsidR="001668B2" w:rsidRPr="006B7894" w:rsidRDefault="001668B2" w:rsidP="001668B2">
            <w:pPr>
              <w:ind w:firstLine="0"/>
            </w:pPr>
            <w:r>
              <w:t xml:space="preserve">… </w:t>
            </w:r>
            <w:r w:rsidRPr="001668B2">
              <w:rPr>
                <w:color w:val="EE0000"/>
              </w:rPr>
              <w:t xml:space="preserve">Another possibility is that </w:t>
            </w:r>
            <w:r w:rsidR="000506EA">
              <w:rPr>
                <w:color w:val="EE0000"/>
              </w:rPr>
              <w:t>interpretable/</w:t>
            </w:r>
            <w:r w:rsidRPr="001668B2">
              <w:rPr>
                <w:color w:val="EE0000"/>
              </w:rPr>
              <w:t xml:space="preserve">explainable high-fidelity models will simply be so complicated that any explanation will be beyond human comprehension. </w:t>
            </w:r>
            <w:r w:rsidRPr="006B7894">
              <w:t xml:space="preserve">As a result, it may be that transparency is impossible for black-box models which are worth using. </w:t>
            </w:r>
            <w:r w:rsidRPr="001668B2">
              <w:rPr>
                <w:color w:val="EE0000"/>
              </w:rPr>
              <w:t xml:space="preserve">In such a case, a trade-off must be made between the value of transparency and the other goals held by medical institutions and professionals. All things considered, there may be reasons to prefer </w:t>
            </w:r>
            <w:r w:rsidRPr="001668B2">
              <w:rPr>
                <w:color w:val="EE0000"/>
              </w:rPr>
              <w:lastRenderedPageBreak/>
              <w:t xml:space="preserve">opaque or lower-fidelity models in some cases. Nevertheless, given the constant rate of technical progress and change, the feasibility of explainable and high-fidelity models may well change. </w:t>
            </w:r>
            <w:r>
              <w:t>W</w:t>
            </w:r>
            <w:r w:rsidRPr="006B7894">
              <w:t xml:space="preserve">e will remain neutral on this issue for the purposes of this paper. </w:t>
            </w:r>
          </w:p>
          <w:p w14:paraId="12C7EA15" w14:textId="7DD37087" w:rsidR="001668B2" w:rsidRDefault="001668B2" w:rsidP="00A17DC5">
            <w:pPr>
              <w:ind w:firstLine="0"/>
            </w:pPr>
          </w:p>
        </w:tc>
      </w:tr>
      <w:tr w:rsidR="00A17DC5" w14:paraId="62281E2D" w14:textId="77777777" w:rsidTr="00A17DC5">
        <w:tc>
          <w:tcPr>
            <w:tcW w:w="4649" w:type="dxa"/>
          </w:tcPr>
          <w:p w14:paraId="2C48BC01" w14:textId="77777777" w:rsidR="00981D8C" w:rsidRPr="00981D8C" w:rsidRDefault="00981D8C" w:rsidP="00981D8C">
            <w:pPr>
              <w:ind w:firstLine="0"/>
            </w:pPr>
            <w:r w:rsidRPr="00981D8C">
              <w:lastRenderedPageBreak/>
              <w:t>Pages 5-6: '… forming conclusions and presenting premises in favour of those arguments.' Do the authors mean 'conclusions' rather than 'arguments' at the end of the sentence? That would seem to fit better with the next sentence, too.</w:t>
            </w:r>
          </w:p>
          <w:p w14:paraId="3A25856D" w14:textId="77777777" w:rsidR="00A17DC5" w:rsidRDefault="00A17DC5" w:rsidP="00A17DC5">
            <w:pPr>
              <w:ind w:firstLine="0"/>
            </w:pPr>
          </w:p>
        </w:tc>
        <w:tc>
          <w:tcPr>
            <w:tcW w:w="4649" w:type="dxa"/>
          </w:tcPr>
          <w:p w14:paraId="4C7C6F0E" w14:textId="017E83CF" w:rsidR="00A17DC5" w:rsidRDefault="00981D8C" w:rsidP="00A17DC5">
            <w:pPr>
              <w:ind w:firstLine="0"/>
            </w:pPr>
            <w:r>
              <w:t xml:space="preserve">The sentence has been changed substantially, in light of the comments. </w:t>
            </w:r>
          </w:p>
        </w:tc>
        <w:tc>
          <w:tcPr>
            <w:tcW w:w="4650" w:type="dxa"/>
          </w:tcPr>
          <w:p w14:paraId="5CBD385D" w14:textId="6DED77F0" w:rsidR="00A17DC5" w:rsidRPr="00981D8C" w:rsidRDefault="00981D8C" w:rsidP="00A17DC5">
            <w:pPr>
              <w:ind w:firstLine="0"/>
              <w:rPr>
                <w:color w:val="EE0000"/>
              </w:rPr>
            </w:pPr>
            <w:r w:rsidRPr="00981D8C">
              <w:rPr>
                <w:color w:val="EE0000"/>
              </w:rPr>
              <w:t xml:space="preserve">Subsequently, we may </w:t>
            </w:r>
            <w:proofErr w:type="spellStart"/>
            <w:r w:rsidRPr="00981D8C">
              <w:rPr>
                <w:color w:val="EE0000"/>
              </w:rPr>
              <w:t>analyze</w:t>
            </w:r>
            <w:proofErr w:type="spellEnd"/>
            <w:r w:rsidRPr="00981D8C">
              <w:rPr>
                <w:color w:val="EE0000"/>
              </w:rPr>
              <w:t xml:space="preserve"> the relationship between the premises and the conclusions, determining if the premises successfully support the conclusions, if arguments need to be modified, or if our beliefs are strengthened or undermined by those arguments.</w:t>
            </w:r>
          </w:p>
        </w:tc>
      </w:tr>
      <w:tr w:rsidR="00324331" w14:paraId="432EEC10" w14:textId="77777777" w:rsidTr="00A17DC5">
        <w:tc>
          <w:tcPr>
            <w:tcW w:w="4649" w:type="dxa"/>
          </w:tcPr>
          <w:p w14:paraId="41114AEA" w14:textId="117C833A" w:rsidR="00324331" w:rsidRPr="00981D8C" w:rsidRDefault="00324331" w:rsidP="00981D8C">
            <w:pPr>
              <w:ind w:firstLine="0"/>
            </w:pPr>
            <w:r w:rsidRPr="00324331">
              <w:t>Pages 6-7: In the discussion of critical engagement with AI, it may be worth highlighting the disanalogies with the case of critically engaging with humans, to show that AI is not being anthropomorphised. For instance, it could be pointed out that, with AI, the critical engagement is strictly one way; unlike a human interlocutor, the transparent AI is not going to revise its opinions in light of the exchange. (This may be technically possible—an AI might learn from each of its interactions with a medical practitioner—but I don't think that is relevant to the point here.)</w:t>
            </w:r>
          </w:p>
        </w:tc>
        <w:tc>
          <w:tcPr>
            <w:tcW w:w="4649" w:type="dxa"/>
          </w:tcPr>
          <w:p w14:paraId="4F73C4C1" w14:textId="4720DD0E" w:rsidR="00324331" w:rsidRDefault="00324331" w:rsidP="00A17DC5">
            <w:pPr>
              <w:ind w:firstLine="0"/>
            </w:pPr>
            <w:r>
              <w:t xml:space="preserve">This is a helpful suggestion, and we have integrated it into the paper. </w:t>
            </w:r>
          </w:p>
        </w:tc>
        <w:tc>
          <w:tcPr>
            <w:tcW w:w="4650" w:type="dxa"/>
          </w:tcPr>
          <w:p w14:paraId="6165A973" w14:textId="6F63BBB6" w:rsidR="00324331" w:rsidRPr="00324331" w:rsidRDefault="00324331" w:rsidP="00324331">
            <w:pPr>
              <w:ind w:firstLine="0"/>
              <w:rPr>
                <w:color w:val="EE0000"/>
              </w:rPr>
            </w:pPr>
            <w:r>
              <w:t xml:space="preserve">(p. 6): </w:t>
            </w:r>
            <w:r w:rsidRPr="006B7894">
              <w:t xml:space="preserve">Human agents can critically engage with transparent AI models in a way that’s </w:t>
            </w:r>
            <w:r w:rsidRPr="00324331">
              <w:rPr>
                <w:i/>
                <w:iCs/>
                <w:color w:val="EE0000"/>
              </w:rPr>
              <w:t>partially</w:t>
            </w:r>
            <w:r w:rsidRPr="006B7894">
              <w:rPr>
                <w:i/>
                <w:iCs/>
              </w:rPr>
              <w:t xml:space="preserve"> </w:t>
            </w:r>
            <w:r w:rsidRPr="006B7894">
              <w:t xml:space="preserve">analogous to the way we critically engage with each other. A transparent AI model can give us information about how or why the model arrived at a decision. This information can give us reasons – which we might not otherwise have – to increase or decrease our confidence in our beliefs. Information about how a model arrived at its decision can therefore count as an epistemically relevant resource. </w:t>
            </w:r>
            <w:r w:rsidRPr="00324331">
              <w:rPr>
                <w:color w:val="EE0000"/>
              </w:rPr>
              <w:t xml:space="preserve">To be clear, such a model alone is not perfectly analogous to a human interlocutor, as it cannot engage in further discussion and dialogue (it may be possible to supplement the model with an LLM which then engages in dialogue). Such a model will also be unable to revise its own opinions in light of some discussion. Nevertheless, further dialogue is not strictly necessary for critical </w:t>
            </w:r>
            <w:r w:rsidRPr="00324331">
              <w:rPr>
                <w:color w:val="EE0000"/>
              </w:rPr>
              <w:lastRenderedPageBreak/>
              <w:t xml:space="preserve">engagement to occur, and information about how the model arrived at its decision may be sufficient to help a practitioner arrive at better conclusions. </w:t>
            </w:r>
          </w:p>
          <w:p w14:paraId="27500079" w14:textId="77777777" w:rsidR="00324331" w:rsidRPr="00981D8C" w:rsidRDefault="00324331" w:rsidP="00A17DC5">
            <w:pPr>
              <w:ind w:firstLine="0"/>
              <w:rPr>
                <w:color w:val="EE0000"/>
              </w:rPr>
            </w:pPr>
          </w:p>
        </w:tc>
      </w:tr>
      <w:tr w:rsidR="00324331" w14:paraId="2A1C9EA5" w14:textId="77777777" w:rsidTr="00A17DC5">
        <w:tc>
          <w:tcPr>
            <w:tcW w:w="4649" w:type="dxa"/>
          </w:tcPr>
          <w:p w14:paraId="53D86262" w14:textId="77777777" w:rsidR="00324331" w:rsidRPr="00324331" w:rsidRDefault="00324331" w:rsidP="00324331">
            <w:pPr>
              <w:ind w:firstLine="0"/>
            </w:pPr>
            <w:r w:rsidRPr="00324331">
              <w:lastRenderedPageBreak/>
              <w:t>Pages 7-8: The authors point out a troubling dilemma that results from AI that is opaque and so cannot be critically engaged with: where they disagree with the AI but know that it is usually accurate, a medical practitioner will either have to choose what they can reasonably expect to be the worse option, or act against their own judgment and thus sacrifice their integrity (and, for that matter, much of the purpose of their involvement). A further issue the authors may want to consider is that lack of critical engagement significantly contributes to the problem of responsibility gaps. If the practitioner defers to the unopened black box AI, it is not clear who bears responsibility for the result - and the practitioner cannot even give a full account of their decision. However, if the decision is reached as a result of critical engagement with a transparent AI, then it is clearer that responsibility lies with the practitioner just as much as if they had made the decision without AI. They discussed rather than deferred, so would still be able to give an account of their actions.</w:t>
            </w:r>
          </w:p>
          <w:p w14:paraId="30D42807" w14:textId="77777777" w:rsidR="00324331" w:rsidRPr="00324331" w:rsidRDefault="00324331" w:rsidP="00981D8C">
            <w:pPr>
              <w:ind w:firstLine="0"/>
            </w:pPr>
          </w:p>
        </w:tc>
        <w:tc>
          <w:tcPr>
            <w:tcW w:w="4649" w:type="dxa"/>
          </w:tcPr>
          <w:p w14:paraId="561066F7" w14:textId="71FD9E5B" w:rsidR="00324331" w:rsidRDefault="006F7B29" w:rsidP="00A17DC5">
            <w:pPr>
              <w:ind w:firstLine="0"/>
            </w:pPr>
            <w:r>
              <w:t xml:space="preserve">Thanks for the helpful suggestion, which we have now included in the paper. </w:t>
            </w:r>
          </w:p>
        </w:tc>
        <w:tc>
          <w:tcPr>
            <w:tcW w:w="4650" w:type="dxa"/>
          </w:tcPr>
          <w:p w14:paraId="4E4AE413" w14:textId="429F9F1A" w:rsidR="00324331" w:rsidRDefault="006F7B29" w:rsidP="00324331">
            <w:pPr>
              <w:ind w:firstLine="0"/>
            </w:pPr>
            <w:r>
              <w:t xml:space="preserve">(p. 9): </w:t>
            </w:r>
            <w:r w:rsidR="000B31A0" w:rsidRPr="000B31A0">
              <w:rPr>
                <w:color w:val="EE0000"/>
              </w:rPr>
              <w:t xml:space="preserve">Compounding the doctor’s dilemma is the issue of responsibility or accountability </w:t>
            </w:r>
            <w:r w:rsidR="000B31A0" w:rsidRPr="000B31A0">
              <w:rPr>
                <w:color w:val="EE0000"/>
              </w:rPr>
              <w:fldChar w:fldCharType="begin"/>
            </w:r>
            <w:r w:rsidR="000B31A0" w:rsidRPr="000B31A0">
              <w:rPr>
                <w:color w:val="EE0000"/>
              </w:rPr>
              <w:instrText xml:space="preserve"> ADDIN ZOTERO_ITEM CSL_CITATION {"citationID":"ue0sgkhI","properties":{"formattedCitation":"(Kempt &amp; Nagel, 2022)","plainCitation":"(Kempt &amp; Nagel, 2022)","noteIndex":0},"citationItems":[{"id":1988,"uris":["http://zotero.org/users/14846092/items/VCJHUZGG"],"itemData":{"id":1988,"type":"webpage","title":"Responsibility, second opinions and peer-disagreement: ethical and epistemological challenges of using AI in clinical diagnostic contexts | Journal of Medical Ethics","URL":"https://jme.bmj.com/content/48/4/222","author":[{"family":"Kempt","given":"Hendrik"},{"family":"Nagel","given":"Saskia K"}],"accessed":{"date-parts":[["2025",10,27]]},"issued":{"date-parts":[["2022"]]}}}],"schema":"https://github.com/citation-style-language/schema/raw/master/csl-citation.json"} </w:instrText>
            </w:r>
            <w:r w:rsidR="000B31A0" w:rsidRPr="000B31A0">
              <w:rPr>
                <w:color w:val="EE0000"/>
              </w:rPr>
              <w:fldChar w:fldCharType="separate"/>
            </w:r>
            <w:r w:rsidR="000B31A0" w:rsidRPr="000B31A0">
              <w:rPr>
                <w:color w:val="EE0000"/>
              </w:rPr>
              <w:t>(Kempt &amp; Nagel, 2022)</w:t>
            </w:r>
            <w:r w:rsidR="000B31A0" w:rsidRPr="000B31A0">
              <w:rPr>
                <w:color w:val="EE0000"/>
              </w:rPr>
              <w:fldChar w:fldCharType="end"/>
            </w:r>
            <w:r w:rsidR="000B31A0" w:rsidRPr="000B31A0">
              <w:rPr>
                <w:color w:val="EE0000"/>
              </w:rPr>
              <w:t xml:space="preserve">. Part of accounting for a decision is providing a justification or explanation for it. If a doctor defers to the recommendation of a black-box AI model, there is a sense in which they cannot provide a full account of their final decisions. The statement, “I made this decision because the accurate AI model said I should” clearly misses something epistemically relevant to the aim of </w:t>
            </w:r>
            <w:r w:rsidR="000B31A0" w:rsidRPr="000B31A0">
              <w:rPr>
                <w:i/>
                <w:iCs/>
                <w:color w:val="EE0000"/>
              </w:rPr>
              <w:t xml:space="preserve">understanding </w:t>
            </w:r>
            <w:r w:rsidR="000B31A0" w:rsidRPr="000B31A0">
              <w:rPr>
                <w:color w:val="EE0000"/>
              </w:rPr>
              <w:t xml:space="preserve">why a decision is better than the alternatives. As a result, having access to a transparent AI may allow a doctor to account for their decisions better or more fully. To be clear, it is possible that referring to the recommendation of a black-box AI – “the AI model said so” – may sometimes constitute an </w:t>
            </w:r>
            <w:r w:rsidR="000B31A0" w:rsidRPr="000B31A0">
              <w:rPr>
                <w:i/>
                <w:iCs/>
                <w:color w:val="EE0000"/>
              </w:rPr>
              <w:t xml:space="preserve">adequate </w:t>
            </w:r>
            <w:r w:rsidR="000B31A0" w:rsidRPr="000B31A0">
              <w:rPr>
                <w:color w:val="EE0000"/>
              </w:rPr>
              <w:t xml:space="preserve">account of a decision. Whether fuller and more satisfying explanations are needed for accountability is beyond the scope of this paper. </w:t>
            </w:r>
          </w:p>
        </w:tc>
      </w:tr>
      <w:tr w:rsidR="00552CC5" w14:paraId="33A6ED09" w14:textId="77777777" w:rsidTr="00A17DC5">
        <w:tc>
          <w:tcPr>
            <w:tcW w:w="4649" w:type="dxa"/>
          </w:tcPr>
          <w:p w14:paraId="7CCBE5E4" w14:textId="77777777" w:rsidR="00552CC5" w:rsidRPr="00552CC5" w:rsidRDefault="00552CC5" w:rsidP="00552CC5">
            <w:pPr>
              <w:ind w:firstLine="0"/>
            </w:pPr>
            <w:r w:rsidRPr="00552CC5">
              <w:t xml:space="preserve">Page 9: The authors point out that experienced doctors may have accurate 'gut feelings' about certain cases, which is described as an instance </w:t>
            </w:r>
            <w:r w:rsidRPr="00552CC5">
              <w:lastRenderedPageBreak/>
              <w:t xml:space="preserve">of practical wisdom. This is not essential, but it may be worth giving a bit of background on the mechanism at work here. See </w:t>
            </w:r>
            <w:proofErr w:type="spellStart"/>
            <w:r w:rsidRPr="00552CC5">
              <w:t>Kahnemann</w:t>
            </w:r>
            <w:proofErr w:type="spellEnd"/>
            <w:r w:rsidRPr="00552CC5">
              <w:t xml:space="preserve"> &amp; Klein's (2009) 'Conditions for intuitive expertise: A failure to disagree'.</w:t>
            </w:r>
          </w:p>
          <w:p w14:paraId="507B8BDB" w14:textId="77777777" w:rsidR="00552CC5" w:rsidRPr="00324331" w:rsidRDefault="00552CC5" w:rsidP="00324331">
            <w:pPr>
              <w:ind w:firstLine="0"/>
            </w:pPr>
          </w:p>
        </w:tc>
        <w:tc>
          <w:tcPr>
            <w:tcW w:w="4649" w:type="dxa"/>
          </w:tcPr>
          <w:p w14:paraId="2EB14047" w14:textId="308BBEFF" w:rsidR="00552CC5" w:rsidRDefault="00B01295" w:rsidP="00A17DC5">
            <w:pPr>
              <w:ind w:firstLine="0"/>
            </w:pPr>
            <w:r>
              <w:lastRenderedPageBreak/>
              <w:t xml:space="preserve">This is an interesting issue. That said, we have elected to mention this point in a footnote in </w:t>
            </w:r>
            <w:r>
              <w:lastRenderedPageBreak/>
              <w:t xml:space="preserve">favour of keeping the total length of the paper shorter. </w:t>
            </w:r>
          </w:p>
        </w:tc>
        <w:tc>
          <w:tcPr>
            <w:tcW w:w="4650" w:type="dxa"/>
          </w:tcPr>
          <w:p w14:paraId="60FBB6F6" w14:textId="65451498" w:rsidR="00552CC5" w:rsidRDefault="00B01295" w:rsidP="006F7B29">
            <w:pPr>
              <w:ind w:firstLine="0"/>
            </w:pPr>
            <w:r>
              <w:lastRenderedPageBreak/>
              <w:t xml:space="preserve">(footnote 5): </w:t>
            </w:r>
            <w:r w:rsidRPr="00B01295">
              <w:rPr>
                <w:color w:val="EE0000"/>
              </w:rPr>
              <w:t xml:space="preserve">There are a number of different theories about how expert intuitions, like the ones held by experienced medical professionals, </w:t>
            </w:r>
            <w:r w:rsidRPr="00B01295">
              <w:rPr>
                <w:color w:val="EE0000"/>
              </w:rPr>
              <w:lastRenderedPageBreak/>
              <w:t xml:space="preserve">work. One possibility is that expert intuitions are a form of pattern recognition. At the same time, some scholars are </w:t>
            </w:r>
            <w:proofErr w:type="spellStart"/>
            <w:r w:rsidRPr="00B01295">
              <w:rPr>
                <w:color w:val="EE0000"/>
              </w:rPr>
              <w:t>skeptical</w:t>
            </w:r>
            <w:proofErr w:type="spellEnd"/>
            <w:r w:rsidRPr="00B01295">
              <w:rPr>
                <w:color w:val="EE0000"/>
              </w:rPr>
              <w:t xml:space="preserve"> about how reliable expert intuitions are. For a discussion on these two points, see (Kahneman &amp; Klein, 2009).</w:t>
            </w:r>
          </w:p>
        </w:tc>
      </w:tr>
      <w:tr w:rsidR="00552CC5" w14:paraId="6D34A634" w14:textId="77777777" w:rsidTr="00A17DC5">
        <w:tc>
          <w:tcPr>
            <w:tcW w:w="4649" w:type="dxa"/>
          </w:tcPr>
          <w:p w14:paraId="45A5DEE9" w14:textId="77777777" w:rsidR="00552CC5" w:rsidRPr="00552CC5" w:rsidRDefault="00552CC5" w:rsidP="00552CC5">
            <w:pPr>
              <w:ind w:firstLine="0"/>
            </w:pPr>
            <w:r w:rsidRPr="00552CC5">
              <w:lastRenderedPageBreak/>
              <w:t>Page 9: '… may reduce incidences of wrongful risk-adverse decisions.' Do the authors mean 'risk-averse'?</w:t>
            </w:r>
          </w:p>
          <w:p w14:paraId="7A607741" w14:textId="77777777" w:rsidR="00552CC5" w:rsidRPr="00552CC5" w:rsidRDefault="00552CC5" w:rsidP="00552CC5">
            <w:pPr>
              <w:ind w:firstLine="0"/>
            </w:pPr>
          </w:p>
        </w:tc>
        <w:tc>
          <w:tcPr>
            <w:tcW w:w="4649" w:type="dxa"/>
          </w:tcPr>
          <w:p w14:paraId="61CBE2A3" w14:textId="33536395" w:rsidR="00552CC5" w:rsidRDefault="00552CC5" w:rsidP="00A17DC5">
            <w:pPr>
              <w:ind w:firstLine="0"/>
            </w:pPr>
            <w:r>
              <w:t>Thanks for catching this typo.</w:t>
            </w:r>
          </w:p>
        </w:tc>
        <w:tc>
          <w:tcPr>
            <w:tcW w:w="4650" w:type="dxa"/>
          </w:tcPr>
          <w:p w14:paraId="65C261F3" w14:textId="4D0E08DF" w:rsidR="00552CC5" w:rsidRDefault="00552CC5" w:rsidP="006F7B29">
            <w:pPr>
              <w:ind w:firstLine="0"/>
            </w:pPr>
            <w:r>
              <w:t>…</w:t>
            </w:r>
            <w:r w:rsidRPr="006B7894">
              <w:t>and may reduce incidences of wrongful risk-</w:t>
            </w:r>
            <w:r w:rsidRPr="00552CC5">
              <w:rPr>
                <w:color w:val="EE0000"/>
              </w:rPr>
              <w:t xml:space="preserve">averse </w:t>
            </w:r>
            <w:r w:rsidRPr="006B7894">
              <w:t>decisions.</w:t>
            </w:r>
          </w:p>
        </w:tc>
      </w:tr>
      <w:tr w:rsidR="00552CC5" w14:paraId="504890E1" w14:textId="77777777" w:rsidTr="00A17DC5">
        <w:tc>
          <w:tcPr>
            <w:tcW w:w="4649" w:type="dxa"/>
          </w:tcPr>
          <w:p w14:paraId="78C06019" w14:textId="77777777" w:rsidR="00552CC5" w:rsidRPr="00552CC5" w:rsidRDefault="00552CC5" w:rsidP="00552CC5">
            <w:pPr>
              <w:ind w:firstLine="0"/>
            </w:pPr>
            <w:r w:rsidRPr="00552CC5">
              <w:t>Pages 11-12: In response to the objection that transparent AI will be unintelligible to users, the authors point out that research is being done to improve intelligibility and that there are already some models that are quite intelligible. Therefore, it is premature to suggest that transparent AI will be unintelligible. Do the authors mean to make the stronger claim that transparent AI can and will be intelligible, or the weaker claim that we do not yet know that it will not be intelligible? The stronger claim might also be premature, unless strong evidence can be marshalled; perhaps the jury is still out on intelligibly transparent AI. The weaker claim is less satisfactory and means that the objection cannot yet be fully answered. But it does at least mean that we should not (yet) give up on transparency on the grounds that it will inevitably be unintelligible.</w:t>
            </w:r>
          </w:p>
          <w:p w14:paraId="3C766AA8" w14:textId="77777777" w:rsidR="00552CC5" w:rsidRPr="00552CC5" w:rsidRDefault="00552CC5" w:rsidP="00552CC5">
            <w:pPr>
              <w:ind w:firstLine="0"/>
            </w:pPr>
          </w:p>
        </w:tc>
        <w:tc>
          <w:tcPr>
            <w:tcW w:w="4649" w:type="dxa"/>
          </w:tcPr>
          <w:p w14:paraId="03FEA48F" w14:textId="77777777" w:rsidR="00552CC5" w:rsidRDefault="005C6570" w:rsidP="00A17DC5">
            <w:pPr>
              <w:ind w:firstLine="0"/>
            </w:pPr>
            <w:r>
              <w:t xml:space="preserve">We do indeed mean the weaker claim: that because a lot of research is still being done on transparent AI, they jury is still out. </w:t>
            </w:r>
          </w:p>
          <w:p w14:paraId="02E5255F" w14:textId="77777777" w:rsidR="005C6570" w:rsidRDefault="005C6570" w:rsidP="00A17DC5">
            <w:pPr>
              <w:ind w:firstLine="0"/>
            </w:pPr>
          </w:p>
          <w:p w14:paraId="25E680B4" w14:textId="3CE2EA73" w:rsidR="005C6570" w:rsidRDefault="005C6570" w:rsidP="00A17DC5">
            <w:pPr>
              <w:ind w:firstLine="0"/>
            </w:pPr>
            <w:r>
              <w:t xml:space="preserve">We have clarified this point in the paper. </w:t>
            </w:r>
          </w:p>
        </w:tc>
        <w:tc>
          <w:tcPr>
            <w:tcW w:w="4650" w:type="dxa"/>
          </w:tcPr>
          <w:p w14:paraId="16E452C8" w14:textId="3FAC9BF3" w:rsidR="00552CC5" w:rsidRDefault="005C6570" w:rsidP="006F7B29">
            <w:pPr>
              <w:ind w:firstLine="0"/>
            </w:pPr>
            <w:r>
              <w:t xml:space="preserve">(p. 13): </w:t>
            </w:r>
            <w:r w:rsidRPr="006B7894">
              <w:t xml:space="preserve">Therefore, </w:t>
            </w:r>
            <w:r w:rsidRPr="005C6570">
              <w:rPr>
                <w:color w:val="EE0000"/>
              </w:rPr>
              <w:t xml:space="preserve">the jury is still out on whether we can indeed design transparent AI systems which are both intelligible and effective. It </w:t>
            </w:r>
            <w:r w:rsidR="000506EA">
              <w:rPr>
                <w:color w:val="EE0000"/>
              </w:rPr>
              <w:t>i</w:t>
            </w:r>
            <w:r w:rsidRPr="005C6570">
              <w:rPr>
                <w:color w:val="EE0000"/>
              </w:rPr>
              <w:t xml:space="preserve">s premature to declare that transparent AI is doomed to unintelligibility, and we should not yet give up on trying to develop transparent AI. </w:t>
            </w:r>
            <w:r w:rsidRPr="006B7894">
              <w:t xml:space="preserve"> </w:t>
            </w:r>
          </w:p>
        </w:tc>
      </w:tr>
      <w:tr w:rsidR="005C6570" w14:paraId="74D532C6" w14:textId="77777777" w:rsidTr="00A17DC5">
        <w:tc>
          <w:tcPr>
            <w:tcW w:w="4649" w:type="dxa"/>
          </w:tcPr>
          <w:p w14:paraId="582A8372" w14:textId="77777777" w:rsidR="005C6570" w:rsidRPr="005C6570" w:rsidRDefault="005C6570" w:rsidP="005C6570">
            <w:pPr>
              <w:ind w:firstLine="0"/>
            </w:pPr>
            <w:r w:rsidRPr="005C6570">
              <w:t xml:space="preserve">Page 14: The authors consider the possibility of LLMs' reasoning skills improving and liken this to a skilled but untrustworthy rhetorician being </w:t>
            </w:r>
            <w:r w:rsidRPr="005C6570">
              <w:lastRenderedPageBreak/>
              <w:t>hired by a doctor to convince a patient that they have made the correct decision. If an LLM's purpose is likewise to justify a decision, this seems like an exercise in rhetoric rather than in reasoning. If reasoning skills really did get better, not just rhetorical ability, then the secondary model would be more apt to highlight potential mistakes by the primary model than to cover them up with a plausible but misleading story. In other words, one might be good at persuasion without being good at rational persuasion.</w:t>
            </w:r>
          </w:p>
          <w:p w14:paraId="72018979" w14:textId="77777777" w:rsidR="005C6570" w:rsidRPr="005C6570" w:rsidRDefault="005C6570" w:rsidP="005C6570">
            <w:pPr>
              <w:ind w:firstLine="0"/>
            </w:pPr>
            <w:r w:rsidRPr="005C6570">
              <w:t>On certain definitions, sounding plausible may be a kind of reasoning. Perhaps 'reasoning skills' here just refers to an ability to convince someone else. But typically, that is not what it is taken to mean. Do the authors mean that an LLM would never be able to truly reason, but can only give the appearance of reasoning through skilled rhetoric? If so, that is a plausible position, but it is not clear whether the authors take it.</w:t>
            </w:r>
          </w:p>
          <w:p w14:paraId="1AD4E84F" w14:textId="77777777" w:rsidR="005C6570" w:rsidRPr="00552CC5" w:rsidRDefault="005C6570" w:rsidP="00552CC5">
            <w:pPr>
              <w:ind w:firstLine="0"/>
            </w:pPr>
          </w:p>
        </w:tc>
        <w:tc>
          <w:tcPr>
            <w:tcW w:w="4649" w:type="dxa"/>
          </w:tcPr>
          <w:p w14:paraId="45B36E3C" w14:textId="364ECAE1" w:rsidR="005C6570" w:rsidRDefault="005C6570" w:rsidP="00A17DC5">
            <w:pPr>
              <w:ind w:firstLine="0"/>
            </w:pPr>
            <w:r>
              <w:lastRenderedPageBreak/>
              <w:t>The reviewer raises the possibility of an AI model which is good at reasoning, in the sense of making objective assessments of a decision</w:t>
            </w:r>
            <w:r w:rsidR="00F63B49">
              <w:t xml:space="preserve">, </w:t>
            </w:r>
            <w:r w:rsidR="00F63B49">
              <w:lastRenderedPageBreak/>
              <w:t>as opposed to merely convincing</w:t>
            </w:r>
            <w:r w:rsidR="000506EA">
              <w:t xml:space="preserve"> people of that decision</w:t>
            </w:r>
            <w:r w:rsidR="00F63B49">
              <w:t>.</w:t>
            </w:r>
            <w:r>
              <w:t xml:space="preserve"> </w:t>
            </w:r>
          </w:p>
          <w:p w14:paraId="769F5AA8" w14:textId="77777777" w:rsidR="00F63B49" w:rsidRDefault="00F63B49" w:rsidP="00A17DC5">
            <w:pPr>
              <w:ind w:firstLine="0"/>
            </w:pPr>
          </w:p>
          <w:p w14:paraId="069A21CD" w14:textId="627F4618" w:rsidR="00F63B49" w:rsidRPr="00F63B49" w:rsidRDefault="00F63B49" w:rsidP="00A17DC5">
            <w:pPr>
              <w:ind w:firstLine="0"/>
            </w:pPr>
            <w:r>
              <w:t xml:space="preserve">We consider this possibility in the paragraph starting with “But let’s suppose that…”, starting on page 15. The position we end up taking is that even if such a system is possible, the AI model would still not provide what transparent AI does – reasoning which is coherent and relevant </w:t>
            </w:r>
            <w:r>
              <w:rPr>
                <w:i/>
                <w:iCs/>
              </w:rPr>
              <w:t xml:space="preserve">and </w:t>
            </w:r>
            <w:r>
              <w:t xml:space="preserve">can make good predictions. (It may be hypocritical of us to say that LLMs can </w:t>
            </w:r>
            <w:r>
              <w:rPr>
                <w:i/>
                <w:iCs/>
              </w:rPr>
              <w:t xml:space="preserve">never </w:t>
            </w:r>
            <w:r>
              <w:t>be made to reason, given that in other places we plead that the jury’s still out on the issue)</w:t>
            </w:r>
          </w:p>
          <w:p w14:paraId="032BD01C" w14:textId="77777777" w:rsidR="00F63B49" w:rsidRDefault="00F63B49" w:rsidP="00A17DC5">
            <w:pPr>
              <w:ind w:firstLine="0"/>
            </w:pPr>
          </w:p>
          <w:p w14:paraId="74E0E714" w14:textId="108D665A" w:rsidR="00F63B49" w:rsidRPr="00F63B49" w:rsidRDefault="00F63B49" w:rsidP="00A17DC5">
            <w:pPr>
              <w:ind w:firstLine="0"/>
            </w:pPr>
            <w:r>
              <w:t xml:space="preserve">We’ve modified the paragraph slightly to make it clear we’re considering this possibility.  </w:t>
            </w:r>
          </w:p>
        </w:tc>
        <w:tc>
          <w:tcPr>
            <w:tcW w:w="4650" w:type="dxa"/>
          </w:tcPr>
          <w:p w14:paraId="730DD5EF" w14:textId="165DA8B9" w:rsidR="005C6570" w:rsidRDefault="00F63B49" w:rsidP="006F7B29">
            <w:pPr>
              <w:ind w:firstLine="0"/>
            </w:pPr>
            <w:r>
              <w:lastRenderedPageBreak/>
              <w:t xml:space="preserve">(pp. 15-16): </w:t>
            </w:r>
            <w:r w:rsidR="005C6570" w:rsidRPr="006B7894">
              <w:t xml:space="preserve">But let’s suppose that we can design a post-hoc justification AI model that can and does reason well, and does not provide </w:t>
            </w:r>
            <w:r w:rsidR="005C6570" w:rsidRPr="006B7894">
              <w:lastRenderedPageBreak/>
              <w:t>“justifications” for objectively unjustified decisions</w:t>
            </w:r>
            <w:r>
              <w:t>. . .</w:t>
            </w:r>
            <w:r w:rsidR="005C6570" w:rsidRPr="006B7894">
              <w:t xml:space="preserve"> </w:t>
            </w:r>
            <w:r w:rsidRPr="00F63B49">
              <w:rPr>
                <w:color w:val="EE0000"/>
              </w:rPr>
              <w:t xml:space="preserve">And instead of attempting to justify </w:t>
            </w:r>
            <w:r w:rsidRPr="00F63B49">
              <w:rPr>
                <w:i/>
                <w:iCs/>
                <w:color w:val="EE0000"/>
              </w:rPr>
              <w:t xml:space="preserve">any </w:t>
            </w:r>
            <w:r w:rsidRPr="00F63B49">
              <w:rPr>
                <w:color w:val="EE0000"/>
              </w:rPr>
              <w:t>recommendation made by the primary model, it points out when the primary model may have made a mistake.</w:t>
            </w:r>
          </w:p>
        </w:tc>
      </w:tr>
    </w:tbl>
    <w:p w14:paraId="36278196" w14:textId="77777777" w:rsidR="00A17DC5" w:rsidRPr="00A17DC5" w:rsidRDefault="00A17DC5" w:rsidP="00BA0335">
      <w:pPr>
        <w:ind w:firstLine="0"/>
      </w:pPr>
    </w:p>
    <w:sectPr w:rsidR="00A17DC5" w:rsidRPr="00A17DC5" w:rsidSect="00FB31E0">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31E0"/>
    <w:rsid w:val="0000754E"/>
    <w:rsid w:val="000506EA"/>
    <w:rsid w:val="000B31A0"/>
    <w:rsid w:val="001668B2"/>
    <w:rsid w:val="00324331"/>
    <w:rsid w:val="003E0B5F"/>
    <w:rsid w:val="0047620E"/>
    <w:rsid w:val="004D23ED"/>
    <w:rsid w:val="00552CC5"/>
    <w:rsid w:val="005C6570"/>
    <w:rsid w:val="006E2A4B"/>
    <w:rsid w:val="006F7B29"/>
    <w:rsid w:val="00787C7C"/>
    <w:rsid w:val="007E6DD8"/>
    <w:rsid w:val="00890579"/>
    <w:rsid w:val="00932BD3"/>
    <w:rsid w:val="009529D3"/>
    <w:rsid w:val="00970901"/>
    <w:rsid w:val="00981D8C"/>
    <w:rsid w:val="009D3A27"/>
    <w:rsid w:val="00A17DC5"/>
    <w:rsid w:val="00AF403A"/>
    <w:rsid w:val="00B01295"/>
    <w:rsid w:val="00B33D1E"/>
    <w:rsid w:val="00BA0335"/>
    <w:rsid w:val="00BE4850"/>
    <w:rsid w:val="00BF5931"/>
    <w:rsid w:val="00C40D35"/>
    <w:rsid w:val="00C44F7C"/>
    <w:rsid w:val="00C73231"/>
    <w:rsid w:val="00D31CD9"/>
    <w:rsid w:val="00D53872"/>
    <w:rsid w:val="00DF4013"/>
    <w:rsid w:val="00E63325"/>
    <w:rsid w:val="00EE0DCC"/>
    <w:rsid w:val="00EE7DF7"/>
    <w:rsid w:val="00F06638"/>
    <w:rsid w:val="00F63B49"/>
    <w:rsid w:val="00FB31E0"/>
    <w:rsid w:val="00FE0A76"/>
    <w:rsid w:val="00FE5CF8"/>
    <w:rsid w:val="00FF1D55"/>
  </w:rsids>
  <m:mathPr>
    <m:mathFont m:val="Cambria Math"/>
    <m:brkBin m:val="before"/>
    <m:brkBinSub m:val="--"/>
    <m:smallFrac m:val="0"/>
    <m:dispDef/>
    <m:lMargin m:val="0"/>
    <m:rMargin m:val="0"/>
    <m:defJc m:val="centerGroup"/>
    <m:wrapIndent m:val="1440"/>
    <m:intLim m:val="subSup"/>
    <m:naryLim m:val="undOvr"/>
  </m:mathPr>
  <w:themeFontLang w:val="en-S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C56780"/>
  <w15:chartTrackingRefBased/>
  <w15:docId w15:val="{826D43B2-88E6-4D7D-9651-3B0F60F5D2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SG" w:eastAsia="en-US" w:bidi="ar-SA"/>
        <w14:ligatures w14:val="standardContextual"/>
      </w:rPr>
    </w:rPrDefault>
    <w:pPrDefault>
      <w:pPr>
        <w:spacing w:after="160" w:line="360" w:lineRule="auto"/>
        <w:ind w:firstLine="7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31E0"/>
    <w:rPr>
      <w:rFonts w:ascii="Garamond" w:hAnsi="Garamond"/>
    </w:rPr>
  </w:style>
  <w:style w:type="paragraph" w:styleId="Heading1">
    <w:name w:val="heading 1"/>
    <w:basedOn w:val="Normal"/>
    <w:next w:val="Normal"/>
    <w:link w:val="Heading1Char"/>
    <w:uiPriority w:val="9"/>
    <w:qFormat/>
    <w:rsid w:val="00D5387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5387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5387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5387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5387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5387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5387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5387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5387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5387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5387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53872"/>
    <w:rPr>
      <w:rFonts w:ascii="Garamond" w:eastAsiaTheme="majorEastAsia" w:hAnsi="Garamond"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53872"/>
    <w:rPr>
      <w:rFonts w:ascii="Garamond" w:eastAsiaTheme="majorEastAsia" w:hAnsi="Garamond" w:cstheme="majorBidi"/>
      <w:i/>
      <w:iCs/>
      <w:color w:val="0F4761" w:themeColor="accent1" w:themeShade="BF"/>
    </w:rPr>
  </w:style>
  <w:style w:type="character" w:customStyle="1" w:styleId="Heading5Char">
    <w:name w:val="Heading 5 Char"/>
    <w:basedOn w:val="DefaultParagraphFont"/>
    <w:link w:val="Heading5"/>
    <w:uiPriority w:val="9"/>
    <w:semiHidden/>
    <w:rsid w:val="00D53872"/>
    <w:rPr>
      <w:rFonts w:ascii="Garamond" w:eastAsiaTheme="majorEastAsia" w:hAnsi="Garamond" w:cstheme="majorBidi"/>
      <w:color w:val="0F4761" w:themeColor="accent1" w:themeShade="BF"/>
    </w:rPr>
  </w:style>
  <w:style w:type="character" w:customStyle="1" w:styleId="Heading6Char">
    <w:name w:val="Heading 6 Char"/>
    <w:basedOn w:val="DefaultParagraphFont"/>
    <w:link w:val="Heading6"/>
    <w:uiPriority w:val="9"/>
    <w:semiHidden/>
    <w:rsid w:val="00D53872"/>
    <w:rPr>
      <w:rFonts w:ascii="Garamond" w:eastAsiaTheme="majorEastAsia" w:hAnsi="Garamond" w:cstheme="majorBidi"/>
      <w:i/>
      <w:iCs/>
      <w:color w:val="595959" w:themeColor="text1" w:themeTint="A6"/>
    </w:rPr>
  </w:style>
  <w:style w:type="character" w:customStyle="1" w:styleId="Heading7Char">
    <w:name w:val="Heading 7 Char"/>
    <w:basedOn w:val="DefaultParagraphFont"/>
    <w:link w:val="Heading7"/>
    <w:uiPriority w:val="9"/>
    <w:semiHidden/>
    <w:rsid w:val="00D53872"/>
    <w:rPr>
      <w:rFonts w:ascii="Garamond" w:eastAsiaTheme="majorEastAsia" w:hAnsi="Garamond" w:cstheme="majorBidi"/>
      <w:color w:val="595959" w:themeColor="text1" w:themeTint="A6"/>
    </w:rPr>
  </w:style>
  <w:style w:type="character" w:customStyle="1" w:styleId="Heading8Char">
    <w:name w:val="Heading 8 Char"/>
    <w:basedOn w:val="DefaultParagraphFont"/>
    <w:link w:val="Heading8"/>
    <w:uiPriority w:val="9"/>
    <w:semiHidden/>
    <w:rsid w:val="00D53872"/>
    <w:rPr>
      <w:rFonts w:ascii="Garamond" w:eastAsiaTheme="majorEastAsia" w:hAnsi="Garamond" w:cstheme="majorBidi"/>
      <w:i/>
      <w:iCs/>
      <w:color w:val="272727" w:themeColor="text1" w:themeTint="D8"/>
    </w:rPr>
  </w:style>
  <w:style w:type="character" w:customStyle="1" w:styleId="Heading9Char">
    <w:name w:val="Heading 9 Char"/>
    <w:basedOn w:val="DefaultParagraphFont"/>
    <w:link w:val="Heading9"/>
    <w:uiPriority w:val="9"/>
    <w:semiHidden/>
    <w:rsid w:val="00D53872"/>
    <w:rPr>
      <w:rFonts w:ascii="Garamond" w:eastAsiaTheme="majorEastAsia" w:hAnsi="Garamond" w:cstheme="majorBidi"/>
      <w:color w:val="272727" w:themeColor="text1" w:themeTint="D8"/>
    </w:rPr>
  </w:style>
  <w:style w:type="paragraph" w:styleId="Title">
    <w:name w:val="Title"/>
    <w:basedOn w:val="Normal"/>
    <w:next w:val="Normal"/>
    <w:link w:val="TitleChar"/>
    <w:uiPriority w:val="10"/>
    <w:qFormat/>
    <w:rsid w:val="00D5387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5387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53872"/>
    <w:pPr>
      <w:numPr>
        <w:ilvl w:val="1"/>
      </w:numPr>
      <w:ind w:firstLine="72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53872"/>
    <w:rPr>
      <w:rFonts w:ascii="Garamond" w:eastAsiaTheme="majorEastAsia" w:hAnsi="Garamond" w:cstheme="majorBidi"/>
      <w:color w:val="595959" w:themeColor="text1" w:themeTint="A6"/>
      <w:spacing w:val="15"/>
      <w:sz w:val="28"/>
      <w:szCs w:val="28"/>
    </w:rPr>
  </w:style>
  <w:style w:type="paragraph" w:styleId="ListParagraph">
    <w:name w:val="List Paragraph"/>
    <w:basedOn w:val="Normal"/>
    <w:uiPriority w:val="34"/>
    <w:qFormat/>
    <w:rsid w:val="00D53872"/>
    <w:pPr>
      <w:ind w:left="720"/>
      <w:contextualSpacing/>
    </w:pPr>
  </w:style>
  <w:style w:type="paragraph" w:styleId="Quote">
    <w:name w:val="Quote"/>
    <w:basedOn w:val="Normal"/>
    <w:next w:val="Normal"/>
    <w:link w:val="QuoteChar"/>
    <w:uiPriority w:val="29"/>
    <w:qFormat/>
    <w:rsid w:val="00D53872"/>
    <w:pPr>
      <w:spacing w:before="160"/>
      <w:jc w:val="center"/>
    </w:pPr>
    <w:rPr>
      <w:i/>
      <w:iCs/>
      <w:color w:val="404040" w:themeColor="text1" w:themeTint="BF"/>
    </w:rPr>
  </w:style>
  <w:style w:type="character" w:customStyle="1" w:styleId="QuoteChar">
    <w:name w:val="Quote Char"/>
    <w:basedOn w:val="DefaultParagraphFont"/>
    <w:link w:val="Quote"/>
    <w:uiPriority w:val="29"/>
    <w:rsid w:val="00D53872"/>
    <w:rPr>
      <w:rFonts w:ascii="Garamond" w:hAnsi="Garamond"/>
      <w:i/>
      <w:iCs/>
      <w:color w:val="404040" w:themeColor="text1" w:themeTint="BF"/>
    </w:rPr>
  </w:style>
  <w:style w:type="paragraph" w:styleId="IntenseQuote">
    <w:name w:val="Intense Quote"/>
    <w:basedOn w:val="Normal"/>
    <w:next w:val="Normal"/>
    <w:link w:val="IntenseQuoteChar"/>
    <w:uiPriority w:val="30"/>
    <w:qFormat/>
    <w:rsid w:val="00D5387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53872"/>
    <w:rPr>
      <w:rFonts w:ascii="Garamond" w:hAnsi="Garamond"/>
      <w:i/>
      <w:iCs/>
      <w:color w:val="0F4761" w:themeColor="accent1" w:themeShade="BF"/>
    </w:rPr>
  </w:style>
  <w:style w:type="character" w:styleId="IntenseEmphasis">
    <w:name w:val="Intense Emphasis"/>
    <w:basedOn w:val="DefaultParagraphFont"/>
    <w:uiPriority w:val="21"/>
    <w:qFormat/>
    <w:rsid w:val="00D53872"/>
    <w:rPr>
      <w:i/>
      <w:iCs/>
      <w:color w:val="0F4761" w:themeColor="accent1" w:themeShade="BF"/>
    </w:rPr>
  </w:style>
  <w:style w:type="character" w:styleId="IntenseReference">
    <w:name w:val="Intense Reference"/>
    <w:basedOn w:val="DefaultParagraphFont"/>
    <w:uiPriority w:val="32"/>
    <w:qFormat/>
    <w:rsid w:val="00D53872"/>
    <w:rPr>
      <w:b/>
      <w:bCs/>
      <w:smallCaps/>
      <w:color w:val="0F4761" w:themeColor="accent1" w:themeShade="BF"/>
      <w:spacing w:val="5"/>
    </w:rPr>
  </w:style>
  <w:style w:type="paragraph" w:customStyle="1" w:styleId="Footnote">
    <w:name w:val="Footnote"/>
    <w:basedOn w:val="FootnoteText"/>
    <w:qFormat/>
    <w:rsid w:val="00D53872"/>
  </w:style>
  <w:style w:type="paragraph" w:styleId="FootnoteText">
    <w:name w:val="footnote text"/>
    <w:basedOn w:val="Normal"/>
    <w:link w:val="FootnoteTextChar"/>
    <w:autoRedefine/>
    <w:uiPriority w:val="99"/>
    <w:semiHidden/>
    <w:unhideWhenUsed/>
    <w:rsid w:val="00D53872"/>
    <w:pPr>
      <w:spacing w:after="0" w:line="240" w:lineRule="auto"/>
      <w:ind w:firstLine="0"/>
    </w:pPr>
    <w:rPr>
      <w:sz w:val="20"/>
      <w:szCs w:val="20"/>
    </w:rPr>
  </w:style>
  <w:style w:type="character" w:customStyle="1" w:styleId="FootnoteTextChar">
    <w:name w:val="Footnote Text Char"/>
    <w:basedOn w:val="DefaultParagraphFont"/>
    <w:link w:val="FootnoteText"/>
    <w:uiPriority w:val="99"/>
    <w:semiHidden/>
    <w:rsid w:val="00D53872"/>
    <w:rPr>
      <w:rFonts w:ascii="Garamond" w:hAnsi="Garamond"/>
      <w:sz w:val="20"/>
      <w:szCs w:val="20"/>
    </w:rPr>
  </w:style>
  <w:style w:type="character" w:styleId="FootnoteReference">
    <w:name w:val="footnote reference"/>
    <w:basedOn w:val="DefaultParagraphFont"/>
    <w:uiPriority w:val="99"/>
    <w:semiHidden/>
    <w:unhideWhenUsed/>
    <w:rsid w:val="00D53872"/>
    <w:rPr>
      <w:vertAlign w:val="superscript"/>
    </w:rPr>
  </w:style>
  <w:style w:type="character" w:styleId="Hyperlink">
    <w:name w:val="Hyperlink"/>
    <w:basedOn w:val="DefaultParagraphFont"/>
    <w:uiPriority w:val="99"/>
    <w:unhideWhenUsed/>
    <w:rsid w:val="00D53872"/>
    <w:rPr>
      <w:color w:val="467886" w:themeColor="hyperlink"/>
      <w:u w:val="single"/>
    </w:rPr>
  </w:style>
  <w:style w:type="character" w:styleId="FollowedHyperlink">
    <w:name w:val="FollowedHyperlink"/>
    <w:basedOn w:val="DefaultParagraphFont"/>
    <w:uiPriority w:val="99"/>
    <w:semiHidden/>
    <w:unhideWhenUsed/>
    <w:rsid w:val="00D53872"/>
    <w:rPr>
      <w:color w:val="96607D" w:themeColor="followedHyperlink"/>
      <w:u w:val="single"/>
    </w:rPr>
  </w:style>
  <w:style w:type="table" w:styleId="TableGrid">
    <w:name w:val="Table Grid"/>
    <w:basedOn w:val="TableNormal"/>
    <w:uiPriority w:val="39"/>
    <w:rsid w:val="00FB31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6E2A4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link.springer.com/article/10.1007/s00146-022-01418-x" TargetMode="External"/><Relationship Id="rId4" Type="http://schemas.openxmlformats.org/officeDocument/2006/relationships/hyperlink" Target="https://jme.bmj.com/content/medethics/48/4/222.full.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153</TotalTime>
  <Pages>9</Pages>
  <Words>3958</Words>
  <Characters>22525</Characters>
  <Application>Microsoft Office Word</Application>
  <DocSecurity>0</DocSecurity>
  <Lines>312</Lines>
  <Paragraphs>67</Paragraphs>
  <ScaleCrop>false</ScaleCrop>
  <HeadingPairs>
    <vt:vector size="2" baseType="variant">
      <vt:variant>
        <vt:lpstr>Title</vt:lpstr>
      </vt:variant>
      <vt:variant>
        <vt:i4>1</vt:i4>
      </vt:variant>
    </vt:vector>
  </HeadingPairs>
  <TitlesOfParts>
    <vt:vector size="1" baseType="lpstr">
      <vt:lpstr/>
    </vt:vector>
  </TitlesOfParts>
  <Company>National University of Singapore</Company>
  <LinksUpToDate>false</LinksUpToDate>
  <CharactersWithSpaces>26416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Edgar Lim Tjen Yao</dc:creator>
  <cp:keywords/>
  <dc:description/>
  <cp:lastModifiedBy>James Edgar Lim Tjen Yao</cp:lastModifiedBy>
  <cp:revision>14</cp:revision>
  <dcterms:created xsi:type="dcterms:W3CDTF">2025-10-22T09:50:00Z</dcterms:created>
  <dcterms:modified xsi:type="dcterms:W3CDTF">2025-11-04T09:55:00Z</dcterms:modified>
</cp:coreProperties>
</file>