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93C" w:rsidRDefault="006C093C" w:rsidP="006C093C">
      <w:pPr>
        <w:suppressLineNumbers/>
        <w:tabs>
          <w:tab w:val="left" w:pos="3750"/>
        </w:tabs>
        <w:rPr>
          <w:rFonts w:ascii="Times New Roman" w:hAnsi="Times New Roman" w:cs="Times New Roman"/>
          <w:b/>
          <w:caps/>
          <w:sz w:val="20"/>
          <w:szCs w:val="20"/>
        </w:rPr>
      </w:pPr>
      <w:r w:rsidRPr="00A03612">
        <w:rPr>
          <w:rFonts w:ascii="Times New Roman" w:hAnsi="Times New Roman" w:cs="Times New Roman"/>
          <w:b/>
          <w:caps/>
          <w:sz w:val="20"/>
          <w:szCs w:val="20"/>
        </w:rPr>
        <w:t>Supplemental Material</w:t>
      </w:r>
    </w:p>
    <w:p w:rsidR="006C093C" w:rsidRPr="00A03612" w:rsidRDefault="006C093C" w:rsidP="006C093C">
      <w:pPr>
        <w:suppressLineNumbers/>
        <w:tabs>
          <w:tab w:val="left" w:pos="3750"/>
        </w:tabs>
        <w:rPr>
          <w:rFonts w:ascii="Times New Roman" w:hAnsi="Times New Roman" w:cs="Times New Roman"/>
          <w:sz w:val="20"/>
          <w:szCs w:val="20"/>
        </w:rPr>
      </w:pPr>
    </w:p>
    <w:tbl>
      <w:tblPr>
        <w:tblW w:w="13353" w:type="dxa"/>
        <w:tblLook w:val="04A0" w:firstRow="1" w:lastRow="0" w:firstColumn="1" w:lastColumn="0" w:noHBand="0" w:noVBand="1"/>
      </w:tblPr>
      <w:tblGrid>
        <w:gridCol w:w="3420"/>
        <w:gridCol w:w="972"/>
        <w:gridCol w:w="1102"/>
        <w:gridCol w:w="7859"/>
      </w:tblGrid>
      <w:tr w:rsidR="006C093C" w:rsidRPr="00550BDD" w:rsidTr="00303E01">
        <w:trPr>
          <w:trHeight w:val="420"/>
        </w:trPr>
        <w:tc>
          <w:tcPr>
            <w:tcW w:w="1335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Table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1</w:t>
            </w:r>
            <w:r w:rsidRPr="0011791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.</w:t>
            </w: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A priori hypotheses for multi-season habitat use patterns of ocelots on the East Foundation's El Sauz Ranch, Texas.</w:t>
            </w:r>
          </w:p>
        </w:tc>
      </w:tr>
      <w:tr w:rsidR="006C093C" w:rsidRPr="0011791B" w:rsidTr="00303E01">
        <w:trPr>
          <w:gridAfter w:val="1"/>
          <w:wAfter w:w="8111" w:type="dxa"/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Psi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6C093C" w:rsidRPr="00550BDD" w:rsidTr="00303E0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Direction</w:t>
            </w: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Direction 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Canopy Cover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Greater percentages of canopy cover will be positively linked to ocelot detection/habitat use</w:t>
            </w: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Canopy Profile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&lt;25% (-) 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&lt;25% (-) </w:t>
            </w:r>
          </w:p>
        </w:tc>
        <w:tc>
          <w:tcPr>
            <w:tcW w:w="811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Ocelots will be more like to use dense canopies in proportion to mixed canopies and will be less likely to use open canopies in proportion to dense canopies</w:t>
            </w: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&gt;75% (+)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&gt;75% (+)</w:t>
            </w:r>
          </w:p>
        </w:tc>
        <w:tc>
          <w:tcPr>
            <w:tcW w:w="811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Horizontal Cover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Greater percentages of horizontal cover will be positively linked to ocelot detection/habitat use</w:t>
            </w: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Shrub Height (&lt;2m)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Ocelots will be more likely to use/be detected in areas with taller shrub heights and overhead canopies</w:t>
            </w: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Canopy Height (&gt;2m)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Percent Landscape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Greater percentage of woody cover will be linked to ocelot habitat use</w:t>
            </w:r>
          </w:p>
        </w:tc>
      </w:tr>
      <w:tr w:rsidR="006C093C" w:rsidRPr="00550BDD" w:rsidTr="00303E01">
        <w:trPr>
          <w:trHeight w:val="48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Patch Density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Areas of lower patch density (e.g., larger patch sizes) will be linked to ocelot habitat use and density </w:t>
            </w:r>
          </w:p>
        </w:tc>
      </w:tr>
      <w:tr w:rsidR="006C093C" w:rsidRPr="00550BDD" w:rsidTr="00303E0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Euclidean Nearest Neighbor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Close distances between patches will be linked to ocelot habitat use and detection</w:t>
            </w:r>
          </w:p>
        </w:tc>
      </w:tr>
      <w:tr w:rsidR="006C093C" w:rsidRPr="00550BDD" w:rsidTr="00303E0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Landscape Shape Index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Ocelots are more likely to use / detected in areas with woody lower shape index value and larger mean patch area of woody cover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(i.e. areas of low fragmentation)</w:t>
            </w:r>
          </w:p>
        </w:tc>
      </w:tr>
      <w:tr w:rsidR="006C093C" w:rsidRPr="00550BDD" w:rsidTr="00303E0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Patch Area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C093C" w:rsidRPr="00550BDD" w:rsidTr="00303E0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Herbaceous Percent Landscape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Metrics of herbaceous cover will have a negative effect on ocelot occurrence and detection</w:t>
            </w:r>
          </w:p>
        </w:tc>
      </w:tr>
      <w:tr w:rsidR="006C093C" w:rsidRPr="00550BDD" w:rsidTr="00303E01">
        <w:trPr>
          <w:trHeight w:val="40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Herbaceous Patch Density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C093C" w:rsidRPr="00550BDD" w:rsidTr="00303E01">
        <w:trPr>
          <w:trHeight w:val="315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Herbaceous Euclidean Nearest Neighbor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6C093C" w:rsidRPr="00550BDD" w:rsidTr="00303E0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Palmer Drought Severity Index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-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Ocelots will be less likely to be detected during drought</w:t>
            </w:r>
          </w:p>
        </w:tc>
      </w:tr>
      <w:tr w:rsidR="006C093C" w:rsidRPr="00550BDD" w:rsidTr="00303E0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Between Season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Detection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Ocelot detection will vary from season to season</w:t>
            </w:r>
          </w:p>
        </w:tc>
      </w:tr>
      <w:tr w:rsidR="006C093C" w:rsidRPr="00550BDD" w:rsidTr="00303E01">
        <w:trPr>
          <w:trHeight w:val="300"/>
        </w:trPr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Within Season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Detection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:rsidR="006C093C" w:rsidRPr="0011791B" w:rsidRDefault="006C093C" w:rsidP="00303E01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+</w:t>
            </w:r>
          </w:p>
        </w:tc>
        <w:tc>
          <w:tcPr>
            <w:tcW w:w="81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C093C" w:rsidRPr="0011791B" w:rsidRDefault="006C093C" w:rsidP="00303E01">
            <w:pPr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11791B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Ocelot detection will vary from occasion to occasion </w:t>
            </w:r>
          </w:p>
        </w:tc>
      </w:tr>
    </w:tbl>
    <w:p w:rsidR="006C093C" w:rsidRDefault="006C093C" w:rsidP="006C093C">
      <w:pPr>
        <w:suppressLineNumbers/>
        <w:tabs>
          <w:tab w:val="left" w:pos="3750"/>
        </w:tabs>
        <w:rPr>
          <w:rFonts w:ascii="Times New Roman" w:hAnsi="Times New Roman" w:cs="Times New Roman"/>
          <w:sz w:val="20"/>
          <w:szCs w:val="20"/>
        </w:rPr>
        <w:sectPr w:rsidR="006C093C" w:rsidSect="003D2801">
          <w:pgSz w:w="15840" w:h="12240" w:orient="landscape"/>
          <w:pgMar w:top="1440" w:right="1440" w:bottom="1440" w:left="1440" w:header="720" w:footer="720" w:gutter="0"/>
          <w:lnNumType w:countBy="1" w:restart="continuous"/>
          <w:cols w:space="720"/>
          <w:docGrid w:linePitch="326"/>
        </w:sectPr>
      </w:pPr>
    </w:p>
    <w:p w:rsidR="006C093C" w:rsidRDefault="006C093C" w:rsidP="006C093C">
      <w:pPr>
        <w:suppressLineNumbers/>
        <w:tabs>
          <w:tab w:val="left" w:pos="3750"/>
        </w:tabs>
        <w:rPr>
          <w:rFonts w:ascii="Times New Roman" w:hAnsi="Times New Roman" w:cs="Times New Roman"/>
          <w:b/>
          <w:bCs/>
        </w:rPr>
      </w:pPr>
    </w:p>
    <w:p w:rsidR="006C093C" w:rsidRPr="00A03612" w:rsidRDefault="006C093C" w:rsidP="006C093C">
      <w:pPr>
        <w:spacing w:line="48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A036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 xml:space="preserve">Table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2</w:t>
      </w:r>
      <w:r w:rsidRPr="00A03612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</w:t>
      </w:r>
      <w:r w:rsidRPr="00A036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Means (standard error[SE]) or percentage of camera stations (%) for landscape-level and site-level microhabitat variables measured at each camera station (n=28) surveyed for ocelots (</w:t>
      </w:r>
      <w:r w:rsidRPr="00A03612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Leopardus pardalis</w:t>
      </w:r>
      <w:r w:rsidRPr="00A03612">
        <w:rPr>
          <w:rFonts w:ascii="Times New Roman" w:eastAsia="Times New Roman" w:hAnsi="Times New Roman" w:cs="Times New Roman"/>
          <w:color w:val="000000"/>
          <w:sz w:val="20"/>
          <w:szCs w:val="20"/>
        </w:rPr>
        <w:t>) on the East Foundation’s El Sauz Ranch, Willacy and Kenedy counties, Texas, 1 May 2011</w:t>
      </w:r>
      <w:r w:rsidRPr="00A03612">
        <w:rPr>
          <w:rFonts w:ascii="Times New Roman" w:hAnsi="Times New Roman" w:cs="Times New Roman"/>
          <w:sz w:val="20"/>
          <w:szCs w:val="20"/>
          <w:lang w:val="en"/>
        </w:rPr>
        <w:t>–</w:t>
      </w:r>
      <w:r w:rsidRPr="00A03612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31 March 2018. </w:t>
      </w:r>
    </w:p>
    <w:tbl>
      <w:tblPr>
        <w:tblW w:w="9180" w:type="dxa"/>
        <w:tblLook w:val="04A0" w:firstRow="1" w:lastRow="0" w:firstColumn="1" w:lastColumn="0" w:noHBand="0" w:noVBand="1"/>
      </w:tblPr>
      <w:tblGrid>
        <w:gridCol w:w="540"/>
        <w:gridCol w:w="4950"/>
        <w:gridCol w:w="3690"/>
      </w:tblGrid>
      <w:tr w:rsidR="006C093C" w:rsidRPr="00A03612" w:rsidTr="00303E01">
        <w:trPr>
          <w:trHeight w:hRule="exact" w:val="403"/>
        </w:trPr>
        <w:tc>
          <w:tcPr>
            <w:tcW w:w="549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          </w:t>
            </w:r>
            <w:r w:rsidRPr="00A0361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Scale / variable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C093C" w:rsidRPr="00A03612" w:rsidRDefault="006C093C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m:oMath>
              <m:acc>
                <m:accPr>
                  <m:chr m:val="̅"/>
                  <m:ctrlPr>
                    <w:rPr>
                      <w:rFonts w:ascii="Cambria Math" w:eastAsia="Times New Roman" w:hAnsi="Cambria Math" w:cs="Times New Roman"/>
                      <w:b/>
                      <w:i/>
                      <w:color w:val="000000"/>
                      <w:sz w:val="20"/>
                      <w:szCs w:val="20"/>
                    </w:rPr>
                  </m:ctrlPr>
                </m:acc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20"/>
                      <w:szCs w:val="20"/>
                    </w:rPr>
                    <m:t>x</m:t>
                  </m:r>
                </m:e>
              </m:acc>
            </m:oMath>
            <w:r w:rsidRPr="004C20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(SE</w:t>
            </w:r>
            <w:r w:rsidRPr="003854C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  <w:r w:rsidRPr="00CF09F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 w:rsidRPr="007D045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/ %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9180" w:type="dxa"/>
            <w:gridSpan w:val="3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Landscape-level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patch density (number of patches/100 ha)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443.9 (0.</w:t>
            </w:r>
            <w:r w:rsidR="00307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patch area of woody cover (ha)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</w:t>
            </w:r>
            <w:r w:rsidR="00307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(0.01)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percentage of landscape (%)</w:t>
            </w:r>
          </w:p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55.</w:t>
            </w:r>
            <w:r w:rsidR="00307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307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landscape shape index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226.9 (0.5)</w:t>
            </w:r>
            <w:bookmarkStart w:id="0" w:name="_GoBack"/>
            <w:bookmarkEnd w:id="0"/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Woody Nearest Neighbor (m)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8.2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(0.</w:t>
            </w:r>
            <w:r w:rsidR="00307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Herbaceous percentage of landscape (%)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34.</w:t>
            </w:r>
            <w:r w:rsidR="003074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Pr="008C2E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 xml:space="preserve"> (6.</w:t>
            </w:r>
            <w:r w:rsidR="0030744D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8</w:t>
            </w:r>
            <w:r w:rsidRPr="008C2E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Herbaceous patch density (number of patches/100 ha)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1801.5 (698.9)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Herbaceous nearest neighbor (m)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 (0.24)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9180" w:type="dxa"/>
            <w:gridSpan w:val="3"/>
            <w:shd w:val="clear" w:color="auto" w:fill="FFFFFF" w:themeFill="background1"/>
            <w:noWrap/>
            <w:vAlign w:val="bottom"/>
          </w:tcPr>
          <w:p w:rsidR="006C093C" w:rsidRPr="008C2E5B" w:rsidRDefault="006C093C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Site-level</w:t>
            </w:r>
          </w:p>
        </w:tc>
      </w:tr>
      <w:tr w:rsidR="0030744D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30744D" w:rsidRPr="00A03612" w:rsidRDefault="0030744D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30744D" w:rsidRPr="008C2E5B" w:rsidRDefault="0030744D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Overhead Canopy Height (cm)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30744D" w:rsidRPr="008C2E5B" w:rsidRDefault="0030744D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140.1 (70.1)</w:t>
            </w:r>
          </w:p>
        </w:tc>
      </w:tr>
      <w:tr w:rsidR="0030744D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30744D" w:rsidRPr="00A03612" w:rsidRDefault="0030744D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30744D" w:rsidRPr="008C2E5B" w:rsidRDefault="0030744D" w:rsidP="0030744D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Shrub Height (cm)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30744D" w:rsidRPr="008C2E5B" w:rsidRDefault="0030744D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49.7 (18.2)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Open canopy cover (% of stations)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</w:t>
            </w:r>
            <w:r w:rsidR="0030744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%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Mixed canopy cover (% of stations)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60.7%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Closed canopy cover (% of stations)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32.1 %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Overall canopy cover (%)</w:t>
            </w:r>
          </w:p>
        </w:tc>
        <w:tc>
          <w:tcPr>
            <w:tcW w:w="3690" w:type="dxa"/>
            <w:shd w:val="clear" w:color="auto" w:fill="FFFFFF" w:themeFill="background1"/>
            <w:noWrap/>
            <w:vAlign w:val="bottom"/>
          </w:tcPr>
          <w:p w:rsidR="006C093C" w:rsidRPr="008C2E5B" w:rsidRDefault="006C093C" w:rsidP="0030744D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56.9 %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tcBorders>
              <w:bottom w:val="single" w:sz="4" w:space="0" w:color="auto"/>
            </w:tcBorders>
            <w:shd w:val="clear" w:color="auto" w:fill="FFFFFF" w:themeFill="background1"/>
            <w:vAlign w:val="bottom"/>
          </w:tcPr>
          <w:p w:rsidR="006C093C" w:rsidRPr="008C2E5B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Mean Horizontal cover (0</w:t>
            </w:r>
            <w:r w:rsidRPr="008C2E5B">
              <w:rPr>
                <w:rFonts w:ascii="Times New Roman" w:hAnsi="Times New Roman" w:cs="Times New Roman"/>
                <w:sz w:val="20"/>
                <w:szCs w:val="20"/>
                <w:lang w:val="en"/>
              </w:rPr>
              <w:t>–</w:t>
            </w: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0.5 m) (%)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6C093C" w:rsidRPr="008C2E5B" w:rsidRDefault="006C093C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8C2E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37.7 %</w:t>
            </w:r>
          </w:p>
        </w:tc>
      </w:tr>
      <w:tr w:rsidR="006C093C" w:rsidRPr="00A03612" w:rsidTr="00303E01">
        <w:trPr>
          <w:trHeight w:hRule="exact" w:val="403"/>
        </w:trPr>
        <w:tc>
          <w:tcPr>
            <w:tcW w:w="54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</w:tcBorders>
            <w:shd w:val="clear" w:color="auto" w:fill="FFFFFF" w:themeFill="background1"/>
            <w:vAlign w:val="bottom"/>
          </w:tcPr>
          <w:p w:rsidR="006C093C" w:rsidRPr="00A03612" w:rsidRDefault="006C093C" w:rsidP="00303E0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6C093C" w:rsidRPr="00A03612" w:rsidRDefault="006C093C" w:rsidP="00303E0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C06A36" w:rsidRDefault="00C06A36"/>
    <w:sectPr w:rsidR="00C06A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93C"/>
    <w:rsid w:val="0030744D"/>
    <w:rsid w:val="006C093C"/>
    <w:rsid w:val="00C06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F4C77"/>
  <w15:chartTrackingRefBased/>
  <w15:docId w15:val="{28E46A18-6346-4142-8B51-B5514EB81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93C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V Lombardi</dc:creator>
  <cp:keywords/>
  <dc:description/>
  <cp:lastModifiedBy>Jason V Lombardi</cp:lastModifiedBy>
  <cp:revision>2</cp:revision>
  <dcterms:created xsi:type="dcterms:W3CDTF">2020-02-11T20:50:00Z</dcterms:created>
  <dcterms:modified xsi:type="dcterms:W3CDTF">2020-02-11T20:53:00Z</dcterms:modified>
</cp:coreProperties>
</file>