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33E22" w14:textId="0E8CDCA0" w:rsidR="00733F65" w:rsidRDefault="00733F65" w:rsidP="00733F65">
      <w:pPr>
        <w:jc w:val="center"/>
        <w:rPr>
          <w:b/>
          <w:bCs/>
          <w:sz w:val="20"/>
          <w:szCs w:val="20"/>
        </w:rPr>
      </w:pPr>
      <w:r w:rsidRPr="0069358F">
        <w:rPr>
          <w:b/>
          <w:bCs/>
          <w:sz w:val="20"/>
          <w:szCs w:val="20"/>
        </w:rPr>
        <w:t>Supp</w:t>
      </w:r>
      <w:r w:rsidR="007612D5">
        <w:rPr>
          <w:b/>
          <w:bCs/>
          <w:sz w:val="20"/>
          <w:szCs w:val="20"/>
        </w:rPr>
        <w:t>lementary</w:t>
      </w:r>
      <w:r>
        <w:rPr>
          <w:b/>
          <w:bCs/>
          <w:sz w:val="20"/>
          <w:szCs w:val="20"/>
        </w:rPr>
        <w:t xml:space="preserve"> </w:t>
      </w:r>
      <w:r w:rsidR="007612D5">
        <w:rPr>
          <w:b/>
          <w:bCs/>
          <w:sz w:val="20"/>
          <w:szCs w:val="20"/>
        </w:rPr>
        <w:t>Material</w:t>
      </w:r>
      <w:r>
        <w:rPr>
          <w:b/>
          <w:bCs/>
          <w:sz w:val="20"/>
          <w:szCs w:val="20"/>
        </w:rPr>
        <w:t xml:space="preserve"> - </w:t>
      </w:r>
      <w:r w:rsidR="00925CEE">
        <w:rPr>
          <w:b/>
          <w:bCs/>
          <w:sz w:val="20"/>
          <w:szCs w:val="20"/>
        </w:rPr>
        <w:t>S</w:t>
      </w:r>
      <w:r>
        <w:rPr>
          <w:b/>
          <w:bCs/>
          <w:sz w:val="20"/>
          <w:szCs w:val="20"/>
        </w:rPr>
        <w:t>2</w:t>
      </w:r>
    </w:p>
    <w:p w14:paraId="7683721E" w14:textId="77777777" w:rsidR="00733F65" w:rsidRDefault="00733F65" w:rsidP="00733F65">
      <w:pPr>
        <w:jc w:val="center"/>
        <w:rPr>
          <w:b/>
          <w:bCs/>
          <w:sz w:val="20"/>
          <w:szCs w:val="20"/>
        </w:rPr>
      </w:pPr>
    </w:p>
    <w:p w14:paraId="2BBDEBF3" w14:textId="77777777" w:rsidR="00733F65" w:rsidRDefault="00733F65" w:rsidP="00733F65">
      <w:pPr>
        <w:rPr>
          <w:b/>
          <w:bCs/>
          <w:sz w:val="20"/>
          <w:szCs w:val="20"/>
        </w:rPr>
      </w:pPr>
    </w:p>
    <w:p w14:paraId="30119747" w14:textId="77777777" w:rsidR="00733F65" w:rsidRDefault="00733F65" w:rsidP="00733F65">
      <w:pPr>
        <w:spacing w:line="480" w:lineRule="auto"/>
        <w:rPr>
          <w:b/>
          <w:bCs/>
          <w:sz w:val="20"/>
          <w:szCs w:val="20"/>
        </w:rPr>
      </w:pPr>
      <w:r>
        <w:rPr>
          <w:b/>
          <w:bCs/>
          <w:sz w:val="20"/>
          <w:szCs w:val="20"/>
        </w:rPr>
        <w:t xml:space="preserve">Title: </w:t>
      </w:r>
      <w:r w:rsidRPr="0069358F">
        <w:rPr>
          <w:b/>
          <w:bCs/>
          <w:sz w:val="20"/>
          <w:szCs w:val="20"/>
        </w:rPr>
        <w:t>Mechanisms driving variation in American marten winter rest site use across the Western Great Lakes Region</w:t>
      </w:r>
    </w:p>
    <w:p w14:paraId="2DE55C01" w14:textId="77777777" w:rsidR="00733F65" w:rsidRPr="0069358F" w:rsidRDefault="00733F65" w:rsidP="00733F65">
      <w:pPr>
        <w:spacing w:line="480" w:lineRule="auto"/>
        <w:rPr>
          <w:b/>
          <w:bCs/>
          <w:sz w:val="20"/>
          <w:szCs w:val="20"/>
        </w:rPr>
      </w:pPr>
      <w:r>
        <w:rPr>
          <w:b/>
          <w:bCs/>
          <w:sz w:val="20"/>
          <w:szCs w:val="20"/>
        </w:rPr>
        <w:t>Journal: Mammal Research</w:t>
      </w:r>
    </w:p>
    <w:p w14:paraId="53076AB4" w14:textId="77777777" w:rsidR="00733F65" w:rsidRPr="0069358F" w:rsidRDefault="00733F65" w:rsidP="00733F65">
      <w:pPr>
        <w:spacing w:line="480" w:lineRule="auto"/>
        <w:rPr>
          <w:b/>
          <w:bCs/>
          <w:sz w:val="20"/>
          <w:szCs w:val="20"/>
        </w:rPr>
      </w:pPr>
    </w:p>
    <w:p w14:paraId="52CFC304" w14:textId="77777777" w:rsidR="003E3205" w:rsidRPr="00AC00A2" w:rsidRDefault="003E3205" w:rsidP="003E3205">
      <w:pPr>
        <w:spacing w:line="480" w:lineRule="auto"/>
        <w:rPr>
          <w:iCs/>
          <w:sz w:val="20"/>
          <w:szCs w:val="20"/>
        </w:rPr>
      </w:pPr>
      <w:r w:rsidRPr="0069358F">
        <w:rPr>
          <w:b/>
          <w:i/>
          <w:iCs/>
          <w:sz w:val="20"/>
          <w:szCs w:val="20"/>
        </w:rPr>
        <w:t>Corresponding Author:</w:t>
      </w:r>
      <w:r w:rsidRPr="0069358F">
        <w:rPr>
          <w:sz w:val="20"/>
          <w:szCs w:val="20"/>
        </w:rPr>
        <w:t xml:space="preserve"> Taylor B. Velander, Natural Resources Research Institute, </w:t>
      </w:r>
      <w:r>
        <w:rPr>
          <w:sz w:val="20"/>
          <w:szCs w:val="20"/>
        </w:rPr>
        <w:t xml:space="preserve">Forest and Land Research </w:t>
      </w:r>
      <w:r>
        <w:rPr>
          <w:sz w:val="20"/>
          <w:szCs w:val="20"/>
        </w:rPr>
        <w:tab/>
        <w:t xml:space="preserve">Group, </w:t>
      </w:r>
      <w:r w:rsidRPr="0069358F">
        <w:rPr>
          <w:iCs/>
          <w:sz w:val="20"/>
          <w:szCs w:val="20"/>
        </w:rPr>
        <w:t xml:space="preserve">Duluth, </w:t>
      </w:r>
      <w:r>
        <w:rPr>
          <w:iCs/>
          <w:sz w:val="20"/>
          <w:szCs w:val="20"/>
        </w:rPr>
        <w:t xml:space="preserve">Minnesota, </w:t>
      </w:r>
      <w:r w:rsidRPr="0069358F">
        <w:rPr>
          <w:iCs/>
          <w:sz w:val="20"/>
          <w:szCs w:val="20"/>
        </w:rPr>
        <w:t xml:space="preserve">USA. </w:t>
      </w:r>
      <w:r w:rsidRPr="00685359">
        <w:rPr>
          <w:b/>
          <w:bCs/>
          <w:iCs/>
          <w:sz w:val="20"/>
          <w:szCs w:val="20"/>
        </w:rPr>
        <w:t>Email:</w:t>
      </w:r>
      <w:r w:rsidRPr="00685359">
        <w:rPr>
          <w:b/>
          <w:bCs/>
          <w:sz w:val="20"/>
          <w:szCs w:val="20"/>
        </w:rPr>
        <w:t xml:space="preserve"> velan018@d.umn.edu</w:t>
      </w:r>
    </w:p>
    <w:p w14:paraId="07796412" w14:textId="365EE395" w:rsidR="003E3205" w:rsidRPr="00856842" w:rsidRDefault="003E3205" w:rsidP="003E3205">
      <w:pPr>
        <w:spacing w:line="480" w:lineRule="auto"/>
        <w:rPr>
          <w:iCs/>
          <w:sz w:val="20"/>
          <w:szCs w:val="20"/>
        </w:rPr>
      </w:pPr>
      <w:r w:rsidRPr="0069358F">
        <w:rPr>
          <w:sz w:val="20"/>
          <w:szCs w:val="20"/>
        </w:rPr>
        <w:t xml:space="preserve">Ron A. Moen, Natural Resources Research Institute, </w:t>
      </w:r>
      <w:r>
        <w:rPr>
          <w:sz w:val="20"/>
          <w:szCs w:val="20"/>
        </w:rPr>
        <w:t>Forest and Land Research Group</w:t>
      </w:r>
      <w:r>
        <w:rPr>
          <w:iCs/>
          <w:sz w:val="20"/>
          <w:szCs w:val="20"/>
        </w:rPr>
        <w:t xml:space="preserve">, </w:t>
      </w:r>
      <w:r w:rsidRPr="0069358F">
        <w:rPr>
          <w:iCs/>
          <w:sz w:val="20"/>
          <w:szCs w:val="20"/>
        </w:rPr>
        <w:t>Duluth, Minnesota, USA</w:t>
      </w:r>
      <w:r>
        <w:rPr>
          <w:iCs/>
          <w:sz w:val="20"/>
          <w:szCs w:val="20"/>
        </w:rPr>
        <w:t xml:space="preserve"> </w:t>
      </w:r>
      <w:proofErr w:type="gramStart"/>
      <w:r>
        <w:rPr>
          <w:iCs/>
          <w:sz w:val="20"/>
          <w:szCs w:val="20"/>
        </w:rPr>
        <w:t xml:space="preserve">&amp; </w:t>
      </w:r>
      <w:r>
        <w:rPr>
          <w:iCs/>
          <w:sz w:val="20"/>
          <w:szCs w:val="20"/>
        </w:rPr>
        <w:tab/>
        <w:t>University</w:t>
      </w:r>
      <w:proofErr w:type="gramEnd"/>
      <w:r>
        <w:rPr>
          <w:iCs/>
          <w:sz w:val="20"/>
          <w:szCs w:val="20"/>
        </w:rPr>
        <w:t xml:space="preserve"> of Minnesota-Duluth, Department of Biology, Duluth, MN, USA</w:t>
      </w:r>
    </w:p>
    <w:p w14:paraId="5700C46E" w14:textId="77777777" w:rsidR="003E3205" w:rsidRPr="006725AF" w:rsidRDefault="003E3205" w:rsidP="003E3205">
      <w:pPr>
        <w:spacing w:line="480" w:lineRule="auto"/>
        <w:rPr>
          <w:iCs/>
          <w:sz w:val="20"/>
          <w:szCs w:val="20"/>
        </w:rPr>
      </w:pPr>
      <w:r w:rsidRPr="006725AF">
        <w:rPr>
          <w:sz w:val="20"/>
          <w:szCs w:val="20"/>
        </w:rPr>
        <w:t xml:space="preserve">Angela M Kujawa, </w:t>
      </w:r>
      <w:r w:rsidRPr="006725AF">
        <w:rPr>
          <w:iCs/>
          <w:sz w:val="20"/>
          <w:szCs w:val="20"/>
        </w:rPr>
        <w:t>Little River Band of Ottawa Indians, Natural Resources Department, Manistee, Michigan, USA</w:t>
      </w:r>
    </w:p>
    <w:p w14:paraId="537C8B26" w14:textId="77777777" w:rsidR="003E3205" w:rsidRPr="0069358F" w:rsidRDefault="003E3205" w:rsidP="003E3205">
      <w:pPr>
        <w:spacing w:line="480" w:lineRule="auto"/>
        <w:rPr>
          <w:sz w:val="20"/>
          <w:szCs w:val="20"/>
        </w:rPr>
      </w:pPr>
      <w:r w:rsidRPr="006725AF">
        <w:rPr>
          <w:sz w:val="20"/>
          <w:szCs w:val="20"/>
        </w:rPr>
        <w:t xml:space="preserve">Robert L. Sanders, </w:t>
      </w:r>
      <w:r w:rsidRPr="006725AF">
        <w:rPr>
          <w:iCs/>
          <w:sz w:val="20"/>
          <w:szCs w:val="20"/>
        </w:rPr>
        <w:t>Little River Band of Ottawa Indians, Natural Resources Department, Manistee, Michigan, USA</w:t>
      </w:r>
    </w:p>
    <w:p w14:paraId="6BF30CD0" w14:textId="77777777" w:rsidR="003E3205" w:rsidRPr="0069358F" w:rsidRDefault="003E3205" w:rsidP="003E3205">
      <w:pPr>
        <w:spacing w:line="480" w:lineRule="auto"/>
        <w:rPr>
          <w:iCs/>
          <w:sz w:val="20"/>
          <w:szCs w:val="20"/>
        </w:rPr>
      </w:pPr>
      <w:r w:rsidRPr="0069358F">
        <w:rPr>
          <w:sz w:val="20"/>
          <w:szCs w:val="20"/>
        </w:rPr>
        <w:t xml:space="preserve">Paul W. </w:t>
      </w:r>
      <w:proofErr w:type="spellStart"/>
      <w:r w:rsidRPr="0069358F">
        <w:rPr>
          <w:sz w:val="20"/>
          <w:szCs w:val="20"/>
        </w:rPr>
        <w:t>Keenlance</w:t>
      </w:r>
      <w:proofErr w:type="spellEnd"/>
      <w:r w:rsidRPr="0069358F">
        <w:rPr>
          <w:sz w:val="20"/>
          <w:szCs w:val="20"/>
        </w:rPr>
        <w:t xml:space="preserve">, </w:t>
      </w:r>
      <w:r w:rsidRPr="0069358F">
        <w:rPr>
          <w:iCs/>
          <w:sz w:val="20"/>
          <w:szCs w:val="20"/>
        </w:rPr>
        <w:t>Grand Valley State University, Biology Department, Allendale, Michigan, USA</w:t>
      </w:r>
    </w:p>
    <w:p w14:paraId="663F89DC" w14:textId="77777777" w:rsidR="003E3205" w:rsidRPr="0069358F" w:rsidRDefault="003E3205" w:rsidP="003E3205">
      <w:pPr>
        <w:spacing w:line="480" w:lineRule="auto"/>
        <w:rPr>
          <w:iCs/>
          <w:sz w:val="20"/>
          <w:szCs w:val="20"/>
        </w:rPr>
      </w:pPr>
      <w:r w:rsidRPr="0069358F">
        <w:rPr>
          <w:iCs/>
          <w:sz w:val="20"/>
          <w:szCs w:val="20"/>
        </w:rPr>
        <w:t>John Erb, Minnesota Department of Natural Resources</w:t>
      </w:r>
      <w:r>
        <w:rPr>
          <w:iCs/>
          <w:sz w:val="20"/>
          <w:szCs w:val="20"/>
        </w:rPr>
        <w:t xml:space="preserve">, </w:t>
      </w:r>
      <w:r w:rsidRPr="0069358F">
        <w:rPr>
          <w:iCs/>
          <w:sz w:val="20"/>
          <w:szCs w:val="20"/>
        </w:rPr>
        <w:t xml:space="preserve">Forest Wildlife Populations and Research Group, Grand </w:t>
      </w:r>
      <w:r>
        <w:rPr>
          <w:iCs/>
          <w:sz w:val="20"/>
          <w:szCs w:val="20"/>
        </w:rPr>
        <w:tab/>
      </w:r>
      <w:r w:rsidRPr="0069358F">
        <w:rPr>
          <w:iCs/>
          <w:sz w:val="20"/>
          <w:szCs w:val="20"/>
        </w:rPr>
        <w:t>Rapids, Minnesota, USA</w:t>
      </w:r>
    </w:p>
    <w:p w14:paraId="2E98B855" w14:textId="77777777" w:rsidR="003E3205" w:rsidRDefault="003E3205" w:rsidP="003E3205">
      <w:pPr>
        <w:spacing w:line="480" w:lineRule="auto"/>
        <w:rPr>
          <w:iCs/>
          <w:sz w:val="20"/>
          <w:szCs w:val="20"/>
        </w:rPr>
      </w:pPr>
      <w:r w:rsidRPr="0069358F">
        <w:rPr>
          <w:sz w:val="20"/>
          <w:szCs w:val="20"/>
        </w:rPr>
        <w:t>Michael J. Joyce, Natural Resources Research Institute,</w:t>
      </w:r>
      <w:r>
        <w:rPr>
          <w:sz w:val="20"/>
          <w:szCs w:val="20"/>
        </w:rPr>
        <w:t xml:space="preserve"> Forest and Land Research Group,</w:t>
      </w:r>
      <w:r w:rsidRPr="0069358F">
        <w:rPr>
          <w:sz w:val="20"/>
          <w:szCs w:val="20"/>
        </w:rPr>
        <w:t xml:space="preserve"> </w:t>
      </w:r>
      <w:r w:rsidRPr="0069358F">
        <w:rPr>
          <w:iCs/>
          <w:sz w:val="20"/>
          <w:szCs w:val="20"/>
        </w:rPr>
        <w:t>Duluth</w:t>
      </w:r>
      <w:r>
        <w:rPr>
          <w:iCs/>
          <w:sz w:val="20"/>
          <w:szCs w:val="20"/>
        </w:rPr>
        <w:t>,</w:t>
      </w:r>
      <w:r w:rsidRPr="0069358F">
        <w:rPr>
          <w:iCs/>
          <w:sz w:val="20"/>
          <w:szCs w:val="20"/>
        </w:rPr>
        <w:t xml:space="preserve"> Minnesota, USA</w:t>
      </w:r>
    </w:p>
    <w:p w14:paraId="23396634" w14:textId="77777777" w:rsidR="00326921" w:rsidRDefault="00326921"/>
    <w:p w14:paraId="3C3778D0" w14:textId="77777777" w:rsidR="00733F65" w:rsidRDefault="00733F65"/>
    <w:p w14:paraId="12B9C071" w14:textId="61354C39" w:rsidR="00733F65" w:rsidRPr="0020778F" w:rsidRDefault="00733F65" w:rsidP="00733F65">
      <w:pPr>
        <w:rPr>
          <w:b/>
          <w:bCs/>
          <w:sz w:val="20"/>
          <w:szCs w:val="20"/>
        </w:rPr>
      </w:pPr>
      <w:r w:rsidRPr="0020778F">
        <w:rPr>
          <w:b/>
          <w:bCs/>
          <w:sz w:val="20"/>
          <w:szCs w:val="20"/>
        </w:rPr>
        <w:t xml:space="preserve">Introduction/Methods </w:t>
      </w:r>
    </w:p>
    <w:p w14:paraId="1C4341C1" w14:textId="305C5F23" w:rsidR="00EC6471" w:rsidRPr="00EC6471" w:rsidRDefault="00733F65" w:rsidP="003E3205">
      <w:pPr>
        <w:spacing w:line="480" w:lineRule="auto"/>
        <w:rPr>
          <w:sz w:val="20"/>
          <w:szCs w:val="20"/>
        </w:rPr>
      </w:pPr>
      <w:bookmarkStart w:id="0" w:name="_Hlk217378093"/>
      <w:r w:rsidRPr="0069358F">
        <w:rPr>
          <w:sz w:val="20"/>
          <w:szCs w:val="20"/>
        </w:rPr>
        <w:t>We used</w:t>
      </w:r>
      <w:r>
        <w:rPr>
          <w:sz w:val="20"/>
          <w:szCs w:val="20"/>
        </w:rPr>
        <w:t xml:space="preserve"> a</w:t>
      </w:r>
      <w:r w:rsidRPr="0069358F">
        <w:rPr>
          <w:sz w:val="20"/>
          <w:szCs w:val="20"/>
        </w:rPr>
        <w:t xml:space="preserve"> </w:t>
      </w:r>
      <w:r>
        <w:rPr>
          <w:sz w:val="20"/>
          <w:szCs w:val="20"/>
        </w:rPr>
        <w:t xml:space="preserve">linear mixed effect model </w:t>
      </w:r>
      <w:r w:rsidRPr="0069358F">
        <w:rPr>
          <w:sz w:val="20"/>
          <w:szCs w:val="20"/>
        </w:rPr>
        <w:t>to assess the relationship between average daily microsite temperature and ambient temperature and to test whether th</w:t>
      </w:r>
      <w:r>
        <w:rPr>
          <w:sz w:val="20"/>
          <w:szCs w:val="20"/>
        </w:rPr>
        <w:t>is</w:t>
      </w:r>
      <w:r w:rsidRPr="0069358F">
        <w:rPr>
          <w:sz w:val="20"/>
          <w:szCs w:val="20"/>
        </w:rPr>
        <w:t xml:space="preserve"> relationship differed </w:t>
      </w:r>
      <w:r>
        <w:rPr>
          <w:sz w:val="20"/>
          <w:szCs w:val="20"/>
        </w:rPr>
        <w:t>across ground</w:t>
      </w:r>
      <w:r w:rsidRPr="0069358F">
        <w:rPr>
          <w:sz w:val="20"/>
          <w:szCs w:val="20"/>
        </w:rPr>
        <w:t xml:space="preserve"> and tree cavity microsites</w:t>
      </w:r>
      <w:r>
        <w:rPr>
          <w:sz w:val="20"/>
          <w:szCs w:val="20"/>
        </w:rPr>
        <w:t xml:space="preserve"> during periods of snowpack.</w:t>
      </w:r>
      <w:bookmarkEnd w:id="0"/>
      <w:r>
        <w:rPr>
          <w:sz w:val="20"/>
          <w:szCs w:val="20"/>
        </w:rPr>
        <w:t xml:space="preserve"> Fixed effects included ambient temperature as a continuous covariate, </w:t>
      </w:r>
      <w:r w:rsidR="00EC4415">
        <w:rPr>
          <w:sz w:val="20"/>
          <w:szCs w:val="20"/>
        </w:rPr>
        <w:t>micro</w:t>
      </w:r>
      <w:r>
        <w:rPr>
          <w:sz w:val="20"/>
          <w:szCs w:val="20"/>
        </w:rPr>
        <w:t>site type (ground or tree cavity) as a categorical covariate, and their two-way interaction. The analysis was performed in R (</w:t>
      </w:r>
      <w:r w:rsidR="0020778F" w:rsidRPr="0069358F">
        <w:rPr>
          <w:sz w:val="20"/>
          <w:szCs w:val="20"/>
        </w:rPr>
        <w:t xml:space="preserve">R Core Team 2021; </w:t>
      </w:r>
      <w:r w:rsidR="0020778F" w:rsidRPr="0020778F">
        <w:rPr>
          <w:sz w:val="20"/>
          <w:szCs w:val="20"/>
        </w:rPr>
        <w:t>Version 4.1.1</w:t>
      </w:r>
      <w:r w:rsidRPr="0020778F">
        <w:rPr>
          <w:sz w:val="20"/>
          <w:szCs w:val="20"/>
        </w:rPr>
        <w:t>)</w:t>
      </w:r>
      <w:r>
        <w:rPr>
          <w:sz w:val="20"/>
          <w:szCs w:val="20"/>
        </w:rPr>
        <w:t xml:space="preserve"> using the package ‘</w:t>
      </w:r>
      <w:proofErr w:type="spellStart"/>
      <w:r>
        <w:rPr>
          <w:sz w:val="20"/>
          <w:szCs w:val="20"/>
        </w:rPr>
        <w:t>nlme</w:t>
      </w:r>
      <w:proofErr w:type="spellEnd"/>
      <w:r>
        <w:rPr>
          <w:sz w:val="20"/>
          <w:szCs w:val="20"/>
        </w:rPr>
        <w:t>’ (</w:t>
      </w:r>
      <w:r w:rsidR="0020778F">
        <w:rPr>
          <w:sz w:val="20"/>
          <w:szCs w:val="20"/>
        </w:rPr>
        <w:t>Pinheiro et al. 2025</w:t>
      </w:r>
      <w:r>
        <w:rPr>
          <w:sz w:val="20"/>
          <w:szCs w:val="20"/>
        </w:rPr>
        <w:t xml:space="preserve">). The model controlled for two types of correlation. First, temporal autocorrelation was controlled by fitting residuals continuous time </w:t>
      </w:r>
      <w:proofErr w:type="gramStart"/>
      <w:r>
        <w:rPr>
          <w:sz w:val="20"/>
          <w:szCs w:val="20"/>
        </w:rPr>
        <w:t>AR(</w:t>
      </w:r>
      <w:proofErr w:type="gramEnd"/>
      <w:r>
        <w:rPr>
          <w:sz w:val="20"/>
          <w:szCs w:val="20"/>
        </w:rPr>
        <w:t xml:space="preserve">1) autocorrelation structure (corCAR1), which models the decay of correlation between measurements as a function of the time difference between them. Second, the model explicitly controlled for spatial dependency using nested random intercepts for each site and for sites within the same forest stand. This structure accounted for the variance associated with site heterogeneity and the spatial clustering caused by ground sites being within the same stands. </w:t>
      </w:r>
      <w:r w:rsidR="0020778F" w:rsidRPr="004D6D23">
        <w:rPr>
          <w:sz w:val="20"/>
          <w:szCs w:val="20"/>
        </w:rPr>
        <w:t xml:space="preserve">Preliminary results showed </w:t>
      </w:r>
      <w:r w:rsidR="0020778F" w:rsidRPr="008923CD">
        <w:rPr>
          <w:sz w:val="20"/>
          <w:szCs w:val="20"/>
        </w:rPr>
        <w:t>a</w:t>
      </w:r>
      <w:r w:rsidR="0020778F">
        <w:rPr>
          <w:sz w:val="20"/>
          <w:szCs w:val="20"/>
        </w:rPr>
        <w:t xml:space="preserve"> continuous </w:t>
      </w:r>
      <w:r w:rsidR="0020778F" w:rsidRPr="004D6D23">
        <w:rPr>
          <w:sz w:val="20"/>
          <w:szCs w:val="20"/>
        </w:rPr>
        <w:t xml:space="preserve">autoregressive coefficient (Phi(Φ)) of </w:t>
      </w:r>
      <w:r w:rsidR="00797B98">
        <w:rPr>
          <w:sz w:val="20"/>
          <w:szCs w:val="20"/>
        </w:rPr>
        <w:t>0.67</w:t>
      </w:r>
      <w:r w:rsidR="0020778F" w:rsidRPr="004D6D23">
        <w:rPr>
          <w:sz w:val="20"/>
          <w:szCs w:val="20"/>
        </w:rPr>
        <w:t xml:space="preserve">, indicating high temporal </w:t>
      </w:r>
      <w:r w:rsidR="0020778F" w:rsidRPr="004D6D23">
        <w:rPr>
          <w:sz w:val="20"/>
          <w:szCs w:val="20"/>
        </w:rPr>
        <w:lastRenderedPageBreak/>
        <w:t>autocorrelation.</w:t>
      </w:r>
      <w:r w:rsidR="0020778F">
        <w:rPr>
          <w:sz w:val="20"/>
          <w:szCs w:val="20"/>
        </w:rPr>
        <w:t xml:space="preserve"> </w:t>
      </w:r>
      <w:r>
        <w:rPr>
          <w:sz w:val="20"/>
          <w:szCs w:val="20"/>
        </w:rPr>
        <w:t>We performed a post-hoc pairwise comparison on the estimated marginal slopes and intercepts</w:t>
      </w:r>
      <w:r w:rsidR="00EC6471">
        <w:rPr>
          <w:sz w:val="20"/>
          <w:szCs w:val="20"/>
        </w:rPr>
        <w:t xml:space="preserve"> (the intercept when ambient temperature is zero)</w:t>
      </w:r>
      <w:r>
        <w:rPr>
          <w:sz w:val="20"/>
          <w:szCs w:val="20"/>
        </w:rPr>
        <w:t xml:space="preserve"> of the relationship between site type and ambient temperature across both study areas using the package ‘</w:t>
      </w:r>
      <w:proofErr w:type="spellStart"/>
      <w:r>
        <w:rPr>
          <w:sz w:val="20"/>
          <w:szCs w:val="20"/>
        </w:rPr>
        <w:t>emmeans</w:t>
      </w:r>
      <w:proofErr w:type="spellEnd"/>
      <w:r>
        <w:rPr>
          <w:sz w:val="20"/>
          <w:szCs w:val="20"/>
        </w:rPr>
        <w:t>’ (</w:t>
      </w:r>
      <w:bookmarkStart w:id="1" w:name="_Hlk217301407"/>
      <w:r w:rsidR="0020778F">
        <w:rPr>
          <w:sz w:val="20"/>
          <w:szCs w:val="20"/>
        </w:rPr>
        <w:t>Lenth</w:t>
      </w:r>
      <w:r w:rsidR="00442AE8" w:rsidRPr="00442AE8">
        <w:rPr>
          <w:sz w:val="20"/>
          <w:szCs w:val="20"/>
        </w:rPr>
        <w:t xml:space="preserve"> </w:t>
      </w:r>
      <w:r w:rsidR="00442AE8">
        <w:rPr>
          <w:sz w:val="20"/>
          <w:szCs w:val="20"/>
        </w:rPr>
        <w:t>and</w:t>
      </w:r>
      <w:r w:rsidR="00442AE8" w:rsidRPr="0020778F">
        <w:rPr>
          <w:sz w:val="20"/>
          <w:szCs w:val="20"/>
        </w:rPr>
        <w:t xml:space="preserve"> Piaskowski</w:t>
      </w:r>
      <w:r w:rsidR="0020778F">
        <w:rPr>
          <w:sz w:val="20"/>
          <w:szCs w:val="20"/>
        </w:rPr>
        <w:t xml:space="preserve"> 2025</w:t>
      </w:r>
      <w:bookmarkEnd w:id="1"/>
      <w:r>
        <w:rPr>
          <w:sz w:val="20"/>
          <w:szCs w:val="20"/>
        </w:rPr>
        <w:t xml:space="preserve">). </w:t>
      </w:r>
      <w:r w:rsidRPr="00733F65">
        <w:rPr>
          <w:sz w:val="20"/>
          <w:szCs w:val="20"/>
        </w:rPr>
        <w:t xml:space="preserve">For this </w:t>
      </w:r>
      <w:r>
        <w:rPr>
          <w:sz w:val="20"/>
          <w:szCs w:val="20"/>
        </w:rPr>
        <w:t>analysis</w:t>
      </w:r>
      <w:r w:rsidRPr="00733F65">
        <w:rPr>
          <w:sz w:val="20"/>
          <w:szCs w:val="20"/>
        </w:rPr>
        <w:t>, we combined data from both study areas for each microsite type</w:t>
      </w:r>
      <w:r>
        <w:rPr>
          <w:sz w:val="20"/>
          <w:szCs w:val="20"/>
        </w:rPr>
        <w:t xml:space="preserve">. </w:t>
      </w:r>
      <w:r w:rsidR="00EC6471" w:rsidRPr="0069358F">
        <w:rPr>
          <w:sz w:val="20"/>
          <w:szCs w:val="20"/>
        </w:rPr>
        <w:t xml:space="preserve">We assessed assumptions of normality and equal variance using </w:t>
      </w:r>
      <w:r w:rsidR="00EC6471">
        <w:rPr>
          <w:sz w:val="20"/>
          <w:szCs w:val="20"/>
        </w:rPr>
        <w:t xml:space="preserve">normalized residuals and </w:t>
      </w:r>
      <w:r w:rsidR="00EC6471" w:rsidRPr="0069358F">
        <w:rPr>
          <w:sz w:val="20"/>
          <w:szCs w:val="20"/>
        </w:rPr>
        <w:t xml:space="preserve">standard diagnostic plots (quantile-quantile plots, plots of residuals </w:t>
      </w:r>
      <w:r w:rsidR="00EC6471">
        <w:rPr>
          <w:sz w:val="20"/>
          <w:szCs w:val="20"/>
        </w:rPr>
        <w:t>versus</w:t>
      </w:r>
      <w:r w:rsidR="00EC6471" w:rsidRPr="0069358F">
        <w:rPr>
          <w:sz w:val="20"/>
          <w:szCs w:val="20"/>
        </w:rPr>
        <w:t xml:space="preserve"> predictor variables, and scale location plots).</w:t>
      </w:r>
    </w:p>
    <w:p w14:paraId="440AE2B8" w14:textId="77777777" w:rsidR="00733F65" w:rsidRDefault="00733F65"/>
    <w:p w14:paraId="0B43E4C2" w14:textId="120599DF" w:rsidR="00733F65" w:rsidRPr="003E3205" w:rsidRDefault="00733F65">
      <w:pPr>
        <w:rPr>
          <w:b/>
          <w:bCs/>
          <w:sz w:val="20"/>
          <w:szCs w:val="20"/>
        </w:rPr>
      </w:pPr>
      <w:r w:rsidRPr="003E3205">
        <w:rPr>
          <w:b/>
          <w:bCs/>
          <w:sz w:val="20"/>
          <w:szCs w:val="20"/>
        </w:rPr>
        <w:t>Results</w:t>
      </w:r>
    </w:p>
    <w:p w14:paraId="60AC3ED5" w14:textId="4485BD54" w:rsidR="0020778F" w:rsidRDefault="00797B98" w:rsidP="00797B98">
      <w:pPr>
        <w:spacing w:line="480" w:lineRule="auto"/>
        <w:rPr>
          <w:sz w:val="20"/>
          <w:szCs w:val="20"/>
        </w:rPr>
      </w:pPr>
      <w:r w:rsidRPr="00797B98">
        <w:rPr>
          <w:sz w:val="20"/>
          <w:szCs w:val="20"/>
        </w:rPr>
        <w:t>There were significant main effects of ambient temperature (</w:t>
      </w:r>
      <w:r w:rsidR="008B3F8F">
        <w:rPr>
          <w:sz w:val="20"/>
          <w:szCs w:val="20"/>
        </w:rPr>
        <w:t xml:space="preserve">β = 0.75, t = 159.9, </w:t>
      </w:r>
      <w:proofErr w:type="spellStart"/>
      <w:r w:rsidR="008B3F8F">
        <w:rPr>
          <w:sz w:val="20"/>
          <w:szCs w:val="20"/>
        </w:rPr>
        <w:t>df</w:t>
      </w:r>
      <w:proofErr w:type="spellEnd"/>
      <w:r w:rsidR="008B3F8F">
        <w:rPr>
          <w:sz w:val="20"/>
          <w:szCs w:val="20"/>
        </w:rPr>
        <w:t xml:space="preserve"> = 8272, P &lt; 0.001</w:t>
      </w:r>
      <w:r w:rsidR="00314EDC">
        <w:rPr>
          <w:sz w:val="20"/>
          <w:szCs w:val="20"/>
        </w:rPr>
        <w:t>; Table S2-1</w:t>
      </w:r>
      <w:r w:rsidR="00186365">
        <w:rPr>
          <w:sz w:val="20"/>
          <w:szCs w:val="20"/>
        </w:rPr>
        <w:t xml:space="preserve"> and S2-2</w:t>
      </w:r>
      <w:r w:rsidRPr="00797B98">
        <w:rPr>
          <w:sz w:val="20"/>
          <w:szCs w:val="20"/>
        </w:rPr>
        <w:t>) and a significant interaction between microsite type and ambient temperature (</w:t>
      </w:r>
      <w:r w:rsidR="008B3F8F">
        <w:rPr>
          <w:sz w:val="20"/>
          <w:szCs w:val="20"/>
        </w:rPr>
        <w:t xml:space="preserve">β = -0.60, t = -92.1, </w:t>
      </w:r>
      <w:proofErr w:type="spellStart"/>
      <w:r w:rsidR="008B3F8F">
        <w:rPr>
          <w:sz w:val="20"/>
          <w:szCs w:val="20"/>
        </w:rPr>
        <w:t>df</w:t>
      </w:r>
      <w:proofErr w:type="spellEnd"/>
      <w:r w:rsidR="008B3F8F">
        <w:rPr>
          <w:sz w:val="20"/>
          <w:szCs w:val="20"/>
        </w:rPr>
        <w:t xml:space="preserve"> = 8272, P &lt; 0.001</w:t>
      </w:r>
      <w:r w:rsidRPr="00797B98">
        <w:rPr>
          <w:sz w:val="20"/>
          <w:szCs w:val="20"/>
        </w:rPr>
        <w:t>)</w:t>
      </w:r>
      <w:r w:rsidR="00B90985">
        <w:rPr>
          <w:sz w:val="20"/>
          <w:szCs w:val="20"/>
        </w:rPr>
        <w:t xml:space="preserve"> (Table S2-1)</w:t>
      </w:r>
      <w:r w:rsidRPr="00797B98">
        <w:rPr>
          <w:sz w:val="20"/>
          <w:szCs w:val="20"/>
        </w:rPr>
        <w:t xml:space="preserve">. </w:t>
      </w:r>
      <w:r w:rsidR="008B3F8F">
        <w:rPr>
          <w:sz w:val="20"/>
          <w:szCs w:val="20"/>
        </w:rPr>
        <w:t xml:space="preserve">When ambient temperature </w:t>
      </w:r>
      <w:r w:rsidR="00B90985">
        <w:rPr>
          <w:sz w:val="20"/>
          <w:szCs w:val="20"/>
        </w:rPr>
        <w:t xml:space="preserve">was 0 </w:t>
      </w:r>
      <w:r w:rsidR="008B3F8F">
        <w:rPr>
          <w:sz w:val="20"/>
          <w:szCs w:val="20"/>
        </w:rPr>
        <w:t xml:space="preserve">C, ground microsites were significantly warmer than tree cavities </w:t>
      </w:r>
      <w:r w:rsidR="008B3F8F" w:rsidRPr="00797B98">
        <w:rPr>
          <w:sz w:val="20"/>
          <w:szCs w:val="20"/>
        </w:rPr>
        <w:t>(</w:t>
      </w:r>
      <w:r w:rsidR="008B3F8F">
        <w:rPr>
          <w:sz w:val="20"/>
          <w:szCs w:val="20"/>
        </w:rPr>
        <w:t xml:space="preserve">β = 1.3, t = 5.4, </w:t>
      </w:r>
      <w:proofErr w:type="spellStart"/>
      <w:r w:rsidR="008B3F8F">
        <w:rPr>
          <w:sz w:val="20"/>
          <w:szCs w:val="20"/>
        </w:rPr>
        <w:t>df</w:t>
      </w:r>
      <w:proofErr w:type="spellEnd"/>
      <w:r w:rsidR="008B3F8F">
        <w:rPr>
          <w:sz w:val="20"/>
          <w:szCs w:val="20"/>
        </w:rPr>
        <w:t xml:space="preserve"> = 46, P &lt; 0.001</w:t>
      </w:r>
      <w:r w:rsidR="008B3F8F" w:rsidRPr="00797B98">
        <w:rPr>
          <w:sz w:val="20"/>
          <w:szCs w:val="20"/>
        </w:rPr>
        <w:t>)</w:t>
      </w:r>
      <w:r w:rsidR="008B3F8F">
        <w:rPr>
          <w:sz w:val="20"/>
          <w:szCs w:val="20"/>
        </w:rPr>
        <w:t>.</w:t>
      </w:r>
      <w:r w:rsidR="008B3F8F" w:rsidRPr="00797B98">
        <w:rPr>
          <w:sz w:val="20"/>
          <w:szCs w:val="20"/>
        </w:rPr>
        <w:t xml:space="preserve"> </w:t>
      </w:r>
      <w:r w:rsidRPr="00797B98">
        <w:rPr>
          <w:sz w:val="20"/>
          <w:szCs w:val="20"/>
        </w:rPr>
        <w:t>Average daily tree cavity and ground-level temperatures were similar when ambient temperatures were around 0℃ (x = 1.1℃ in Fig. 2). As ambient temperature increased above or decreased below ~0℃, the relative difference between ground-level microsites and tree-cavities increased, where ground-level microsites were warmer when ambient temperatures were below 0℃, and tree cavities were warmer when ambient temperatures were above 0℃</w:t>
      </w:r>
      <w:r w:rsidR="00B90985">
        <w:rPr>
          <w:sz w:val="20"/>
          <w:szCs w:val="20"/>
        </w:rPr>
        <w:t xml:space="preserve"> (Fig. S2-1)</w:t>
      </w:r>
      <w:r w:rsidRPr="00797B98">
        <w:rPr>
          <w:sz w:val="20"/>
          <w:szCs w:val="20"/>
        </w:rPr>
        <w:t>.</w:t>
      </w:r>
    </w:p>
    <w:p w14:paraId="73F202D0" w14:textId="77777777" w:rsidR="00B90985" w:rsidRDefault="00B90985" w:rsidP="00797B98">
      <w:pPr>
        <w:spacing w:line="480" w:lineRule="auto"/>
        <w:rPr>
          <w:sz w:val="20"/>
          <w:szCs w:val="20"/>
        </w:rPr>
      </w:pPr>
    </w:p>
    <w:p w14:paraId="1282E5CB" w14:textId="2DE07755" w:rsidR="00B90985" w:rsidRDefault="00B90985" w:rsidP="00797B98">
      <w:pPr>
        <w:spacing w:line="480" w:lineRule="auto"/>
        <w:rPr>
          <w:sz w:val="20"/>
          <w:szCs w:val="20"/>
        </w:rPr>
      </w:pPr>
      <w:r w:rsidRPr="00EC4415">
        <w:rPr>
          <w:b/>
          <w:bCs/>
          <w:sz w:val="20"/>
          <w:szCs w:val="20"/>
        </w:rPr>
        <w:t>Table S2-1</w:t>
      </w:r>
      <w:r>
        <w:rPr>
          <w:sz w:val="20"/>
          <w:szCs w:val="20"/>
        </w:rPr>
        <w:t xml:space="preserve"> </w:t>
      </w:r>
      <w:r w:rsidR="00EC4415">
        <w:rPr>
          <w:sz w:val="20"/>
          <w:szCs w:val="20"/>
        </w:rPr>
        <w:t xml:space="preserve">Model output of a linear mixed effect model that modeled microsite temperature as a function of ambient temperature, microsite type (ground or tree cavity), and their two-way interaction. The model accounted for temporal autocorrelation and used </w:t>
      </w:r>
      <w:proofErr w:type="gramStart"/>
      <w:r w:rsidR="00EC4415">
        <w:rPr>
          <w:sz w:val="20"/>
          <w:szCs w:val="20"/>
        </w:rPr>
        <w:t>nested random</w:t>
      </w:r>
      <w:proofErr w:type="gramEnd"/>
      <w:r w:rsidR="00EC4415">
        <w:rPr>
          <w:sz w:val="20"/>
          <w:szCs w:val="20"/>
        </w:rPr>
        <w:t xml:space="preserve"> intercepts for each site where microsite temperatures were measured and for sites that were located within the same forest stand.</w:t>
      </w:r>
    </w:p>
    <w:tbl>
      <w:tblPr>
        <w:tblW w:w="7110" w:type="dxa"/>
        <w:tblLook w:val="04A0" w:firstRow="1" w:lastRow="0" w:firstColumn="1" w:lastColumn="0" w:noHBand="0" w:noVBand="1"/>
      </w:tblPr>
      <w:tblGrid>
        <w:gridCol w:w="2610"/>
        <w:gridCol w:w="1450"/>
        <w:gridCol w:w="960"/>
        <w:gridCol w:w="960"/>
        <w:gridCol w:w="1130"/>
      </w:tblGrid>
      <w:tr w:rsidR="00B90985" w14:paraId="393B8154" w14:textId="77777777" w:rsidTr="00B90985">
        <w:trPr>
          <w:trHeight w:val="290"/>
        </w:trPr>
        <w:tc>
          <w:tcPr>
            <w:tcW w:w="2610" w:type="dxa"/>
            <w:tcBorders>
              <w:top w:val="nil"/>
              <w:left w:val="nil"/>
              <w:bottom w:val="single" w:sz="4" w:space="0" w:color="auto"/>
              <w:right w:val="nil"/>
            </w:tcBorders>
            <w:vAlign w:val="center"/>
            <w:hideMark/>
          </w:tcPr>
          <w:p w14:paraId="4321679E" w14:textId="77777777" w:rsidR="00B90985" w:rsidRDefault="00B90985">
            <w:pPr>
              <w:ind w:firstLineChars="100" w:firstLine="201"/>
              <w:rPr>
                <w:b/>
                <w:bCs/>
                <w:color w:val="1F1F1F"/>
                <w:sz w:val="20"/>
                <w:szCs w:val="20"/>
              </w:rPr>
            </w:pPr>
            <w:r>
              <w:rPr>
                <w:b/>
                <w:bCs/>
                <w:color w:val="1F1F1F"/>
                <w:sz w:val="20"/>
                <w:szCs w:val="20"/>
              </w:rPr>
              <w:t>Predictor</w:t>
            </w:r>
          </w:p>
        </w:tc>
        <w:tc>
          <w:tcPr>
            <w:tcW w:w="1450" w:type="dxa"/>
            <w:tcBorders>
              <w:top w:val="nil"/>
              <w:left w:val="nil"/>
              <w:bottom w:val="single" w:sz="4" w:space="0" w:color="auto"/>
              <w:right w:val="nil"/>
            </w:tcBorders>
            <w:vAlign w:val="center"/>
            <w:hideMark/>
          </w:tcPr>
          <w:p w14:paraId="7390F77B" w14:textId="77777777" w:rsidR="00B90985" w:rsidRDefault="00B90985">
            <w:pPr>
              <w:jc w:val="center"/>
              <w:rPr>
                <w:b/>
                <w:bCs/>
                <w:color w:val="1F1F1F"/>
                <w:sz w:val="20"/>
                <w:szCs w:val="20"/>
              </w:rPr>
            </w:pPr>
            <w:r>
              <w:rPr>
                <w:b/>
                <w:bCs/>
                <w:color w:val="1F1F1F"/>
                <w:sz w:val="20"/>
                <w:szCs w:val="20"/>
              </w:rPr>
              <w:t>Estimate (β)</w:t>
            </w:r>
          </w:p>
        </w:tc>
        <w:tc>
          <w:tcPr>
            <w:tcW w:w="960" w:type="dxa"/>
            <w:tcBorders>
              <w:top w:val="nil"/>
              <w:left w:val="nil"/>
              <w:bottom w:val="single" w:sz="4" w:space="0" w:color="auto"/>
              <w:right w:val="nil"/>
            </w:tcBorders>
            <w:vAlign w:val="center"/>
            <w:hideMark/>
          </w:tcPr>
          <w:p w14:paraId="1B7316C8" w14:textId="77777777" w:rsidR="00B90985" w:rsidRDefault="00B90985">
            <w:pPr>
              <w:jc w:val="center"/>
              <w:rPr>
                <w:b/>
                <w:bCs/>
                <w:color w:val="1F1F1F"/>
                <w:sz w:val="20"/>
                <w:szCs w:val="20"/>
              </w:rPr>
            </w:pPr>
            <w:r>
              <w:rPr>
                <w:b/>
                <w:bCs/>
                <w:color w:val="1F1F1F"/>
                <w:sz w:val="20"/>
                <w:szCs w:val="20"/>
              </w:rPr>
              <w:t>DF</w:t>
            </w:r>
          </w:p>
        </w:tc>
        <w:tc>
          <w:tcPr>
            <w:tcW w:w="960" w:type="dxa"/>
            <w:tcBorders>
              <w:top w:val="nil"/>
              <w:left w:val="nil"/>
              <w:bottom w:val="single" w:sz="4" w:space="0" w:color="auto"/>
              <w:right w:val="nil"/>
            </w:tcBorders>
            <w:vAlign w:val="center"/>
            <w:hideMark/>
          </w:tcPr>
          <w:p w14:paraId="293DBC1E" w14:textId="77777777" w:rsidR="00B90985" w:rsidRDefault="00B90985">
            <w:pPr>
              <w:jc w:val="center"/>
              <w:rPr>
                <w:b/>
                <w:bCs/>
                <w:color w:val="1F1F1F"/>
                <w:sz w:val="20"/>
                <w:szCs w:val="20"/>
              </w:rPr>
            </w:pPr>
            <w:r>
              <w:rPr>
                <w:b/>
                <w:bCs/>
                <w:color w:val="1F1F1F"/>
                <w:sz w:val="20"/>
                <w:szCs w:val="20"/>
              </w:rPr>
              <w:t>t-value</w:t>
            </w:r>
          </w:p>
        </w:tc>
        <w:tc>
          <w:tcPr>
            <w:tcW w:w="1130" w:type="dxa"/>
            <w:tcBorders>
              <w:top w:val="nil"/>
              <w:left w:val="nil"/>
              <w:bottom w:val="single" w:sz="4" w:space="0" w:color="auto"/>
              <w:right w:val="nil"/>
            </w:tcBorders>
            <w:vAlign w:val="center"/>
            <w:hideMark/>
          </w:tcPr>
          <w:p w14:paraId="40668CFC" w14:textId="77777777" w:rsidR="00B90985" w:rsidRDefault="00B90985">
            <w:pPr>
              <w:ind w:firstLineChars="100" w:firstLine="201"/>
              <w:rPr>
                <w:b/>
                <w:bCs/>
                <w:color w:val="1F1F1F"/>
                <w:sz w:val="20"/>
                <w:szCs w:val="20"/>
              </w:rPr>
            </w:pPr>
            <w:r>
              <w:rPr>
                <w:b/>
                <w:bCs/>
                <w:color w:val="1F1F1F"/>
                <w:sz w:val="20"/>
                <w:szCs w:val="20"/>
              </w:rPr>
              <w:t>p-value</w:t>
            </w:r>
          </w:p>
        </w:tc>
      </w:tr>
      <w:tr w:rsidR="00B90985" w14:paraId="004BC329" w14:textId="77777777" w:rsidTr="00B90985">
        <w:trPr>
          <w:trHeight w:val="290"/>
        </w:trPr>
        <w:tc>
          <w:tcPr>
            <w:tcW w:w="2610" w:type="dxa"/>
            <w:tcBorders>
              <w:top w:val="nil"/>
              <w:left w:val="nil"/>
              <w:bottom w:val="nil"/>
              <w:right w:val="nil"/>
            </w:tcBorders>
            <w:vAlign w:val="center"/>
            <w:hideMark/>
          </w:tcPr>
          <w:p w14:paraId="3ADD4EEE" w14:textId="77777777" w:rsidR="00B90985" w:rsidRDefault="00B90985" w:rsidP="00B90985">
            <w:pPr>
              <w:rPr>
                <w:b/>
                <w:bCs/>
                <w:color w:val="1F1F1F"/>
                <w:sz w:val="20"/>
                <w:szCs w:val="20"/>
              </w:rPr>
            </w:pPr>
            <w:r>
              <w:rPr>
                <w:b/>
                <w:bCs/>
                <w:color w:val="1F1F1F"/>
                <w:sz w:val="20"/>
                <w:szCs w:val="20"/>
              </w:rPr>
              <w:t>(Intercept)</w:t>
            </w:r>
          </w:p>
        </w:tc>
        <w:tc>
          <w:tcPr>
            <w:tcW w:w="1450" w:type="dxa"/>
            <w:tcBorders>
              <w:top w:val="nil"/>
              <w:left w:val="nil"/>
              <w:bottom w:val="nil"/>
              <w:right w:val="nil"/>
            </w:tcBorders>
            <w:vAlign w:val="center"/>
            <w:hideMark/>
          </w:tcPr>
          <w:p w14:paraId="5729CB03" w14:textId="4C63FE58" w:rsidR="00B90985" w:rsidRDefault="00B90985">
            <w:pPr>
              <w:jc w:val="center"/>
              <w:rPr>
                <w:color w:val="1F1F1F"/>
                <w:sz w:val="20"/>
                <w:szCs w:val="20"/>
              </w:rPr>
            </w:pPr>
            <w:r>
              <w:rPr>
                <w:color w:val="1F1F1F"/>
                <w:sz w:val="20"/>
                <w:szCs w:val="20"/>
              </w:rPr>
              <w:t>-1.1</w:t>
            </w:r>
          </w:p>
        </w:tc>
        <w:tc>
          <w:tcPr>
            <w:tcW w:w="960" w:type="dxa"/>
            <w:tcBorders>
              <w:top w:val="nil"/>
              <w:left w:val="nil"/>
              <w:bottom w:val="nil"/>
              <w:right w:val="nil"/>
            </w:tcBorders>
            <w:vAlign w:val="center"/>
            <w:hideMark/>
          </w:tcPr>
          <w:p w14:paraId="795E2806" w14:textId="77777777" w:rsidR="00B90985" w:rsidRDefault="00B90985">
            <w:pPr>
              <w:jc w:val="center"/>
              <w:rPr>
                <w:color w:val="1F1F1F"/>
                <w:sz w:val="20"/>
                <w:szCs w:val="20"/>
              </w:rPr>
            </w:pPr>
            <w:r>
              <w:rPr>
                <w:color w:val="1F1F1F"/>
                <w:sz w:val="20"/>
                <w:szCs w:val="20"/>
              </w:rPr>
              <w:t>8272</w:t>
            </w:r>
          </w:p>
        </w:tc>
        <w:tc>
          <w:tcPr>
            <w:tcW w:w="960" w:type="dxa"/>
            <w:tcBorders>
              <w:top w:val="nil"/>
              <w:left w:val="nil"/>
              <w:bottom w:val="nil"/>
              <w:right w:val="nil"/>
            </w:tcBorders>
            <w:vAlign w:val="center"/>
            <w:hideMark/>
          </w:tcPr>
          <w:p w14:paraId="2C326AA3" w14:textId="5634117D" w:rsidR="00B90985" w:rsidRDefault="00B90985">
            <w:pPr>
              <w:jc w:val="center"/>
              <w:rPr>
                <w:color w:val="1F1F1F"/>
                <w:sz w:val="20"/>
                <w:szCs w:val="20"/>
              </w:rPr>
            </w:pPr>
            <w:r>
              <w:rPr>
                <w:color w:val="1F1F1F"/>
                <w:sz w:val="20"/>
                <w:szCs w:val="20"/>
              </w:rPr>
              <w:t>-8.</w:t>
            </w:r>
            <w:r w:rsidR="004E32D6">
              <w:rPr>
                <w:color w:val="1F1F1F"/>
                <w:sz w:val="20"/>
                <w:szCs w:val="20"/>
              </w:rPr>
              <w:t>5</w:t>
            </w:r>
          </w:p>
        </w:tc>
        <w:tc>
          <w:tcPr>
            <w:tcW w:w="1130" w:type="dxa"/>
            <w:tcBorders>
              <w:top w:val="nil"/>
              <w:left w:val="nil"/>
              <w:bottom w:val="nil"/>
              <w:right w:val="nil"/>
            </w:tcBorders>
            <w:vAlign w:val="center"/>
            <w:hideMark/>
          </w:tcPr>
          <w:p w14:paraId="2531BDD1" w14:textId="77777777" w:rsidR="00B90985" w:rsidRDefault="00B90985">
            <w:pPr>
              <w:ind w:firstLineChars="100" w:firstLine="200"/>
              <w:rPr>
                <w:color w:val="1F1F1F"/>
                <w:sz w:val="20"/>
                <w:szCs w:val="20"/>
              </w:rPr>
            </w:pPr>
            <w:r>
              <w:rPr>
                <w:color w:val="1F1F1F"/>
                <w:sz w:val="20"/>
                <w:szCs w:val="20"/>
              </w:rPr>
              <w:t>&lt; .0001</w:t>
            </w:r>
          </w:p>
        </w:tc>
      </w:tr>
      <w:tr w:rsidR="00B90985" w14:paraId="071DD206" w14:textId="77777777" w:rsidTr="00B90985">
        <w:trPr>
          <w:trHeight w:val="252"/>
        </w:trPr>
        <w:tc>
          <w:tcPr>
            <w:tcW w:w="2610" w:type="dxa"/>
            <w:tcBorders>
              <w:top w:val="nil"/>
              <w:left w:val="nil"/>
              <w:bottom w:val="nil"/>
              <w:right w:val="nil"/>
            </w:tcBorders>
            <w:vAlign w:val="center"/>
            <w:hideMark/>
          </w:tcPr>
          <w:p w14:paraId="758AB343" w14:textId="1DA412AF" w:rsidR="00B90985" w:rsidRDefault="00B90985" w:rsidP="00B90985">
            <w:pPr>
              <w:rPr>
                <w:b/>
                <w:bCs/>
                <w:color w:val="1F1F1F"/>
                <w:sz w:val="20"/>
                <w:szCs w:val="20"/>
              </w:rPr>
            </w:pPr>
            <w:r>
              <w:rPr>
                <w:b/>
                <w:bCs/>
                <w:color w:val="1F1F1F"/>
                <w:sz w:val="20"/>
                <w:szCs w:val="20"/>
              </w:rPr>
              <w:t>Microsite Type (Ground)</w:t>
            </w:r>
          </w:p>
        </w:tc>
        <w:tc>
          <w:tcPr>
            <w:tcW w:w="1450" w:type="dxa"/>
            <w:tcBorders>
              <w:top w:val="nil"/>
              <w:left w:val="nil"/>
              <w:bottom w:val="nil"/>
              <w:right w:val="nil"/>
            </w:tcBorders>
            <w:vAlign w:val="center"/>
            <w:hideMark/>
          </w:tcPr>
          <w:p w14:paraId="650C1A75" w14:textId="139B6AFC" w:rsidR="00B90985" w:rsidRDefault="00B90985">
            <w:pPr>
              <w:jc w:val="center"/>
              <w:rPr>
                <w:color w:val="1F1F1F"/>
                <w:sz w:val="20"/>
                <w:szCs w:val="20"/>
              </w:rPr>
            </w:pPr>
            <w:r>
              <w:rPr>
                <w:color w:val="1F1F1F"/>
                <w:sz w:val="20"/>
                <w:szCs w:val="20"/>
              </w:rPr>
              <w:t>1.3</w:t>
            </w:r>
          </w:p>
        </w:tc>
        <w:tc>
          <w:tcPr>
            <w:tcW w:w="960" w:type="dxa"/>
            <w:tcBorders>
              <w:top w:val="nil"/>
              <w:left w:val="nil"/>
              <w:bottom w:val="nil"/>
              <w:right w:val="nil"/>
            </w:tcBorders>
            <w:vAlign w:val="center"/>
            <w:hideMark/>
          </w:tcPr>
          <w:p w14:paraId="1C5FF22B" w14:textId="77777777" w:rsidR="00B90985" w:rsidRDefault="00B90985">
            <w:pPr>
              <w:jc w:val="center"/>
              <w:rPr>
                <w:color w:val="1F1F1F"/>
                <w:sz w:val="20"/>
                <w:szCs w:val="20"/>
              </w:rPr>
            </w:pPr>
            <w:r>
              <w:rPr>
                <w:color w:val="1F1F1F"/>
                <w:sz w:val="20"/>
                <w:szCs w:val="20"/>
              </w:rPr>
              <w:t>46</w:t>
            </w:r>
          </w:p>
        </w:tc>
        <w:tc>
          <w:tcPr>
            <w:tcW w:w="960" w:type="dxa"/>
            <w:tcBorders>
              <w:top w:val="nil"/>
              <w:left w:val="nil"/>
              <w:bottom w:val="nil"/>
              <w:right w:val="nil"/>
            </w:tcBorders>
            <w:vAlign w:val="center"/>
            <w:hideMark/>
          </w:tcPr>
          <w:p w14:paraId="27DA122C" w14:textId="761B8BE6" w:rsidR="00B90985" w:rsidRDefault="00B90985">
            <w:pPr>
              <w:jc w:val="center"/>
              <w:rPr>
                <w:color w:val="1F1F1F"/>
                <w:sz w:val="20"/>
                <w:szCs w:val="20"/>
              </w:rPr>
            </w:pPr>
            <w:r>
              <w:rPr>
                <w:color w:val="1F1F1F"/>
                <w:sz w:val="20"/>
                <w:szCs w:val="20"/>
              </w:rPr>
              <w:t>5.</w:t>
            </w:r>
            <w:r w:rsidR="004E32D6">
              <w:rPr>
                <w:color w:val="1F1F1F"/>
                <w:sz w:val="20"/>
                <w:szCs w:val="20"/>
              </w:rPr>
              <w:t>5</w:t>
            </w:r>
          </w:p>
        </w:tc>
        <w:tc>
          <w:tcPr>
            <w:tcW w:w="1130" w:type="dxa"/>
            <w:tcBorders>
              <w:top w:val="nil"/>
              <w:left w:val="nil"/>
              <w:bottom w:val="nil"/>
              <w:right w:val="nil"/>
            </w:tcBorders>
            <w:vAlign w:val="center"/>
            <w:hideMark/>
          </w:tcPr>
          <w:p w14:paraId="73F7DE73" w14:textId="77777777" w:rsidR="00B90985" w:rsidRDefault="00B90985">
            <w:pPr>
              <w:ind w:firstLineChars="100" w:firstLine="200"/>
              <w:rPr>
                <w:color w:val="1F1F1F"/>
                <w:sz w:val="20"/>
                <w:szCs w:val="20"/>
              </w:rPr>
            </w:pPr>
            <w:r>
              <w:rPr>
                <w:color w:val="1F1F1F"/>
                <w:sz w:val="20"/>
                <w:szCs w:val="20"/>
              </w:rPr>
              <w:t>&lt; .0001</w:t>
            </w:r>
          </w:p>
        </w:tc>
      </w:tr>
      <w:tr w:rsidR="00B90985" w14:paraId="457160FE" w14:textId="77777777" w:rsidTr="00B90985">
        <w:trPr>
          <w:trHeight w:val="80"/>
        </w:trPr>
        <w:tc>
          <w:tcPr>
            <w:tcW w:w="2610" w:type="dxa"/>
            <w:tcBorders>
              <w:top w:val="nil"/>
              <w:left w:val="nil"/>
              <w:bottom w:val="nil"/>
              <w:right w:val="nil"/>
            </w:tcBorders>
            <w:vAlign w:val="center"/>
          </w:tcPr>
          <w:p w14:paraId="5C6123C0" w14:textId="56F40E1A" w:rsidR="00B90985" w:rsidRDefault="00B90985" w:rsidP="00B90985">
            <w:pPr>
              <w:rPr>
                <w:b/>
                <w:bCs/>
                <w:color w:val="1F1F1F"/>
                <w:sz w:val="20"/>
                <w:szCs w:val="20"/>
              </w:rPr>
            </w:pPr>
            <w:r>
              <w:rPr>
                <w:b/>
                <w:bCs/>
                <w:color w:val="1F1F1F"/>
                <w:sz w:val="20"/>
                <w:szCs w:val="20"/>
              </w:rPr>
              <w:t>Ambient Temperature</w:t>
            </w:r>
          </w:p>
        </w:tc>
        <w:tc>
          <w:tcPr>
            <w:tcW w:w="1450" w:type="dxa"/>
            <w:tcBorders>
              <w:top w:val="nil"/>
              <w:left w:val="nil"/>
              <w:bottom w:val="nil"/>
              <w:right w:val="nil"/>
            </w:tcBorders>
            <w:vAlign w:val="center"/>
          </w:tcPr>
          <w:p w14:paraId="15A5740A" w14:textId="69DE637C" w:rsidR="00B90985" w:rsidRDefault="00B90985">
            <w:pPr>
              <w:jc w:val="center"/>
              <w:rPr>
                <w:color w:val="1F1F1F"/>
                <w:sz w:val="20"/>
                <w:szCs w:val="20"/>
              </w:rPr>
            </w:pPr>
            <w:r>
              <w:rPr>
                <w:color w:val="1F1F1F"/>
                <w:sz w:val="20"/>
                <w:szCs w:val="20"/>
              </w:rPr>
              <w:t>0.</w:t>
            </w:r>
            <w:r w:rsidR="004E32D6">
              <w:rPr>
                <w:color w:val="1F1F1F"/>
                <w:sz w:val="20"/>
                <w:szCs w:val="20"/>
              </w:rPr>
              <w:t>8</w:t>
            </w:r>
          </w:p>
        </w:tc>
        <w:tc>
          <w:tcPr>
            <w:tcW w:w="960" w:type="dxa"/>
            <w:tcBorders>
              <w:top w:val="nil"/>
              <w:left w:val="nil"/>
              <w:bottom w:val="nil"/>
              <w:right w:val="nil"/>
            </w:tcBorders>
            <w:vAlign w:val="center"/>
          </w:tcPr>
          <w:p w14:paraId="07615DB5" w14:textId="4243F4C4" w:rsidR="00B90985" w:rsidRDefault="00B90985">
            <w:pPr>
              <w:jc w:val="center"/>
              <w:rPr>
                <w:color w:val="1F1F1F"/>
                <w:sz w:val="20"/>
                <w:szCs w:val="20"/>
              </w:rPr>
            </w:pPr>
            <w:r>
              <w:rPr>
                <w:color w:val="1F1F1F"/>
                <w:sz w:val="20"/>
                <w:szCs w:val="20"/>
              </w:rPr>
              <w:t>8272</w:t>
            </w:r>
          </w:p>
        </w:tc>
        <w:tc>
          <w:tcPr>
            <w:tcW w:w="960" w:type="dxa"/>
            <w:tcBorders>
              <w:top w:val="nil"/>
              <w:left w:val="nil"/>
              <w:bottom w:val="nil"/>
              <w:right w:val="nil"/>
            </w:tcBorders>
            <w:vAlign w:val="center"/>
          </w:tcPr>
          <w:p w14:paraId="3D549377" w14:textId="19D2F1AA" w:rsidR="00B90985" w:rsidRDefault="00B90985">
            <w:pPr>
              <w:jc w:val="center"/>
              <w:rPr>
                <w:color w:val="1F1F1F"/>
                <w:sz w:val="20"/>
                <w:szCs w:val="20"/>
              </w:rPr>
            </w:pPr>
            <w:r>
              <w:rPr>
                <w:color w:val="1F1F1F"/>
                <w:sz w:val="20"/>
                <w:szCs w:val="20"/>
              </w:rPr>
              <w:t>159.9</w:t>
            </w:r>
          </w:p>
        </w:tc>
        <w:tc>
          <w:tcPr>
            <w:tcW w:w="1130" w:type="dxa"/>
            <w:tcBorders>
              <w:top w:val="nil"/>
              <w:left w:val="nil"/>
              <w:bottom w:val="nil"/>
              <w:right w:val="nil"/>
            </w:tcBorders>
            <w:vAlign w:val="center"/>
          </w:tcPr>
          <w:p w14:paraId="70AA043C" w14:textId="7CFAB96C" w:rsidR="00B90985" w:rsidRDefault="00B90985">
            <w:pPr>
              <w:ind w:firstLineChars="100" w:firstLine="200"/>
              <w:rPr>
                <w:color w:val="1F1F1F"/>
                <w:sz w:val="20"/>
                <w:szCs w:val="20"/>
              </w:rPr>
            </w:pPr>
            <w:r>
              <w:rPr>
                <w:color w:val="1F1F1F"/>
                <w:sz w:val="20"/>
                <w:szCs w:val="20"/>
              </w:rPr>
              <w:t>&lt; .0001</w:t>
            </w:r>
          </w:p>
        </w:tc>
      </w:tr>
      <w:tr w:rsidR="00B90985" w14:paraId="3949AEAC" w14:textId="77777777" w:rsidTr="00B90985">
        <w:trPr>
          <w:trHeight w:val="290"/>
        </w:trPr>
        <w:tc>
          <w:tcPr>
            <w:tcW w:w="2610" w:type="dxa"/>
            <w:tcBorders>
              <w:top w:val="nil"/>
              <w:left w:val="nil"/>
              <w:bottom w:val="nil"/>
              <w:right w:val="nil"/>
            </w:tcBorders>
            <w:vAlign w:val="center"/>
            <w:hideMark/>
          </w:tcPr>
          <w:p w14:paraId="0BF9B040" w14:textId="77777777" w:rsidR="00B90985" w:rsidRDefault="00B90985" w:rsidP="00B90985">
            <w:pPr>
              <w:rPr>
                <w:b/>
                <w:bCs/>
                <w:color w:val="1F1F1F"/>
                <w:sz w:val="20"/>
                <w:szCs w:val="20"/>
              </w:rPr>
            </w:pPr>
            <w:r>
              <w:rPr>
                <w:b/>
                <w:bCs/>
                <w:color w:val="1F1F1F"/>
                <w:sz w:val="20"/>
                <w:szCs w:val="20"/>
              </w:rPr>
              <w:t xml:space="preserve">Microsite Type*Ambient </w:t>
            </w:r>
          </w:p>
          <w:p w14:paraId="1E0EE78E" w14:textId="04EB2E37" w:rsidR="00B90985" w:rsidRDefault="00B90985">
            <w:pPr>
              <w:ind w:firstLineChars="100" w:firstLine="201"/>
              <w:rPr>
                <w:b/>
                <w:bCs/>
                <w:color w:val="1F1F1F"/>
                <w:sz w:val="20"/>
                <w:szCs w:val="20"/>
              </w:rPr>
            </w:pPr>
            <w:r>
              <w:rPr>
                <w:b/>
                <w:bCs/>
                <w:color w:val="1F1F1F"/>
                <w:sz w:val="20"/>
                <w:szCs w:val="20"/>
              </w:rPr>
              <w:t xml:space="preserve">Temperature  </w:t>
            </w:r>
          </w:p>
        </w:tc>
        <w:tc>
          <w:tcPr>
            <w:tcW w:w="1450" w:type="dxa"/>
            <w:tcBorders>
              <w:top w:val="nil"/>
              <w:left w:val="nil"/>
              <w:bottom w:val="nil"/>
              <w:right w:val="nil"/>
            </w:tcBorders>
            <w:vAlign w:val="center"/>
            <w:hideMark/>
          </w:tcPr>
          <w:p w14:paraId="3CD5EEFB" w14:textId="5FB7E72C" w:rsidR="00B90985" w:rsidRDefault="00B90985">
            <w:pPr>
              <w:jc w:val="center"/>
              <w:rPr>
                <w:color w:val="1F1F1F"/>
                <w:sz w:val="20"/>
                <w:szCs w:val="20"/>
              </w:rPr>
            </w:pPr>
            <w:r>
              <w:rPr>
                <w:color w:val="1F1F1F"/>
                <w:sz w:val="20"/>
                <w:szCs w:val="20"/>
              </w:rPr>
              <w:t>-0.6</w:t>
            </w:r>
          </w:p>
        </w:tc>
        <w:tc>
          <w:tcPr>
            <w:tcW w:w="960" w:type="dxa"/>
            <w:tcBorders>
              <w:top w:val="nil"/>
              <w:left w:val="nil"/>
              <w:bottom w:val="nil"/>
              <w:right w:val="nil"/>
            </w:tcBorders>
            <w:vAlign w:val="center"/>
            <w:hideMark/>
          </w:tcPr>
          <w:p w14:paraId="763DD617" w14:textId="1A5397EE" w:rsidR="00B90985" w:rsidRDefault="00B90985">
            <w:pPr>
              <w:jc w:val="center"/>
              <w:rPr>
                <w:color w:val="1F1F1F"/>
                <w:sz w:val="20"/>
                <w:szCs w:val="20"/>
              </w:rPr>
            </w:pPr>
            <w:r>
              <w:rPr>
                <w:color w:val="1F1F1F"/>
                <w:sz w:val="20"/>
                <w:szCs w:val="20"/>
              </w:rPr>
              <w:t>8272</w:t>
            </w:r>
          </w:p>
        </w:tc>
        <w:tc>
          <w:tcPr>
            <w:tcW w:w="960" w:type="dxa"/>
            <w:tcBorders>
              <w:top w:val="nil"/>
              <w:left w:val="nil"/>
              <w:bottom w:val="nil"/>
              <w:right w:val="nil"/>
            </w:tcBorders>
            <w:vAlign w:val="center"/>
            <w:hideMark/>
          </w:tcPr>
          <w:p w14:paraId="3D4B386D" w14:textId="2FFAB97E" w:rsidR="00B90985" w:rsidRDefault="00B90985">
            <w:pPr>
              <w:jc w:val="center"/>
              <w:rPr>
                <w:color w:val="1F1F1F"/>
                <w:sz w:val="20"/>
                <w:szCs w:val="20"/>
              </w:rPr>
            </w:pPr>
            <w:r>
              <w:rPr>
                <w:color w:val="1F1F1F"/>
                <w:sz w:val="20"/>
                <w:szCs w:val="20"/>
              </w:rPr>
              <w:t>-92.1</w:t>
            </w:r>
          </w:p>
        </w:tc>
        <w:tc>
          <w:tcPr>
            <w:tcW w:w="1130" w:type="dxa"/>
            <w:tcBorders>
              <w:top w:val="nil"/>
              <w:left w:val="nil"/>
              <w:bottom w:val="nil"/>
              <w:right w:val="nil"/>
            </w:tcBorders>
            <w:vAlign w:val="center"/>
            <w:hideMark/>
          </w:tcPr>
          <w:p w14:paraId="09C0820C" w14:textId="0B97BB2B" w:rsidR="00B90985" w:rsidRPr="004E32D6" w:rsidRDefault="00B90985">
            <w:pPr>
              <w:ind w:firstLineChars="100" w:firstLine="200"/>
              <w:rPr>
                <w:sz w:val="20"/>
                <w:szCs w:val="20"/>
              </w:rPr>
            </w:pPr>
            <w:r>
              <w:rPr>
                <w:color w:val="1F1F1F"/>
                <w:sz w:val="20"/>
                <w:szCs w:val="20"/>
              </w:rPr>
              <w:t>&lt; .0001</w:t>
            </w:r>
          </w:p>
        </w:tc>
      </w:tr>
      <w:tr w:rsidR="00B90985" w14:paraId="1C1E3722" w14:textId="77777777">
        <w:trPr>
          <w:trHeight w:val="520"/>
        </w:trPr>
        <w:tc>
          <w:tcPr>
            <w:tcW w:w="2610" w:type="dxa"/>
            <w:tcBorders>
              <w:top w:val="nil"/>
              <w:left w:val="nil"/>
              <w:bottom w:val="nil"/>
              <w:right w:val="nil"/>
            </w:tcBorders>
            <w:vAlign w:val="center"/>
          </w:tcPr>
          <w:p w14:paraId="5ABECBAF" w14:textId="05A20924" w:rsidR="00B90985" w:rsidRDefault="00B90985" w:rsidP="00B90985">
            <w:pPr>
              <w:ind w:firstLineChars="100" w:firstLine="201"/>
              <w:rPr>
                <w:b/>
                <w:bCs/>
                <w:color w:val="1F1F1F"/>
                <w:sz w:val="20"/>
                <w:szCs w:val="20"/>
              </w:rPr>
            </w:pPr>
          </w:p>
        </w:tc>
        <w:tc>
          <w:tcPr>
            <w:tcW w:w="1450" w:type="dxa"/>
            <w:tcBorders>
              <w:top w:val="nil"/>
              <w:left w:val="nil"/>
              <w:bottom w:val="nil"/>
              <w:right w:val="nil"/>
            </w:tcBorders>
            <w:vAlign w:val="center"/>
          </w:tcPr>
          <w:p w14:paraId="6498D230" w14:textId="3FF3C38F" w:rsidR="00B90985" w:rsidRDefault="00B90985">
            <w:pPr>
              <w:jc w:val="center"/>
              <w:rPr>
                <w:color w:val="1F1F1F"/>
                <w:sz w:val="20"/>
                <w:szCs w:val="20"/>
              </w:rPr>
            </w:pPr>
          </w:p>
        </w:tc>
        <w:tc>
          <w:tcPr>
            <w:tcW w:w="960" w:type="dxa"/>
            <w:tcBorders>
              <w:top w:val="nil"/>
              <w:left w:val="nil"/>
              <w:bottom w:val="nil"/>
              <w:right w:val="nil"/>
            </w:tcBorders>
            <w:vAlign w:val="center"/>
          </w:tcPr>
          <w:p w14:paraId="55C45E91" w14:textId="01FC1D11" w:rsidR="00B90985" w:rsidRDefault="00B90985">
            <w:pPr>
              <w:jc w:val="center"/>
              <w:rPr>
                <w:color w:val="1F1F1F"/>
                <w:sz w:val="20"/>
                <w:szCs w:val="20"/>
              </w:rPr>
            </w:pPr>
          </w:p>
        </w:tc>
        <w:tc>
          <w:tcPr>
            <w:tcW w:w="960" w:type="dxa"/>
            <w:tcBorders>
              <w:top w:val="nil"/>
              <w:left w:val="nil"/>
              <w:bottom w:val="nil"/>
              <w:right w:val="nil"/>
            </w:tcBorders>
            <w:vAlign w:val="center"/>
          </w:tcPr>
          <w:p w14:paraId="696CC66D" w14:textId="41D420D3" w:rsidR="00B90985" w:rsidRDefault="00B90985">
            <w:pPr>
              <w:jc w:val="center"/>
              <w:rPr>
                <w:color w:val="1F1F1F"/>
                <w:sz w:val="20"/>
                <w:szCs w:val="20"/>
              </w:rPr>
            </w:pPr>
          </w:p>
        </w:tc>
        <w:tc>
          <w:tcPr>
            <w:tcW w:w="1130" w:type="dxa"/>
            <w:tcBorders>
              <w:top w:val="nil"/>
              <w:left w:val="nil"/>
              <w:bottom w:val="nil"/>
              <w:right w:val="nil"/>
            </w:tcBorders>
            <w:vAlign w:val="center"/>
          </w:tcPr>
          <w:p w14:paraId="0D053711" w14:textId="165479DF" w:rsidR="00B90985" w:rsidRDefault="00B90985">
            <w:pPr>
              <w:ind w:firstLineChars="100" w:firstLine="200"/>
              <w:rPr>
                <w:color w:val="1F1F1F"/>
                <w:sz w:val="20"/>
                <w:szCs w:val="20"/>
              </w:rPr>
            </w:pPr>
          </w:p>
        </w:tc>
      </w:tr>
    </w:tbl>
    <w:p w14:paraId="6CA388FA" w14:textId="77777777" w:rsidR="00B90985" w:rsidRDefault="00B90985" w:rsidP="00797B98">
      <w:pPr>
        <w:spacing w:line="480" w:lineRule="auto"/>
        <w:rPr>
          <w:sz w:val="20"/>
          <w:szCs w:val="20"/>
        </w:rPr>
      </w:pPr>
    </w:p>
    <w:p w14:paraId="7132B243" w14:textId="77777777" w:rsidR="00EC4415" w:rsidRDefault="00EC4415" w:rsidP="00EC4415">
      <w:pPr>
        <w:spacing w:line="480" w:lineRule="auto"/>
        <w:ind w:left="-15"/>
        <w:rPr>
          <w:sz w:val="20"/>
          <w:szCs w:val="20"/>
        </w:rPr>
      </w:pPr>
    </w:p>
    <w:p w14:paraId="7942951A" w14:textId="77777777" w:rsidR="00EC4415" w:rsidRDefault="00EC4415" w:rsidP="00EC4415">
      <w:pPr>
        <w:spacing w:line="480" w:lineRule="auto"/>
        <w:ind w:left="-15"/>
        <w:rPr>
          <w:sz w:val="20"/>
          <w:szCs w:val="20"/>
        </w:rPr>
      </w:pPr>
    </w:p>
    <w:p w14:paraId="7BAB7352" w14:textId="77777777" w:rsidR="00EC4415" w:rsidRDefault="00EC4415" w:rsidP="00EC4415">
      <w:pPr>
        <w:spacing w:line="480" w:lineRule="auto"/>
        <w:ind w:left="-15"/>
        <w:rPr>
          <w:sz w:val="20"/>
          <w:szCs w:val="20"/>
        </w:rPr>
      </w:pPr>
    </w:p>
    <w:p w14:paraId="7BF0DDC0" w14:textId="34F9DC00" w:rsidR="00EC4415" w:rsidRDefault="00EC4415" w:rsidP="00EC4415">
      <w:pPr>
        <w:spacing w:line="480" w:lineRule="auto"/>
        <w:ind w:left="-15"/>
        <w:rPr>
          <w:sz w:val="20"/>
          <w:szCs w:val="20"/>
        </w:rPr>
      </w:pPr>
      <w:r w:rsidRPr="00EC4415">
        <w:rPr>
          <w:b/>
          <w:bCs/>
          <w:sz w:val="20"/>
          <w:szCs w:val="20"/>
        </w:rPr>
        <w:lastRenderedPageBreak/>
        <w:t>Table S2-2</w:t>
      </w:r>
      <w:r>
        <w:rPr>
          <w:sz w:val="20"/>
          <w:szCs w:val="20"/>
        </w:rPr>
        <w:t xml:space="preserve"> Summary of random effect variance and temporal autocorrelation for a linear mixed effect model (LMM). The LMM modeled </w:t>
      </w:r>
      <w:r w:rsidR="00314EDC">
        <w:rPr>
          <w:sz w:val="20"/>
          <w:szCs w:val="20"/>
        </w:rPr>
        <w:t xml:space="preserve">daily mean microsite temperature as a function of daily mean ambient temperature, microsite type (ground or tree cavity), and their two-way interaction. Temperatures were collected at ground and tree cavity microsites in the </w:t>
      </w:r>
      <w:r>
        <w:rPr>
          <w:sz w:val="20"/>
          <w:szCs w:val="20"/>
        </w:rPr>
        <w:t>Superior National Forest, Minnesota USA</w:t>
      </w:r>
      <w:r w:rsidR="00314EDC">
        <w:rPr>
          <w:sz w:val="20"/>
          <w:szCs w:val="20"/>
        </w:rPr>
        <w:t xml:space="preserve"> and the </w:t>
      </w:r>
      <w:r>
        <w:rPr>
          <w:sz w:val="20"/>
          <w:szCs w:val="20"/>
        </w:rPr>
        <w:t>Huron-Manistee National Forest, Michigan USA</w:t>
      </w:r>
      <w:r w:rsidR="00314EDC">
        <w:rPr>
          <w:sz w:val="20"/>
          <w:szCs w:val="20"/>
        </w:rPr>
        <w:t xml:space="preserve">. </w:t>
      </w:r>
      <w:r>
        <w:rPr>
          <w:sz w:val="20"/>
          <w:szCs w:val="20"/>
        </w:rPr>
        <w:t>The model accounted for temporal autocorrelation and used nested random intercepts for each site where microsite temperatures were measured (</w:t>
      </w:r>
      <w:proofErr w:type="spellStart"/>
      <w:r>
        <w:rPr>
          <w:sz w:val="20"/>
          <w:szCs w:val="20"/>
        </w:rPr>
        <w:t>SiteID</w:t>
      </w:r>
      <w:proofErr w:type="spellEnd"/>
      <w:r>
        <w:rPr>
          <w:sz w:val="20"/>
          <w:szCs w:val="20"/>
        </w:rPr>
        <w:t>) and for sites that were located within the same forest stand (</w:t>
      </w:r>
      <w:proofErr w:type="spellStart"/>
      <w:r>
        <w:rPr>
          <w:sz w:val="20"/>
          <w:szCs w:val="20"/>
        </w:rPr>
        <w:t>StandGroup</w:t>
      </w:r>
      <w:proofErr w:type="spellEnd"/>
      <w:r>
        <w:rPr>
          <w:sz w:val="20"/>
          <w:szCs w:val="20"/>
        </w:rPr>
        <w:t>). Values represent the standard deviation (</w:t>
      </w:r>
      <w:proofErr w:type="spellStart"/>
      <w:r>
        <w:rPr>
          <w:sz w:val="20"/>
          <w:szCs w:val="20"/>
        </w:rPr>
        <w:t>StdDev</w:t>
      </w:r>
      <w:proofErr w:type="spellEnd"/>
      <w:r>
        <w:rPr>
          <w:sz w:val="20"/>
          <w:szCs w:val="20"/>
        </w:rPr>
        <w:t xml:space="preserve">) of the random intercepts at the stand and site levels, along with the within-site residual. The Phi coefficient indicates the strength of the day-to-day correlation between temperature observations within individual sites. </w:t>
      </w:r>
    </w:p>
    <w:p w14:paraId="53648485" w14:textId="77777777" w:rsidR="004E32D6" w:rsidRDefault="004E32D6" w:rsidP="00EC4415">
      <w:pPr>
        <w:spacing w:line="480" w:lineRule="auto"/>
        <w:ind w:left="-15"/>
        <w:rPr>
          <w:sz w:val="20"/>
          <w:szCs w:val="20"/>
        </w:rPr>
      </w:pPr>
    </w:p>
    <w:tbl>
      <w:tblPr>
        <w:tblW w:w="6240" w:type="dxa"/>
        <w:tblLook w:val="04A0" w:firstRow="1" w:lastRow="0" w:firstColumn="1" w:lastColumn="0" w:noHBand="0" w:noVBand="1"/>
      </w:tblPr>
      <w:tblGrid>
        <w:gridCol w:w="1740"/>
        <w:gridCol w:w="1620"/>
        <w:gridCol w:w="1440"/>
        <w:gridCol w:w="1440"/>
      </w:tblGrid>
      <w:tr w:rsidR="004E32D6" w14:paraId="48B19AFC" w14:textId="77777777" w:rsidTr="004E32D6">
        <w:trPr>
          <w:trHeight w:val="290"/>
        </w:trPr>
        <w:tc>
          <w:tcPr>
            <w:tcW w:w="1740" w:type="dxa"/>
            <w:tcBorders>
              <w:top w:val="nil"/>
              <w:left w:val="nil"/>
              <w:bottom w:val="single" w:sz="4" w:space="0" w:color="auto"/>
              <w:right w:val="nil"/>
            </w:tcBorders>
            <w:vAlign w:val="center"/>
            <w:hideMark/>
          </w:tcPr>
          <w:p w14:paraId="1B79627E" w14:textId="77777777" w:rsidR="004E32D6" w:rsidRPr="004E32D6" w:rsidRDefault="004E32D6" w:rsidP="00C63C4C">
            <w:pPr>
              <w:ind w:firstLineChars="100" w:firstLine="201"/>
              <w:rPr>
                <w:b/>
                <w:bCs/>
                <w:sz w:val="20"/>
                <w:szCs w:val="20"/>
              </w:rPr>
            </w:pPr>
            <w:r w:rsidRPr="004E32D6">
              <w:rPr>
                <w:b/>
                <w:bCs/>
                <w:sz w:val="20"/>
                <w:szCs w:val="20"/>
              </w:rPr>
              <w:t>Component</w:t>
            </w:r>
          </w:p>
        </w:tc>
        <w:tc>
          <w:tcPr>
            <w:tcW w:w="1620" w:type="dxa"/>
            <w:tcBorders>
              <w:top w:val="nil"/>
              <w:left w:val="nil"/>
              <w:bottom w:val="single" w:sz="4" w:space="0" w:color="auto"/>
              <w:right w:val="nil"/>
            </w:tcBorders>
            <w:vAlign w:val="center"/>
            <w:hideMark/>
          </w:tcPr>
          <w:p w14:paraId="1AC4364C" w14:textId="77777777" w:rsidR="004E32D6" w:rsidRPr="004E32D6" w:rsidRDefault="004E32D6" w:rsidP="00C63C4C">
            <w:pPr>
              <w:jc w:val="center"/>
              <w:rPr>
                <w:b/>
                <w:bCs/>
                <w:sz w:val="20"/>
                <w:szCs w:val="20"/>
              </w:rPr>
            </w:pPr>
            <w:r w:rsidRPr="004E32D6">
              <w:rPr>
                <w:b/>
                <w:bCs/>
                <w:sz w:val="20"/>
                <w:szCs w:val="20"/>
              </w:rPr>
              <w:t>Level</w:t>
            </w:r>
          </w:p>
        </w:tc>
        <w:tc>
          <w:tcPr>
            <w:tcW w:w="1440" w:type="dxa"/>
            <w:tcBorders>
              <w:top w:val="nil"/>
              <w:left w:val="nil"/>
              <w:bottom w:val="single" w:sz="4" w:space="0" w:color="auto"/>
              <w:right w:val="nil"/>
            </w:tcBorders>
            <w:vAlign w:val="center"/>
            <w:hideMark/>
          </w:tcPr>
          <w:p w14:paraId="7463AFC3" w14:textId="77777777" w:rsidR="004E32D6" w:rsidRPr="004E32D6" w:rsidRDefault="004E32D6" w:rsidP="00C63C4C">
            <w:pPr>
              <w:jc w:val="center"/>
              <w:rPr>
                <w:b/>
                <w:bCs/>
                <w:sz w:val="20"/>
                <w:szCs w:val="20"/>
              </w:rPr>
            </w:pPr>
            <w:r w:rsidRPr="004E32D6">
              <w:rPr>
                <w:b/>
                <w:bCs/>
                <w:sz w:val="20"/>
                <w:szCs w:val="20"/>
              </w:rPr>
              <w:t>Parameter</w:t>
            </w:r>
          </w:p>
        </w:tc>
        <w:tc>
          <w:tcPr>
            <w:tcW w:w="1440" w:type="dxa"/>
            <w:tcBorders>
              <w:top w:val="nil"/>
              <w:left w:val="nil"/>
              <w:bottom w:val="single" w:sz="4" w:space="0" w:color="auto"/>
              <w:right w:val="nil"/>
            </w:tcBorders>
            <w:vAlign w:val="center"/>
            <w:hideMark/>
          </w:tcPr>
          <w:p w14:paraId="2F5AC7D9" w14:textId="77777777" w:rsidR="004E32D6" w:rsidRPr="004E32D6" w:rsidRDefault="004E32D6" w:rsidP="00C63C4C">
            <w:pPr>
              <w:ind w:firstLineChars="100" w:firstLine="201"/>
              <w:jc w:val="right"/>
              <w:rPr>
                <w:b/>
                <w:bCs/>
                <w:sz w:val="20"/>
                <w:szCs w:val="20"/>
              </w:rPr>
            </w:pPr>
            <w:r w:rsidRPr="004E32D6">
              <w:rPr>
                <w:b/>
                <w:bCs/>
                <w:sz w:val="20"/>
                <w:szCs w:val="20"/>
              </w:rPr>
              <w:t>Value</w:t>
            </w:r>
          </w:p>
        </w:tc>
      </w:tr>
      <w:tr w:rsidR="004E32D6" w14:paraId="330D1FA7" w14:textId="77777777" w:rsidTr="004E32D6">
        <w:trPr>
          <w:trHeight w:val="290"/>
        </w:trPr>
        <w:tc>
          <w:tcPr>
            <w:tcW w:w="1740" w:type="dxa"/>
            <w:tcBorders>
              <w:top w:val="nil"/>
              <w:left w:val="nil"/>
              <w:bottom w:val="nil"/>
              <w:right w:val="nil"/>
            </w:tcBorders>
            <w:vAlign w:val="center"/>
            <w:hideMark/>
          </w:tcPr>
          <w:p w14:paraId="60939681" w14:textId="77777777" w:rsidR="004E32D6" w:rsidRPr="004E32D6" w:rsidRDefault="004E32D6" w:rsidP="00C63C4C">
            <w:pPr>
              <w:ind w:firstLineChars="100" w:firstLine="201"/>
              <w:rPr>
                <w:b/>
                <w:bCs/>
                <w:sz w:val="20"/>
                <w:szCs w:val="20"/>
              </w:rPr>
            </w:pPr>
            <w:r w:rsidRPr="004E32D6">
              <w:rPr>
                <w:b/>
                <w:bCs/>
                <w:sz w:val="20"/>
                <w:szCs w:val="20"/>
              </w:rPr>
              <w:t>Random Effect</w:t>
            </w:r>
          </w:p>
        </w:tc>
        <w:tc>
          <w:tcPr>
            <w:tcW w:w="1620" w:type="dxa"/>
            <w:tcBorders>
              <w:top w:val="nil"/>
              <w:left w:val="nil"/>
              <w:bottom w:val="nil"/>
              <w:right w:val="nil"/>
            </w:tcBorders>
            <w:vAlign w:val="center"/>
            <w:hideMark/>
          </w:tcPr>
          <w:p w14:paraId="1901AE5A" w14:textId="77777777" w:rsidR="004E32D6" w:rsidRPr="004E32D6" w:rsidRDefault="004E32D6" w:rsidP="00C63C4C">
            <w:pPr>
              <w:jc w:val="center"/>
              <w:rPr>
                <w:sz w:val="20"/>
                <w:szCs w:val="20"/>
              </w:rPr>
            </w:pPr>
            <w:proofErr w:type="spellStart"/>
            <w:r w:rsidRPr="004E32D6">
              <w:rPr>
                <w:sz w:val="20"/>
                <w:szCs w:val="20"/>
              </w:rPr>
              <w:t>StandGroup</w:t>
            </w:r>
            <w:proofErr w:type="spellEnd"/>
          </w:p>
        </w:tc>
        <w:tc>
          <w:tcPr>
            <w:tcW w:w="1440" w:type="dxa"/>
            <w:tcBorders>
              <w:top w:val="nil"/>
              <w:left w:val="nil"/>
              <w:bottom w:val="nil"/>
              <w:right w:val="nil"/>
            </w:tcBorders>
            <w:vAlign w:val="center"/>
            <w:hideMark/>
          </w:tcPr>
          <w:p w14:paraId="708A8437" w14:textId="77777777" w:rsidR="004E32D6" w:rsidRPr="004E32D6" w:rsidRDefault="004E32D6" w:rsidP="00C63C4C">
            <w:pPr>
              <w:jc w:val="center"/>
              <w:rPr>
                <w:sz w:val="20"/>
                <w:szCs w:val="20"/>
              </w:rPr>
            </w:pPr>
            <w:proofErr w:type="spellStart"/>
            <w:r w:rsidRPr="004E32D6">
              <w:rPr>
                <w:sz w:val="20"/>
                <w:szCs w:val="20"/>
              </w:rPr>
              <w:t>StdDev</w:t>
            </w:r>
            <w:proofErr w:type="spellEnd"/>
          </w:p>
        </w:tc>
        <w:tc>
          <w:tcPr>
            <w:tcW w:w="1440" w:type="dxa"/>
            <w:tcBorders>
              <w:top w:val="nil"/>
              <w:left w:val="nil"/>
              <w:bottom w:val="nil"/>
              <w:right w:val="nil"/>
            </w:tcBorders>
            <w:vAlign w:val="center"/>
            <w:hideMark/>
          </w:tcPr>
          <w:p w14:paraId="0CFF23CD" w14:textId="29E31AE8" w:rsidR="004E32D6" w:rsidRPr="004E32D6" w:rsidRDefault="004E32D6" w:rsidP="00C63C4C">
            <w:pPr>
              <w:ind w:firstLineChars="100" w:firstLine="200"/>
              <w:jc w:val="right"/>
              <w:rPr>
                <w:sz w:val="20"/>
                <w:szCs w:val="20"/>
              </w:rPr>
            </w:pPr>
            <w:r w:rsidRPr="004E32D6">
              <w:rPr>
                <w:sz w:val="20"/>
                <w:szCs w:val="20"/>
              </w:rPr>
              <w:t>0.</w:t>
            </w:r>
            <w:r>
              <w:rPr>
                <w:sz w:val="20"/>
                <w:szCs w:val="20"/>
              </w:rPr>
              <w:t>7</w:t>
            </w:r>
          </w:p>
        </w:tc>
      </w:tr>
      <w:tr w:rsidR="004E32D6" w14:paraId="48C64416" w14:textId="77777777" w:rsidTr="004E32D6">
        <w:trPr>
          <w:trHeight w:val="290"/>
        </w:trPr>
        <w:tc>
          <w:tcPr>
            <w:tcW w:w="1740" w:type="dxa"/>
            <w:tcBorders>
              <w:top w:val="nil"/>
              <w:left w:val="nil"/>
              <w:bottom w:val="nil"/>
              <w:right w:val="nil"/>
            </w:tcBorders>
            <w:vAlign w:val="center"/>
            <w:hideMark/>
          </w:tcPr>
          <w:p w14:paraId="19841BA4" w14:textId="77777777" w:rsidR="004E32D6" w:rsidRPr="004E32D6" w:rsidRDefault="004E32D6" w:rsidP="00C63C4C">
            <w:pPr>
              <w:ind w:firstLineChars="100" w:firstLine="201"/>
              <w:rPr>
                <w:b/>
                <w:bCs/>
                <w:sz w:val="20"/>
                <w:szCs w:val="20"/>
              </w:rPr>
            </w:pPr>
            <w:r w:rsidRPr="004E32D6">
              <w:rPr>
                <w:b/>
                <w:bCs/>
                <w:sz w:val="20"/>
                <w:szCs w:val="20"/>
              </w:rPr>
              <w:t>Random Effect</w:t>
            </w:r>
          </w:p>
        </w:tc>
        <w:tc>
          <w:tcPr>
            <w:tcW w:w="1620" w:type="dxa"/>
            <w:tcBorders>
              <w:top w:val="nil"/>
              <w:left w:val="nil"/>
              <w:bottom w:val="nil"/>
              <w:right w:val="nil"/>
            </w:tcBorders>
            <w:vAlign w:val="center"/>
            <w:hideMark/>
          </w:tcPr>
          <w:p w14:paraId="7C253179" w14:textId="77777777" w:rsidR="004E32D6" w:rsidRPr="004E32D6" w:rsidRDefault="004E32D6" w:rsidP="00C63C4C">
            <w:pPr>
              <w:jc w:val="center"/>
              <w:rPr>
                <w:sz w:val="20"/>
                <w:szCs w:val="20"/>
              </w:rPr>
            </w:pPr>
            <w:proofErr w:type="spellStart"/>
            <w:r w:rsidRPr="004E32D6">
              <w:rPr>
                <w:sz w:val="20"/>
                <w:szCs w:val="20"/>
              </w:rPr>
              <w:t>SiteID</w:t>
            </w:r>
            <w:proofErr w:type="spellEnd"/>
          </w:p>
        </w:tc>
        <w:tc>
          <w:tcPr>
            <w:tcW w:w="1440" w:type="dxa"/>
            <w:tcBorders>
              <w:top w:val="nil"/>
              <w:left w:val="nil"/>
              <w:bottom w:val="nil"/>
              <w:right w:val="nil"/>
            </w:tcBorders>
            <w:vAlign w:val="center"/>
            <w:hideMark/>
          </w:tcPr>
          <w:p w14:paraId="39E7F96D" w14:textId="77777777" w:rsidR="004E32D6" w:rsidRPr="004E32D6" w:rsidRDefault="004E32D6" w:rsidP="00C63C4C">
            <w:pPr>
              <w:jc w:val="center"/>
              <w:rPr>
                <w:sz w:val="20"/>
                <w:szCs w:val="20"/>
              </w:rPr>
            </w:pPr>
            <w:proofErr w:type="spellStart"/>
            <w:r w:rsidRPr="004E32D6">
              <w:rPr>
                <w:sz w:val="20"/>
                <w:szCs w:val="20"/>
              </w:rPr>
              <w:t>StdDev</w:t>
            </w:r>
            <w:proofErr w:type="spellEnd"/>
          </w:p>
        </w:tc>
        <w:tc>
          <w:tcPr>
            <w:tcW w:w="1440" w:type="dxa"/>
            <w:tcBorders>
              <w:top w:val="nil"/>
              <w:left w:val="nil"/>
              <w:bottom w:val="nil"/>
              <w:right w:val="nil"/>
            </w:tcBorders>
            <w:vAlign w:val="center"/>
            <w:hideMark/>
          </w:tcPr>
          <w:p w14:paraId="135897DA" w14:textId="3B7E1DE5" w:rsidR="004E32D6" w:rsidRPr="004E32D6" w:rsidRDefault="004E32D6" w:rsidP="00C63C4C">
            <w:pPr>
              <w:ind w:firstLineChars="100" w:firstLine="200"/>
              <w:jc w:val="right"/>
              <w:rPr>
                <w:sz w:val="20"/>
                <w:szCs w:val="20"/>
              </w:rPr>
            </w:pPr>
            <w:r w:rsidRPr="004E32D6">
              <w:rPr>
                <w:sz w:val="20"/>
                <w:szCs w:val="20"/>
              </w:rPr>
              <w:t>0.</w:t>
            </w:r>
            <w:r>
              <w:rPr>
                <w:sz w:val="20"/>
                <w:szCs w:val="20"/>
              </w:rPr>
              <w:t>3</w:t>
            </w:r>
          </w:p>
        </w:tc>
      </w:tr>
      <w:tr w:rsidR="004E32D6" w14:paraId="7DA7FD3C" w14:textId="77777777" w:rsidTr="004E32D6">
        <w:trPr>
          <w:trHeight w:val="290"/>
        </w:trPr>
        <w:tc>
          <w:tcPr>
            <w:tcW w:w="1740" w:type="dxa"/>
            <w:tcBorders>
              <w:top w:val="nil"/>
              <w:left w:val="nil"/>
              <w:bottom w:val="nil"/>
              <w:right w:val="nil"/>
            </w:tcBorders>
            <w:vAlign w:val="center"/>
            <w:hideMark/>
          </w:tcPr>
          <w:p w14:paraId="792EDB2D" w14:textId="77777777" w:rsidR="004E32D6" w:rsidRPr="004E32D6" w:rsidRDefault="004E32D6" w:rsidP="00C63C4C">
            <w:pPr>
              <w:ind w:firstLineChars="100" w:firstLine="201"/>
              <w:rPr>
                <w:b/>
                <w:bCs/>
                <w:sz w:val="20"/>
                <w:szCs w:val="20"/>
              </w:rPr>
            </w:pPr>
            <w:r w:rsidRPr="004E32D6">
              <w:rPr>
                <w:b/>
                <w:bCs/>
                <w:sz w:val="20"/>
                <w:szCs w:val="20"/>
              </w:rPr>
              <w:t>Residual</w:t>
            </w:r>
          </w:p>
        </w:tc>
        <w:tc>
          <w:tcPr>
            <w:tcW w:w="1620" w:type="dxa"/>
            <w:tcBorders>
              <w:top w:val="nil"/>
              <w:left w:val="nil"/>
              <w:bottom w:val="nil"/>
              <w:right w:val="nil"/>
            </w:tcBorders>
            <w:vAlign w:val="center"/>
            <w:hideMark/>
          </w:tcPr>
          <w:p w14:paraId="159B4FBA" w14:textId="77777777" w:rsidR="004E32D6" w:rsidRPr="004E32D6" w:rsidRDefault="004E32D6" w:rsidP="00C63C4C">
            <w:pPr>
              <w:jc w:val="center"/>
              <w:rPr>
                <w:sz w:val="20"/>
                <w:szCs w:val="20"/>
              </w:rPr>
            </w:pPr>
            <w:r w:rsidRPr="004E32D6">
              <w:rPr>
                <w:sz w:val="20"/>
                <w:szCs w:val="20"/>
              </w:rPr>
              <w:t>Within-site</w:t>
            </w:r>
          </w:p>
        </w:tc>
        <w:tc>
          <w:tcPr>
            <w:tcW w:w="1440" w:type="dxa"/>
            <w:tcBorders>
              <w:top w:val="nil"/>
              <w:left w:val="nil"/>
              <w:bottom w:val="nil"/>
              <w:right w:val="nil"/>
            </w:tcBorders>
            <w:vAlign w:val="center"/>
            <w:hideMark/>
          </w:tcPr>
          <w:p w14:paraId="024E4826" w14:textId="77777777" w:rsidR="004E32D6" w:rsidRPr="004E32D6" w:rsidRDefault="004E32D6" w:rsidP="00C63C4C">
            <w:pPr>
              <w:jc w:val="center"/>
              <w:rPr>
                <w:sz w:val="20"/>
                <w:szCs w:val="20"/>
              </w:rPr>
            </w:pPr>
            <w:proofErr w:type="spellStart"/>
            <w:r w:rsidRPr="004E32D6">
              <w:rPr>
                <w:sz w:val="20"/>
                <w:szCs w:val="20"/>
              </w:rPr>
              <w:t>StdDev</w:t>
            </w:r>
            <w:proofErr w:type="spellEnd"/>
          </w:p>
        </w:tc>
        <w:tc>
          <w:tcPr>
            <w:tcW w:w="1440" w:type="dxa"/>
            <w:tcBorders>
              <w:top w:val="nil"/>
              <w:left w:val="nil"/>
              <w:bottom w:val="nil"/>
              <w:right w:val="nil"/>
            </w:tcBorders>
            <w:vAlign w:val="center"/>
            <w:hideMark/>
          </w:tcPr>
          <w:p w14:paraId="1032886A" w14:textId="154B3BA7" w:rsidR="004E32D6" w:rsidRPr="004E32D6" w:rsidRDefault="004E32D6" w:rsidP="00C63C4C">
            <w:pPr>
              <w:ind w:firstLineChars="100" w:firstLine="200"/>
              <w:jc w:val="right"/>
              <w:rPr>
                <w:sz w:val="20"/>
                <w:szCs w:val="20"/>
              </w:rPr>
            </w:pPr>
            <w:r>
              <w:rPr>
                <w:sz w:val="20"/>
                <w:szCs w:val="20"/>
              </w:rPr>
              <w:t>1.5</w:t>
            </w:r>
          </w:p>
        </w:tc>
      </w:tr>
      <w:tr w:rsidR="004E32D6" w14:paraId="4FDF20B9" w14:textId="77777777" w:rsidTr="004E32D6">
        <w:trPr>
          <w:trHeight w:val="290"/>
        </w:trPr>
        <w:tc>
          <w:tcPr>
            <w:tcW w:w="1740" w:type="dxa"/>
            <w:tcBorders>
              <w:top w:val="nil"/>
              <w:left w:val="nil"/>
              <w:bottom w:val="nil"/>
              <w:right w:val="nil"/>
            </w:tcBorders>
            <w:vAlign w:val="center"/>
            <w:hideMark/>
          </w:tcPr>
          <w:p w14:paraId="30AAD684" w14:textId="77777777" w:rsidR="004E32D6" w:rsidRPr="004E32D6" w:rsidRDefault="004E32D6" w:rsidP="00C63C4C">
            <w:pPr>
              <w:ind w:firstLineChars="100" w:firstLine="201"/>
              <w:rPr>
                <w:b/>
                <w:bCs/>
                <w:sz w:val="20"/>
                <w:szCs w:val="20"/>
              </w:rPr>
            </w:pPr>
            <w:r w:rsidRPr="004E32D6">
              <w:rPr>
                <w:b/>
                <w:bCs/>
                <w:sz w:val="20"/>
                <w:szCs w:val="20"/>
              </w:rPr>
              <w:t>Correlation</w:t>
            </w:r>
          </w:p>
        </w:tc>
        <w:tc>
          <w:tcPr>
            <w:tcW w:w="1620" w:type="dxa"/>
            <w:tcBorders>
              <w:top w:val="nil"/>
              <w:left w:val="nil"/>
              <w:bottom w:val="nil"/>
              <w:right w:val="nil"/>
            </w:tcBorders>
            <w:vAlign w:val="center"/>
            <w:hideMark/>
          </w:tcPr>
          <w:p w14:paraId="24F45933" w14:textId="77777777" w:rsidR="004E32D6" w:rsidRPr="004E32D6" w:rsidRDefault="004E32D6" w:rsidP="00C63C4C">
            <w:pPr>
              <w:jc w:val="center"/>
              <w:rPr>
                <w:sz w:val="20"/>
                <w:szCs w:val="20"/>
              </w:rPr>
            </w:pPr>
            <w:r w:rsidRPr="004E32D6">
              <w:rPr>
                <w:sz w:val="20"/>
                <w:szCs w:val="20"/>
              </w:rPr>
              <w:t>Time (Day)</w:t>
            </w:r>
          </w:p>
        </w:tc>
        <w:tc>
          <w:tcPr>
            <w:tcW w:w="1440" w:type="dxa"/>
            <w:tcBorders>
              <w:top w:val="nil"/>
              <w:left w:val="nil"/>
              <w:bottom w:val="nil"/>
              <w:right w:val="nil"/>
            </w:tcBorders>
            <w:vAlign w:val="center"/>
            <w:hideMark/>
          </w:tcPr>
          <w:p w14:paraId="4D0ECBCC" w14:textId="77777777" w:rsidR="004E32D6" w:rsidRPr="004E32D6" w:rsidRDefault="004E32D6" w:rsidP="00C63C4C">
            <w:pPr>
              <w:jc w:val="center"/>
              <w:rPr>
                <w:sz w:val="20"/>
                <w:szCs w:val="20"/>
              </w:rPr>
            </w:pPr>
            <w:r w:rsidRPr="004E32D6">
              <w:rPr>
                <w:sz w:val="20"/>
                <w:szCs w:val="20"/>
              </w:rPr>
              <w:t>Phi (Φ)</w:t>
            </w:r>
          </w:p>
        </w:tc>
        <w:tc>
          <w:tcPr>
            <w:tcW w:w="1440" w:type="dxa"/>
            <w:tcBorders>
              <w:top w:val="nil"/>
              <w:left w:val="nil"/>
              <w:bottom w:val="nil"/>
              <w:right w:val="nil"/>
            </w:tcBorders>
            <w:vAlign w:val="center"/>
            <w:hideMark/>
          </w:tcPr>
          <w:p w14:paraId="4BAD3BE2" w14:textId="0C6159EC" w:rsidR="004E32D6" w:rsidRPr="004E32D6" w:rsidRDefault="004E32D6" w:rsidP="00C63C4C">
            <w:pPr>
              <w:ind w:firstLineChars="100" w:firstLine="200"/>
              <w:jc w:val="right"/>
              <w:rPr>
                <w:sz w:val="20"/>
                <w:szCs w:val="20"/>
              </w:rPr>
            </w:pPr>
            <w:r w:rsidRPr="004E32D6">
              <w:rPr>
                <w:sz w:val="20"/>
                <w:szCs w:val="20"/>
              </w:rPr>
              <w:t>0.</w:t>
            </w:r>
            <w:r>
              <w:rPr>
                <w:sz w:val="20"/>
                <w:szCs w:val="20"/>
              </w:rPr>
              <w:t>7</w:t>
            </w:r>
          </w:p>
        </w:tc>
      </w:tr>
    </w:tbl>
    <w:p w14:paraId="67FE225E" w14:textId="77777777" w:rsidR="004E32D6" w:rsidRPr="00001FDD" w:rsidRDefault="004E32D6" w:rsidP="00EC4415">
      <w:pPr>
        <w:spacing w:line="480" w:lineRule="auto"/>
        <w:ind w:left="-15"/>
        <w:rPr>
          <w:sz w:val="20"/>
          <w:szCs w:val="20"/>
        </w:rPr>
      </w:pPr>
    </w:p>
    <w:p w14:paraId="32F94153" w14:textId="62781745" w:rsidR="00B90985" w:rsidRDefault="00B90985" w:rsidP="00797B98">
      <w:pPr>
        <w:spacing w:line="480" w:lineRule="auto"/>
        <w:rPr>
          <w:sz w:val="20"/>
          <w:szCs w:val="20"/>
        </w:rPr>
      </w:pPr>
    </w:p>
    <w:p w14:paraId="3AAD9531" w14:textId="77777777" w:rsidR="00B90985" w:rsidRDefault="00B90985" w:rsidP="00797B98">
      <w:pPr>
        <w:spacing w:line="480" w:lineRule="auto"/>
        <w:rPr>
          <w:sz w:val="20"/>
          <w:szCs w:val="20"/>
        </w:rPr>
      </w:pPr>
    </w:p>
    <w:p w14:paraId="549EF42A" w14:textId="77777777" w:rsidR="00B90985" w:rsidRDefault="00B90985" w:rsidP="00797B98">
      <w:pPr>
        <w:spacing w:line="480" w:lineRule="auto"/>
        <w:rPr>
          <w:sz w:val="20"/>
          <w:szCs w:val="20"/>
        </w:rPr>
      </w:pPr>
    </w:p>
    <w:p w14:paraId="1FDC111A" w14:textId="77777777" w:rsidR="00B90985" w:rsidRDefault="00B90985" w:rsidP="00797B98">
      <w:pPr>
        <w:spacing w:line="480" w:lineRule="auto"/>
        <w:rPr>
          <w:sz w:val="20"/>
          <w:szCs w:val="20"/>
        </w:rPr>
      </w:pPr>
    </w:p>
    <w:p w14:paraId="12D5B822" w14:textId="77777777" w:rsidR="00B90985" w:rsidRDefault="00B90985" w:rsidP="00797B98">
      <w:pPr>
        <w:spacing w:line="480" w:lineRule="auto"/>
        <w:rPr>
          <w:sz w:val="20"/>
          <w:szCs w:val="20"/>
        </w:rPr>
      </w:pPr>
    </w:p>
    <w:p w14:paraId="2D1BE4D9" w14:textId="77777777" w:rsidR="00EC4415" w:rsidRDefault="00EC4415" w:rsidP="00797B98">
      <w:pPr>
        <w:spacing w:line="480" w:lineRule="auto"/>
        <w:rPr>
          <w:sz w:val="20"/>
          <w:szCs w:val="20"/>
        </w:rPr>
      </w:pPr>
    </w:p>
    <w:p w14:paraId="546846D0" w14:textId="77777777" w:rsidR="00EC4415" w:rsidRDefault="00EC4415" w:rsidP="00797B98">
      <w:pPr>
        <w:spacing w:line="480" w:lineRule="auto"/>
        <w:rPr>
          <w:sz w:val="20"/>
          <w:szCs w:val="20"/>
        </w:rPr>
      </w:pPr>
    </w:p>
    <w:p w14:paraId="7D9051A8" w14:textId="77777777" w:rsidR="00EC4415" w:rsidRDefault="00EC4415" w:rsidP="00797B98">
      <w:pPr>
        <w:spacing w:line="480" w:lineRule="auto"/>
        <w:rPr>
          <w:sz w:val="20"/>
          <w:szCs w:val="20"/>
        </w:rPr>
      </w:pPr>
    </w:p>
    <w:p w14:paraId="7011862F" w14:textId="77777777" w:rsidR="00B90985" w:rsidRDefault="00B90985" w:rsidP="00797B98">
      <w:pPr>
        <w:spacing w:line="480" w:lineRule="auto"/>
        <w:rPr>
          <w:sz w:val="20"/>
          <w:szCs w:val="20"/>
        </w:rPr>
      </w:pPr>
    </w:p>
    <w:p w14:paraId="0038CF91" w14:textId="703E952A" w:rsidR="00882A96" w:rsidRDefault="00882A96" w:rsidP="00797B98">
      <w:pPr>
        <w:spacing w:line="480" w:lineRule="auto"/>
        <w:rPr>
          <w:sz w:val="20"/>
          <w:szCs w:val="20"/>
        </w:rPr>
      </w:pPr>
      <w:r>
        <w:rPr>
          <w:noProof/>
          <w:sz w:val="20"/>
          <w:szCs w:val="20"/>
        </w:rPr>
        <w:lastRenderedPageBreak/>
        <w:drawing>
          <wp:inline distT="0" distB="0" distL="0" distR="0" wp14:anchorId="278952F4" wp14:editId="33C45D42">
            <wp:extent cx="5724525" cy="3736607"/>
            <wp:effectExtent l="0" t="0" r="0" b="0"/>
            <wp:docPr id="197687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2524" cy="3741828"/>
                    </a:xfrm>
                    <a:prstGeom prst="rect">
                      <a:avLst/>
                    </a:prstGeom>
                    <a:noFill/>
                  </pic:spPr>
                </pic:pic>
              </a:graphicData>
            </a:graphic>
          </wp:inline>
        </w:drawing>
      </w:r>
    </w:p>
    <w:p w14:paraId="514D3A93" w14:textId="5A0069D8" w:rsidR="00B90985" w:rsidRDefault="00B90985" w:rsidP="00797B98">
      <w:pPr>
        <w:spacing w:line="480" w:lineRule="auto"/>
        <w:rPr>
          <w:sz w:val="20"/>
          <w:szCs w:val="20"/>
        </w:rPr>
      </w:pPr>
      <w:r w:rsidRPr="00EC4415">
        <w:rPr>
          <w:b/>
          <w:bCs/>
          <w:sz w:val="20"/>
          <w:szCs w:val="20"/>
        </w:rPr>
        <w:t>Fig. S2-1</w:t>
      </w:r>
      <w:r w:rsidR="00882A96" w:rsidRPr="00882A96">
        <w:rPr>
          <w:sz w:val="20"/>
          <w:szCs w:val="20"/>
        </w:rPr>
        <w:t xml:space="preserve"> Relationship between average daily ambient temperature and average daily microsite temperature in tree cavities (gray </w:t>
      </w:r>
      <w:r w:rsidR="00882A96">
        <w:rPr>
          <w:sz w:val="20"/>
          <w:szCs w:val="20"/>
        </w:rPr>
        <w:t>open triangles</w:t>
      </w:r>
      <w:r w:rsidR="00882A96" w:rsidRPr="00882A96">
        <w:rPr>
          <w:sz w:val="20"/>
          <w:szCs w:val="20"/>
        </w:rPr>
        <w:t>), and in ground-level microsites (black open</w:t>
      </w:r>
      <w:r w:rsidR="00882A96">
        <w:rPr>
          <w:sz w:val="20"/>
          <w:szCs w:val="20"/>
        </w:rPr>
        <w:t xml:space="preserve"> circles</w:t>
      </w:r>
      <w:r w:rsidR="00882A96" w:rsidRPr="00882A96">
        <w:rPr>
          <w:sz w:val="20"/>
          <w:szCs w:val="20"/>
        </w:rPr>
        <w:t xml:space="preserve">). </w:t>
      </w:r>
      <w:r w:rsidR="00882A96">
        <w:rPr>
          <w:sz w:val="20"/>
          <w:szCs w:val="20"/>
        </w:rPr>
        <w:t>The solid gray and black lines represent the estimated marginal slopes for their respective microsite types. The gray dashed line represents 0 °C in microsites across ambient temperature. Data were collected in</w:t>
      </w:r>
      <w:r w:rsidR="00882A96" w:rsidRPr="00882A96">
        <w:rPr>
          <w:sz w:val="20"/>
          <w:szCs w:val="20"/>
        </w:rPr>
        <w:t xml:space="preserve"> the Superior National Forest, Minnesota USA, and </w:t>
      </w:r>
      <w:r w:rsidR="00882A96">
        <w:rPr>
          <w:sz w:val="20"/>
          <w:szCs w:val="20"/>
        </w:rPr>
        <w:t>the</w:t>
      </w:r>
      <w:r w:rsidR="00882A96" w:rsidRPr="00882A96">
        <w:rPr>
          <w:sz w:val="20"/>
          <w:szCs w:val="20"/>
        </w:rPr>
        <w:t xml:space="preserve"> Huron-Manistee National Forest, Michigan USA. Temperatures were measured during the winter from 2020-2021. </w:t>
      </w:r>
    </w:p>
    <w:p w14:paraId="7A9769C6" w14:textId="77777777" w:rsidR="00882A96" w:rsidRDefault="00882A96">
      <w:pPr>
        <w:rPr>
          <w:sz w:val="20"/>
          <w:szCs w:val="20"/>
        </w:rPr>
      </w:pPr>
    </w:p>
    <w:p w14:paraId="1D285375" w14:textId="1807B42A" w:rsidR="0020778F" w:rsidRDefault="0020778F">
      <w:pPr>
        <w:rPr>
          <w:b/>
          <w:bCs/>
          <w:sz w:val="20"/>
          <w:szCs w:val="20"/>
        </w:rPr>
      </w:pPr>
      <w:r w:rsidRPr="0020778F">
        <w:rPr>
          <w:b/>
          <w:bCs/>
          <w:sz w:val="20"/>
          <w:szCs w:val="20"/>
        </w:rPr>
        <w:t>Literature Cited</w:t>
      </w:r>
    </w:p>
    <w:p w14:paraId="6864DC1D" w14:textId="77777777" w:rsidR="0020778F" w:rsidRPr="0020778F" w:rsidRDefault="0020778F">
      <w:pPr>
        <w:rPr>
          <w:b/>
          <w:bCs/>
          <w:sz w:val="20"/>
          <w:szCs w:val="20"/>
        </w:rPr>
      </w:pPr>
    </w:p>
    <w:p w14:paraId="22DFB4C6" w14:textId="5A48DA8A" w:rsidR="0020778F" w:rsidRDefault="0020778F" w:rsidP="0020778F">
      <w:pPr>
        <w:spacing w:line="480" w:lineRule="auto"/>
        <w:rPr>
          <w:sz w:val="20"/>
          <w:szCs w:val="20"/>
        </w:rPr>
      </w:pPr>
      <w:r w:rsidRPr="0020778F">
        <w:rPr>
          <w:sz w:val="20"/>
          <w:szCs w:val="20"/>
        </w:rPr>
        <w:t xml:space="preserve">Lenth R, Piaskowski J (2025). </w:t>
      </w:r>
      <w:proofErr w:type="spellStart"/>
      <w:r w:rsidRPr="0020778F">
        <w:rPr>
          <w:sz w:val="20"/>
          <w:szCs w:val="20"/>
        </w:rPr>
        <w:t>emmeans</w:t>
      </w:r>
      <w:proofErr w:type="spellEnd"/>
      <w:r w:rsidRPr="0020778F">
        <w:rPr>
          <w:sz w:val="20"/>
          <w:szCs w:val="20"/>
        </w:rPr>
        <w:t xml:space="preserve">: Estimated Marginal Means, aka Least-Squares Means. R package version </w:t>
      </w:r>
      <w:r>
        <w:rPr>
          <w:sz w:val="20"/>
          <w:szCs w:val="20"/>
        </w:rPr>
        <w:tab/>
      </w:r>
      <w:r w:rsidRPr="0020778F">
        <w:rPr>
          <w:sz w:val="20"/>
          <w:szCs w:val="20"/>
        </w:rPr>
        <w:t xml:space="preserve">2.0.1, </w:t>
      </w:r>
      <w:r w:rsidRPr="000C6869">
        <w:rPr>
          <w:sz w:val="20"/>
          <w:szCs w:val="20"/>
        </w:rPr>
        <w:t>https://rvlenth.github.io/emmeans/</w:t>
      </w:r>
      <w:r w:rsidRPr="0020778F">
        <w:rPr>
          <w:sz w:val="20"/>
          <w:szCs w:val="20"/>
        </w:rPr>
        <w:t>.</w:t>
      </w:r>
    </w:p>
    <w:p w14:paraId="3D05AE8B" w14:textId="15AAC26B" w:rsidR="0020778F" w:rsidRDefault="0020778F" w:rsidP="0020778F">
      <w:pPr>
        <w:spacing w:line="480" w:lineRule="auto"/>
        <w:rPr>
          <w:sz w:val="20"/>
          <w:szCs w:val="20"/>
        </w:rPr>
      </w:pPr>
      <w:r w:rsidRPr="0020778F">
        <w:rPr>
          <w:sz w:val="20"/>
          <w:szCs w:val="20"/>
        </w:rPr>
        <w:t xml:space="preserve">Pinheiro J, Bates D, R Core Team (2025). </w:t>
      </w:r>
      <w:proofErr w:type="spellStart"/>
      <w:r w:rsidRPr="0020778F">
        <w:rPr>
          <w:sz w:val="20"/>
          <w:szCs w:val="20"/>
        </w:rPr>
        <w:t>nlme</w:t>
      </w:r>
      <w:proofErr w:type="spellEnd"/>
      <w:r w:rsidRPr="0020778F">
        <w:rPr>
          <w:sz w:val="20"/>
          <w:szCs w:val="20"/>
        </w:rPr>
        <w:t xml:space="preserve">: Linear and Nonlinear Mixed Effects Models. </w:t>
      </w:r>
      <w:r>
        <w:rPr>
          <w:sz w:val="20"/>
          <w:szCs w:val="20"/>
        </w:rPr>
        <w:tab/>
      </w:r>
      <w:proofErr w:type="gramStart"/>
      <w:r w:rsidRPr="0020778F">
        <w:rPr>
          <w:sz w:val="20"/>
          <w:szCs w:val="20"/>
        </w:rPr>
        <w:t>doi:10.32614/</w:t>
      </w:r>
      <w:proofErr w:type="spellStart"/>
      <w:r w:rsidRPr="0020778F">
        <w:rPr>
          <w:sz w:val="20"/>
          <w:szCs w:val="20"/>
        </w:rPr>
        <w:t>CRAN.package.nlme</w:t>
      </w:r>
      <w:proofErr w:type="spellEnd"/>
      <w:proofErr w:type="gramEnd"/>
      <w:r w:rsidRPr="0020778F">
        <w:rPr>
          <w:sz w:val="20"/>
          <w:szCs w:val="20"/>
        </w:rPr>
        <w:t xml:space="preserve">, R package version 3.1-168, </w:t>
      </w:r>
      <w:hyperlink r:id="rId5" w:history="1">
        <w:r w:rsidRPr="00EB0CFE">
          <w:rPr>
            <w:rStyle w:val="Hyperlink"/>
            <w:sz w:val="20"/>
            <w:szCs w:val="20"/>
          </w:rPr>
          <w:t>https://CRAN.R-</w:t>
        </w:r>
      </w:hyperlink>
      <w:r>
        <w:rPr>
          <w:sz w:val="20"/>
          <w:szCs w:val="20"/>
        </w:rPr>
        <w:tab/>
      </w:r>
      <w:r w:rsidRPr="0020778F">
        <w:rPr>
          <w:sz w:val="20"/>
          <w:szCs w:val="20"/>
        </w:rPr>
        <w:t>project.org/package=</w:t>
      </w:r>
      <w:proofErr w:type="spellStart"/>
      <w:r w:rsidRPr="0020778F">
        <w:rPr>
          <w:sz w:val="20"/>
          <w:szCs w:val="20"/>
        </w:rPr>
        <w:t>nlme</w:t>
      </w:r>
      <w:proofErr w:type="spellEnd"/>
      <w:r w:rsidRPr="0020778F">
        <w:rPr>
          <w:sz w:val="20"/>
          <w:szCs w:val="20"/>
        </w:rPr>
        <w:t>.</w:t>
      </w:r>
    </w:p>
    <w:p w14:paraId="6B997C46" w14:textId="77777777" w:rsidR="0020778F" w:rsidRPr="0069358F" w:rsidRDefault="0020778F" w:rsidP="0020778F">
      <w:pPr>
        <w:spacing w:line="480" w:lineRule="auto"/>
        <w:rPr>
          <w:sz w:val="20"/>
          <w:szCs w:val="20"/>
        </w:rPr>
      </w:pPr>
      <w:r w:rsidRPr="00A11001">
        <w:rPr>
          <w:sz w:val="20"/>
          <w:szCs w:val="20"/>
        </w:rPr>
        <w:t>R Core Team</w:t>
      </w:r>
      <w:r>
        <w:rPr>
          <w:sz w:val="20"/>
          <w:szCs w:val="20"/>
        </w:rPr>
        <w:t xml:space="preserve"> (</w:t>
      </w:r>
      <w:r w:rsidRPr="00A11001">
        <w:rPr>
          <w:sz w:val="20"/>
          <w:szCs w:val="20"/>
        </w:rPr>
        <w:t>2021</w:t>
      </w:r>
      <w:r>
        <w:rPr>
          <w:sz w:val="20"/>
          <w:szCs w:val="20"/>
        </w:rPr>
        <w:t>)</w:t>
      </w:r>
      <w:r w:rsidRPr="00A11001">
        <w:rPr>
          <w:sz w:val="20"/>
          <w:szCs w:val="20"/>
        </w:rPr>
        <w:t xml:space="preserve"> R: A language and environment for statistical computing. R Foundation for Statistical </w:t>
      </w:r>
      <w:r w:rsidRPr="00A11001">
        <w:rPr>
          <w:sz w:val="20"/>
          <w:szCs w:val="20"/>
        </w:rPr>
        <w:tab/>
        <w:t xml:space="preserve">Computing, Vienna, Austria. </w:t>
      </w:r>
      <w:r w:rsidRPr="00A11001">
        <w:rPr>
          <w:rFonts w:eastAsiaTheme="majorEastAsia"/>
          <w:sz w:val="20"/>
          <w:szCs w:val="20"/>
        </w:rPr>
        <w:t>https://www.R-project.org/</w:t>
      </w:r>
    </w:p>
    <w:p w14:paraId="63B681AC" w14:textId="77777777" w:rsidR="0020778F" w:rsidRDefault="0020778F">
      <w:pPr>
        <w:rPr>
          <w:sz w:val="20"/>
          <w:szCs w:val="20"/>
        </w:rPr>
      </w:pPr>
    </w:p>
    <w:p w14:paraId="4A090EAD" w14:textId="77777777" w:rsidR="0020778F" w:rsidRDefault="0020778F">
      <w:pPr>
        <w:rPr>
          <w:sz w:val="20"/>
          <w:szCs w:val="20"/>
        </w:rPr>
      </w:pPr>
    </w:p>
    <w:sectPr w:rsidR="002077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F65"/>
    <w:rsid w:val="000C6869"/>
    <w:rsid w:val="00186365"/>
    <w:rsid w:val="0020778F"/>
    <w:rsid w:val="00233CF6"/>
    <w:rsid w:val="00295C53"/>
    <w:rsid w:val="00314EDC"/>
    <w:rsid w:val="00326921"/>
    <w:rsid w:val="003E3205"/>
    <w:rsid w:val="00442AE8"/>
    <w:rsid w:val="004E32D6"/>
    <w:rsid w:val="005143DB"/>
    <w:rsid w:val="006F516A"/>
    <w:rsid w:val="00733F65"/>
    <w:rsid w:val="007612D5"/>
    <w:rsid w:val="00797B98"/>
    <w:rsid w:val="007A5927"/>
    <w:rsid w:val="00882A96"/>
    <w:rsid w:val="008839C6"/>
    <w:rsid w:val="008B3F8F"/>
    <w:rsid w:val="008B7E51"/>
    <w:rsid w:val="00925CEE"/>
    <w:rsid w:val="00AF6532"/>
    <w:rsid w:val="00B90985"/>
    <w:rsid w:val="00EC4415"/>
    <w:rsid w:val="00EC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FE421"/>
  <w15:chartTrackingRefBased/>
  <w15:docId w15:val="{CF45ABD1-47EC-424F-9805-28209AAB1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F65"/>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733F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3F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3F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3F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3F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3F6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3F6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3F6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3F6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3F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3F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3F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3F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3F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3F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3F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3F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3F65"/>
    <w:rPr>
      <w:rFonts w:eastAsiaTheme="majorEastAsia" w:cstheme="majorBidi"/>
      <w:color w:val="272727" w:themeColor="text1" w:themeTint="D8"/>
    </w:rPr>
  </w:style>
  <w:style w:type="paragraph" w:styleId="Title">
    <w:name w:val="Title"/>
    <w:basedOn w:val="Normal"/>
    <w:next w:val="Normal"/>
    <w:link w:val="TitleChar"/>
    <w:uiPriority w:val="10"/>
    <w:qFormat/>
    <w:rsid w:val="00733F6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3F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3F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3F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3F65"/>
    <w:pPr>
      <w:spacing w:before="160"/>
      <w:jc w:val="center"/>
    </w:pPr>
    <w:rPr>
      <w:i/>
      <w:iCs/>
      <w:color w:val="404040" w:themeColor="text1" w:themeTint="BF"/>
    </w:rPr>
  </w:style>
  <w:style w:type="character" w:customStyle="1" w:styleId="QuoteChar">
    <w:name w:val="Quote Char"/>
    <w:basedOn w:val="DefaultParagraphFont"/>
    <w:link w:val="Quote"/>
    <w:uiPriority w:val="29"/>
    <w:rsid w:val="00733F65"/>
    <w:rPr>
      <w:i/>
      <w:iCs/>
      <w:color w:val="404040" w:themeColor="text1" w:themeTint="BF"/>
    </w:rPr>
  </w:style>
  <w:style w:type="paragraph" w:styleId="ListParagraph">
    <w:name w:val="List Paragraph"/>
    <w:basedOn w:val="Normal"/>
    <w:uiPriority w:val="34"/>
    <w:qFormat/>
    <w:rsid w:val="00733F65"/>
    <w:pPr>
      <w:ind w:left="720"/>
      <w:contextualSpacing/>
    </w:pPr>
  </w:style>
  <w:style w:type="character" w:styleId="IntenseEmphasis">
    <w:name w:val="Intense Emphasis"/>
    <w:basedOn w:val="DefaultParagraphFont"/>
    <w:uiPriority w:val="21"/>
    <w:qFormat/>
    <w:rsid w:val="00733F65"/>
    <w:rPr>
      <w:i/>
      <w:iCs/>
      <w:color w:val="0F4761" w:themeColor="accent1" w:themeShade="BF"/>
    </w:rPr>
  </w:style>
  <w:style w:type="paragraph" w:styleId="IntenseQuote">
    <w:name w:val="Intense Quote"/>
    <w:basedOn w:val="Normal"/>
    <w:next w:val="Normal"/>
    <w:link w:val="IntenseQuoteChar"/>
    <w:uiPriority w:val="30"/>
    <w:qFormat/>
    <w:rsid w:val="00733F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3F65"/>
    <w:rPr>
      <w:i/>
      <w:iCs/>
      <w:color w:val="0F4761" w:themeColor="accent1" w:themeShade="BF"/>
    </w:rPr>
  </w:style>
  <w:style w:type="character" w:styleId="IntenseReference">
    <w:name w:val="Intense Reference"/>
    <w:basedOn w:val="DefaultParagraphFont"/>
    <w:uiPriority w:val="32"/>
    <w:qFormat/>
    <w:rsid w:val="00733F65"/>
    <w:rPr>
      <w:b/>
      <w:bCs/>
      <w:smallCaps/>
      <w:color w:val="0F4761" w:themeColor="accent1" w:themeShade="BF"/>
      <w:spacing w:val="5"/>
    </w:rPr>
  </w:style>
  <w:style w:type="character" w:styleId="Hyperlink">
    <w:name w:val="Hyperlink"/>
    <w:basedOn w:val="DefaultParagraphFont"/>
    <w:uiPriority w:val="99"/>
    <w:unhideWhenUsed/>
    <w:rsid w:val="0020778F"/>
    <w:rPr>
      <w:color w:val="467886" w:themeColor="hyperlink"/>
      <w:u w:val="single"/>
    </w:rPr>
  </w:style>
  <w:style w:type="character" w:styleId="UnresolvedMention">
    <w:name w:val="Unresolved Mention"/>
    <w:basedOn w:val="DefaultParagraphFont"/>
    <w:uiPriority w:val="99"/>
    <w:semiHidden/>
    <w:unhideWhenUsed/>
    <w:rsid w:val="002077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RAN.R-"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5</Pages>
  <Words>996</Words>
  <Characters>5681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Minnesota</Company>
  <LinksUpToDate>false</LinksUpToDate>
  <CharactersWithSpaces>6664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B Velander</dc:creator>
  <cp:keywords/>
  <dc:description/>
  <cp:lastModifiedBy>Taylor B Velander</cp:lastModifiedBy>
  <cp:revision>7</cp:revision>
  <dcterms:created xsi:type="dcterms:W3CDTF">2025-12-22T17:35:00Z</dcterms:created>
  <dcterms:modified xsi:type="dcterms:W3CDTF">2026-02-10T21:22:00Z</dcterms:modified>
</cp:coreProperties>
</file>