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197" w:rsidRDefault="001F5197" w:rsidP="001F5197">
      <w:pPr>
        <w:spacing w:line="360" w:lineRule="auto"/>
      </w:pPr>
      <w:r>
        <w:t xml:space="preserve">Table 1S: Multivariable* association of peripheral neuropathy and ART and other risk factors (using inverse probability weights) 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2660"/>
        <w:gridCol w:w="2693"/>
        <w:gridCol w:w="1418"/>
        <w:gridCol w:w="1595"/>
        <w:gridCol w:w="1098"/>
      </w:tblGrid>
      <w:tr w:rsidR="001F5197" w:rsidRPr="003B5682" w:rsidTr="00903336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197" w:rsidRPr="003B5682" w:rsidRDefault="001F5197" w:rsidP="00903336">
            <w:pPr>
              <w:spacing w:line="360" w:lineRule="auto"/>
            </w:pPr>
            <w:r w:rsidRPr="003B5682">
              <w:t>Risk Factor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 w:rsidRPr="003B5682">
              <w:t>Value</w:t>
            </w:r>
            <w:r>
              <w:t xml:space="preserve"> / level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 w:rsidRPr="003B5682">
              <w:t>Odds Ratio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 w:rsidRPr="003B5682">
              <w:t>95% CI for OR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 w:rsidRPr="003B5682">
              <w:t>p-value</w:t>
            </w:r>
          </w:p>
        </w:tc>
      </w:tr>
      <w:tr w:rsidR="001F5197" w:rsidRPr="009E45DA" w:rsidTr="00903336">
        <w:tc>
          <w:tcPr>
            <w:tcW w:w="2660" w:type="dxa"/>
            <w:tcBorders>
              <w:top w:val="single" w:sz="4" w:space="0" w:color="auto"/>
            </w:tcBorders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595" w:type="dxa"/>
            <w:tcBorders>
              <w:top w:val="single" w:sz="4" w:space="0" w:color="auto"/>
            </w:tcBorders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</w:tr>
      <w:tr w:rsidR="001F5197" w:rsidRPr="003B5682" w:rsidTr="00903336">
        <w:tc>
          <w:tcPr>
            <w:tcW w:w="2660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</w:pPr>
            <w:r w:rsidRPr="003B5682">
              <w:t>Intercept</w:t>
            </w:r>
          </w:p>
        </w:tc>
        <w:tc>
          <w:tcPr>
            <w:tcW w:w="2693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</w:p>
        </w:tc>
        <w:tc>
          <w:tcPr>
            <w:tcW w:w="1595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</w:p>
        </w:tc>
        <w:tc>
          <w:tcPr>
            <w:tcW w:w="1098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 w:rsidRPr="003B5682">
              <w:t>0.0</w:t>
            </w:r>
            <w:r>
              <w:t>10</w:t>
            </w:r>
          </w:p>
        </w:tc>
      </w:tr>
      <w:tr w:rsidR="001F5197" w:rsidRPr="009E45DA" w:rsidTr="00903336">
        <w:tc>
          <w:tcPr>
            <w:tcW w:w="2660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2693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418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595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098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</w:tr>
      <w:tr w:rsidR="001F5197" w:rsidRPr="003B5682" w:rsidTr="00903336">
        <w:tc>
          <w:tcPr>
            <w:tcW w:w="2660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</w:pPr>
            <w:r w:rsidRPr="003B5682">
              <w:t>On ART medi</w:t>
            </w:r>
            <w:r>
              <w:t>cation</w:t>
            </w:r>
          </w:p>
        </w:tc>
        <w:tc>
          <w:tcPr>
            <w:tcW w:w="2693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 w:rsidRPr="003B5682">
              <w:t>Yes vs. No, at CD4=600 cells</w:t>
            </w:r>
          </w:p>
        </w:tc>
        <w:tc>
          <w:tcPr>
            <w:tcW w:w="1418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2.19</w:t>
            </w:r>
          </w:p>
        </w:tc>
        <w:tc>
          <w:tcPr>
            <w:tcW w:w="1595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0.88 to 5.43</w:t>
            </w:r>
          </w:p>
        </w:tc>
        <w:tc>
          <w:tcPr>
            <w:tcW w:w="1098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0.060</w:t>
            </w:r>
          </w:p>
        </w:tc>
      </w:tr>
      <w:tr w:rsidR="001F5197" w:rsidRPr="009E45DA" w:rsidTr="00903336">
        <w:tc>
          <w:tcPr>
            <w:tcW w:w="2660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2693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418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595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098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</w:tr>
      <w:tr w:rsidR="001F5197" w:rsidRPr="003B5682" w:rsidTr="00903336">
        <w:tc>
          <w:tcPr>
            <w:tcW w:w="2660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</w:pPr>
            <w:r w:rsidRPr="003B5682">
              <w:t xml:space="preserve">Interaction of on ART and CD4 cell count </w:t>
            </w:r>
          </w:p>
        </w:tc>
        <w:tc>
          <w:tcPr>
            <w:tcW w:w="2693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</w:p>
        </w:tc>
        <w:tc>
          <w:tcPr>
            <w:tcW w:w="1595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</w:p>
        </w:tc>
        <w:tc>
          <w:tcPr>
            <w:tcW w:w="1098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0.007</w:t>
            </w:r>
          </w:p>
        </w:tc>
      </w:tr>
      <w:tr w:rsidR="001F5197" w:rsidRPr="009E45DA" w:rsidTr="00903336">
        <w:tc>
          <w:tcPr>
            <w:tcW w:w="2660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2693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418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595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098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</w:tr>
      <w:tr w:rsidR="001F5197" w:rsidRPr="003B5682" w:rsidTr="00903336">
        <w:tc>
          <w:tcPr>
            <w:tcW w:w="2660" w:type="dxa"/>
            <w:vMerge w:val="restart"/>
            <w:shd w:val="clear" w:color="auto" w:fill="auto"/>
          </w:tcPr>
          <w:p w:rsidR="001F5197" w:rsidRPr="003B5682" w:rsidRDefault="001F5197" w:rsidP="00903336">
            <w:pPr>
              <w:spacing w:line="360" w:lineRule="auto"/>
            </w:pPr>
            <w:r w:rsidRPr="003B5682">
              <w:t>CD4 cell count</w:t>
            </w:r>
          </w:p>
        </w:tc>
        <w:tc>
          <w:tcPr>
            <w:tcW w:w="2693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 w:rsidRPr="003B5682">
              <w:t>1</w:t>
            </w:r>
            <w:r>
              <w:t>0</w:t>
            </w:r>
            <w:r w:rsidRPr="003B5682">
              <w:t xml:space="preserve"> unit </w:t>
            </w:r>
            <w:r>
              <w:t>increase f</w:t>
            </w:r>
            <w:r w:rsidRPr="003B5682">
              <w:t>or on ART</w:t>
            </w:r>
          </w:p>
        </w:tc>
        <w:tc>
          <w:tcPr>
            <w:tcW w:w="1418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1.02</w:t>
            </w:r>
          </w:p>
        </w:tc>
        <w:tc>
          <w:tcPr>
            <w:tcW w:w="1595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1.00 to 1.03</w:t>
            </w:r>
          </w:p>
        </w:tc>
        <w:tc>
          <w:tcPr>
            <w:tcW w:w="1098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0.041</w:t>
            </w:r>
          </w:p>
        </w:tc>
      </w:tr>
      <w:tr w:rsidR="001F5197" w:rsidRPr="003B5682" w:rsidTr="00903336">
        <w:tc>
          <w:tcPr>
            <w:tcW w:w="2660" w:type="dxa"/>
            <w:vMerge/>
            <w:shd w:val="clear" w:color="auto" w:fill="auto"/>
          </w:tcPr>
          <w:p w:rsidR="001F5197" w:rsidRPr="003B5682" w:rsidRDefault="001F5197" w:rsidP="00903336">
            <w:pPr>
              <w:spacing w:line="360" w:lineRule="auto"/>
            </w:pPr>
          </w:p>
        </w:tc>
        <w:tc>
          <w:tcPr>
            <w:tcW w:w="2693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 w:rsidRPr="003B5682">
              <w:t>1</w:t>
            </w:r>
            <w:r>
              <w:t>0</w:t>
            </w:r>
            <w:r w:rsidRPr="003B5682">
              <w:t xml:space="preserve"> unit </w:t>
            </w:r>
            <w:r>
              <w:t>increase f</w:t>
            </w:r>
            <w:r w:rsidRPr="003B5682">
              <w:t>or not on ART</w:t>
            </w:r>
          </w:p>
        </w:tc>
        <w:tc>
          <w:tcPr>
            <w:tcW w:w="1418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0.98</w:t>
            </w:r>
          </w:p>
        </w:tc>
        <w:tc>
          <w:tcPr>
            <w:tcW w:w="1595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0.96 to 1.00</w:t>
            </w:r>
          </w:p>
        </w:tc>
        <w:tc>
          <w:tcPr>
            <w:tcW w:w="1098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</w:p>
        </w:tc>
      </w:tr>
      <w:tr w:rsidR="001F5197" w:rsidRPr="009E45DA" w:rsidTr="00903336">
        <w:tc>
          <w:tcPr>
            <w:tcW w:w="2660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2693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418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595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098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</w:tr>
      <w:tr w:rsidR="001F5197" w:rsidRPr="003B5682" w:rsidTr="00903336">
        <w:tc>
          <w:tcPr>
            <w:tcW w:w="2660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</w:pPr>
            <w:r w:rsidRPr="003B5682">
              <w:t>Lac</w:t>
            </w:r>
            <w:r>
              <w:t xml:space="preserve">tate </w:t>
            </w:r>
          </w:p>
        </w:tc>
        <w:tc>
          <w:tcPr>
            <w:tcW w:w="2693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 xml:space="preserve">&gt;2.2  Vs. ≤2.2 </w:t>
            </w:r>
            <w:proofErr w:type="spellStart"/>
            <w:r>
              <w:t>mmol</w:t>
            </w:r>
            <w:proofErr w:type="spellEnd"/>
            <w:r>
              <w:t>/l</w:t>
            </w:r>
          </w:p>
        </w:tc>
        <w:tc>
          <w:tcPr>
            <w:tcW w:w="1418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2.42</w:t>
            </w:r>
          </w:p>
        </w:tc>
        <w:tc>
          <w:tcPr>
            <w:tcW w:w="1595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0.88 to 6.66</w:t>
            </w:r>
          </w:p>
        </w:tc>
        <w:tc>
          <w:tcPr>
            <w:tcW w:w="1098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0.087</w:t>
            </w:r>
          </w:p>
        </w:tc>
      </w:tr>
      <w:tr w:rsidR="001F5197" w:rsidRPr="009E45DA" w:rsidTr="00903336">
        <w:tc>
          <w:tcPr>
            <w:tcW w:w="2660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2693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418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595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098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</w:tr>
      <w:tr w:rsidR="001F5197" w:rsidRPr="003B5682" w:rsidTr="00903336">
        <w:tc>
          <w:tcPr>
            <w:tcW w:w="2660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</w:pPr>
            <w:r w:rsidRPr="003B5682">
              <w:t>Age group</w:t>
            </w:r>
          </w:p>
        </w:tc>
        <w:tc>
          <w:tcPr>
            <w:tcW w:w="2693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 w:rsidRPr="003B5682">
              <w:t>&gt;34 years</w:t>
            </w:r>
            <w:r>
              <w:t xml:space="preserve"> Vs. </w:t>
            </w:r>
            <w:r w:rsidRPr="003B5682">
              <w:t>≤34 years</w:t>
            </w:r>
          </w:p>
        </w:tc>
        <w:tc>
          <w:tcPr>
            <w:tcW w:w="1418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1.59</w:t>
            </w:r>
          </w:p>
        </w:tc>
        <w:tc>
          <w:tcPr>
            <w:tcW w:w="1595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0.85 to 2.89</w:t>
            </w:r>
          </w:p>
        </w:tc>
        <w:tc>
          <w:tcPr>
            <w:tcW w:w="1098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0.151</w:t>
            </w:r>
          </w:p>
        </w:tc>
      </w:tr>
      <w:tr w:rsidR="001F5197" w:rsidRPr="009E45DA" w:rsidTr="00903336">
        <w:tc>
          <w:tcPr>
            <w:tcW w:w="2660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2693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418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595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098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</w:tr>
      <w:tr w:rsidR="001F5197" w:rsidRPr="003B5682" w:rsidTr="00903336">
        <w:tc>
          <w:tcPr>
            <w:tcW w:w="2660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</w:pPr>
            <w:r w:rsidRPr="003B5682">
              <w:t>Education group (years of school)</w:t>
            </w:r>
          </w:p>
        </w:tc>
        <w:tc>
          <w:tcPr>
            <w:tcW w:w="2693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 w:rsidRPr="003B5682">
              <w:t>&gt;9</w:t>
            </w:r>
            <w:r>
              <w:t xml:space="preserve"> </w:t>
            </w:r>
            <w:r w:rsidRPr="003B5682">
              <w:t>years</w:t>
            </w:r>
            <w:r>
              <w:t xml:space="preserve"> Vs. </w:t>
            </w:r>
            <w:r w:rsidRPr="003B5682">
              <w:t>≤9 years</w:t>
            </w:r>
          </w:p>
        </w:tc>
        <w:tc>
          <w:tcPr>
            <w:tcW w:w="1418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 xml:space="preserve">0.49 </w:t>
            </w:r>
          </w:p>
        </w:tc>
        <w:tc>
          <w:tcPr>
            <w:tcW w:w="1595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0.25 to 0.95</w:t>
            </w:r>
          </w:p>
        </w:tc>
        <w:tc>
          <w:tcPr>
            <w:tcW w:w="1098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0.035</w:t>
            </w:r>
          </w:p>
        </w:tc>
      </w:tr>
      <w:tr w:rsidR="001F5197" w:rsidRPr="009E45DA" w:rsidTr="00903336">
        <w:tc>
          <w:tcPr>
            <w:tcW w:w="2660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2693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418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595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098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</w:tr>
      <w:tr w:rsidR="001F5197" w:rsidRPr="003B5682" w:rsidTr="00903336">
        <w:tc>
          <w:tcPr>
            <w:tcW w:w="2660" w:type="dxa"/>
            <w:vMerge w:val="restart"/>
            <w:shd w:val="clear" w:color="auto" w:fill="auto"/>
          </w:tcPr>
          <w:p w:rsidR="001F5197" w:rsidRPr="003B5682" w:rsidRDefault="001F5197" w:rsidP="00903336">
            <w:pPr>
              <w:spacing w:line="360" w:lineRule="auto"/>
            </w:pPr>
            <w:r w:rsidRPr="003B5682">
              <w:t>Patient’s height (quartiles)</w:t>
            </w:r>
          </w:p>
        </w:tc>
        <w:tc>
          <w:tcPr>
            <w:tcW w:w="2693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 w:rsidRPr="003B5682">
              <w:t>&gt;1.66</w:t>
            </w:r>
            <w:r>
              <w:t xml:space="preserve"> Vs. </w:t>
            </w:r>
            <w:r w:rsidRPr="003B5682">
              <w:t>≤1.57m</w:t>
            </w:r>
          </w:p>
        </w:tc>
        <w:tc>
          <w:tcPr>
            <w:tcW w:w="1418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5.74</w:t>
            </w:r>
          </w:p>
        </w:tc>
        <w:tc>
          <w:tcPr>
            <w:tcW w:w="1595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2.10 to 16.03</w:t>
            </w:r>
          </w:p>
        </w:tc>
        <w:tc>
          <w:tcPr>
            <w:tcW w:w="1098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&lt;0.001</w:t>
            </w:r>
          </w:p>
        </w:tc>
      </w:tr>
      <w:tr w:rsidR="001F5197" w:rsidRPr="003B5682" w:rsidTr="00903336">
        <w:tc>
          <w:tcPr>
            <w:tcW w:w="2660" w:type="dxa"/>
            <w:vMerge/>
            <w:shd w:val="clear" w:color="auto" w:fill="auto"/>
          </w:tcPr>
          <w:p w:rsidR="001F5197" w:rsidRPr="003B5682" w:rsidRDefault="001F5197" w:rsidP="00903336">
            <w:pPr>
              <w:spacing w:line="360" w:lineRule="auto"/>
            </w:pPr>
          </w:p>
        </w:tc>
        <w:tc>
          <w:tcPr>
            <w:tcW w:w="2693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 w:rsidRPr="003B5682">
              <w:t>&gt;1.62 to 1.66</w:t>
            </w:r>
            <w:r>
              <w:t xml:space="preserve"> Vs. </w:t>
            </w:r>
            <w:r w:rsidRPr="003B5682">
              <w:t>≤1.57m</w:t>
            </w:r>
          </w:p>
        </w:tc>
        <w:tc>
          <w:tcPr>
            <w:tcW w:w="1418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4.72</w:t>
            </w:r>
          </w:p>
        </w:tc>
        <w:tc>
          <w:tcPr>
            <w:tcW w:w="1595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1.63 to 13.68</w:t>
            </w:r>
          </w:p>
        </w:tc>
        <w:tc>
          <w:tcPr>
            <w:tcW w:w="1098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0.004</w:t>
            </w:r>
          </w:p>
        </w:tc>
      </w:tr>
      <w:tr w:rsidR="001F5197" w:rsidRPr="003B5682" w:rsidTr="00903336">
        <w:tc>
          <w:tcPr>
            <w:tcW w:w="2660" w:type="dxa"/>
            <w:vMerge/>
            <w:shd w:val="clear" w:color="auto" w:fill="auto"/>
          </w:tcPr>
          <w:p w:rsidR="001F5197" w:rsidRPr="003B5682" w:rsidRDefault="001F5197" w:rsidP="00903336">
            <w:pPr>
              <w:spacing w:line="360" w:lineRule="auto"/>
            </w:pPr>
          </w:p>
        </w:tc>
        <w:tc>
          <w:tcPr>
            <w:tcW w:w="2693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 w:rsidRPr="003B5682">
              <w:t>&gt;1.57 to 1.62</w:t>
            </w:r>
            <w:r>
              <w:t xml:space="preserve"> Vs. </w:t>
            </w:r>
            <w:r w:rsidRPr="003B5682">
              <w:t>≤1.57m</w:t>
            </w:r>
          </w:p>
        </w:tc>
        <w:tc>
          <w:tcPr>
            <w:tcW w:w="1418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3.77</w:t>
            </w:r>
          </w:p>
        </w:tc>
        <w:tc>
          <w:tcPr>
            <w:tcW w:w="1595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1.34 to 10.64</w:t>
            </w:r>
          </w:p>
        </w:tc>
        <w:tc>
          <w:tcPr>
            <w:tcW w:w="1098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0.012</w:t>
            </w:r>
          </w:p>
        </w:tc>
      </w:tr>
      <w:tr w:rsidR="001F5197" w:rsidRPr="009E45DA" w:rsidTr="00903336">
        <w:tc>
          <w:tcPr>
            <w:tcW w:w="2660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2693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418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595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098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</w:tr>
      <w:tr w:rsidR="001F5197" w:rsidRPr="003B5682" w:rsidTr="00903336">
        <w:tc>
          <w:tcPr>
            <w:tcW w:w="2660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</w:pPr>
            <w:r w:rsidRPr="003B5682">
              <w:t xml:space="preserve">Average waist girth </w:t>
            </w:r>
          </w:p>
        </w:tc>
        <w:tc>
          <w:tcPr>
            <w:tcW w:w="2693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 w:rsidRPr="003B5682">
              <w:t xml:space="preserve">1 </w:t>
            </w:r>
            <w:r>
              <w:t>cm</w:t>
            </w:r>
            <w:r w:rsidRPr="003B5682">
              <w:t xml:space="preserve"> increase</w:t>
            </w:r>
          </w:p>
        </w:tc>
        <w:tc>
          <w:tcPr>
            <w:tcW w:w="1418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1.04</w:t>
            </w:r>
          </w:p>
        </w:tc>
        <w:tc>
          <w:tcPr>
            <w:tcW w:w="1595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0.98 to 1.09</w:t>
            </w:r>
          </w:p>
        </w:tc>
        <w:tc>
          <w:tcPr>
            <w:tcW w:w="1098" w:type="dxa"/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0.174</w:t>
            </w:r>
          </w:p>
        </w:tc>
      </w:tr>
      <w:tr w:rsidR="001F5197" w:rsidRPr="009E45DA" w:rsidTr="00903336">
        <w:tc>
          <w:tcPr>
            <w:tcW w:w="2660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2693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418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595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098" w:type="dxa"/>
            <w:shd w:val="clear" w:color="auto" w:fill="auto"/>
          </w:tcPr>
          <w:p w:rsidR="001F5197" w:rsidRPr="00684023" w:rsidRDefault="001F5197" w:rsidP="00903336">
            <w:pPr>
              <w:spacing w:line="360" w:lineRule="auto"/>
              <w:jc w:val="center"/>
              <w:rPr>
                <w:sz w:val="8"/>
                <w:szCs w:val="8"/>
              </w:rPr>
            </w:pPr>
          </w:p>
        </w:tc>
      </w:tr>
      <w:tr w:rsidR="001F5197" w:rsidRPr="003B5682" w:rsidTr="00903336"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:rsidR="001F5197" w:rsidRPr="003B5682" w:rsidRDefault="001F5197" w:rsidP="00903336">
            <w:pPr>
              <w:spacing w:line="360" w:lineRule="auto"/>
            </w:pPr>
            <w:r w:rsidRPr="003B5682">
              <w:t>Average hip girth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 w:rsidRPr="003B5682">
              <w:t xml:space="preserve">1 </w:t>
            </w:r>
            <w:r>
              <w:t>cm</w:t>
            </w:r>
            <w:r w:rsidRPr="003B5682">
              <w:t xml:space="preserve"> increase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0.96</w:t>
            </w:r>
          </w:p>
        </w:tc>
        <w:tc>
          <w:tcPr>
            <w:tcW w:w="1595" w:type="dxa"/>
            <w:tcBorders>
              <w:bottom w:val="single" w:sz="4" w:space="0" w:color="auto"/>
            </w:tcBorders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0.92 to 1.00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1F5197" w:rsidRPr="003B5682" w:rsidRDefault="001F5197" w:rsidP="00903336">
            <w:pPr>
              <w:spacing w:line="360" w:lineRule="auto"/>
              <w:jc w:val="center"/>
            </w:pPr>
            <w:r>
              <w:t>0.069</w:t>
            </w:r>
          </w:p>
        </w:tc>
      </w:tr>
    </w:tbl>
    <w:p w:rsidR="001F5197" w:rsidRDefault="001F5197" w:rsidP="001F5197">
      <w:pPr>
        <w:spacing w:before="120" w:line="360" w:lineRule="auto"/>
      </w:pPr>
      <w:r>
        <w:t xml:space="preserve">* A logistic regression model was used. The original model included in addition the factors: change of ART medication, patient’s sex, alcohol intake, </w:t>
      </w:r>
      <w:proofErr w:type="gramStart"/>
      <w:r>
        <w:t>height</w:t>
      </w:r>
      <w:proofErr w:type="gramEnd"/>
      <w:r>
        <w:t xml:space="preserve"> to weight ratio, chromium, neutrophils, and lymphocyte concentration. The model was reduced using backwards selection excluding factors with a p-value&gt;0.25. An inverse probability weight in function of </w:t>
      </w:r>
      <w:r>
        <w:rPr>
          <w:bCs/>
        </w:rPr>
        <w:t xml:space="preserve">On ART, </w:t>
      </w:r>
      <w:r>
        <w:rPr>
          <w:bCs/>
        </w:rPr>
        <w:lastRenderedPageBreak/>
        <w:t>change ART medication, sex, age, education and height was used to estimate probable effects if all subjects could have been included in the model</w:t>
      </w:r>
    </w:p>
    <w:p w:rsidR="001F5197" w:rsidRDefault="001F5197" w:rsidP="001F5197">
      <w:pPr>
        <w:spacing w:line="360" w:lineRule="auto"/>
      </w:pPr>
      <w:r>
        <w:t>ART (Antiretroviral therapy)</w:t>
      </w:r>
    </w:p>
    <w:p w:rsidR="001F5197" w:rsidRDefault="001F5197" w:rsidP="001F5197">
      <w:pPr>
        <w:spacing w:line="360" w:lineRule="auto"/>
        <w:rPr>
          <w:bCs/>
        </w:rPr>
      </w:pPr>
      <w:r>
        <w:t>PN (</w:t>
      </w:r>
      <w:r w:rsidRPr="00755231">
        <w:t>Peripheral neuropathy</w:t>
      </w:r>
      <w:r>
        <w:t>)</w:t>
      </w:r>
      <w:r>
        <w:rPr>
          <w:b/>
        </w:rPr>
        <w:t xml:space="preserve"> </w:t>
      </w:r>
      <w:r>
        <w:t>determined with v</w:t>
      </w:r>
      <w:r w:rsidRPr="00755231">
        <w:t>ibration perception threshold</w:t>
      </w:r>
      <w:r>
        <w:t xml:space="preserve"> </w:t>
      </w:r>
      <w:r w:rsidRPr="00755231">
        <w:t>&gt;9V</w:t>
      </w:r>
      <w:r>
        <w:t xml:space="preserve"> (b</w:t>
      </w:r>
      <w:r w:rsidRPr="00EF6C6F">
        <w:rPr>
          <w:bCs/>
        </w:rPr>
        <w:t xml:space="preserve">ase of </w:t>
      </w:r>
      <w:r>
        <w:rPr>
          <w:bCs/>
        </w:rPr>
        <w:t>first toe, l</w:t>
      </w:r>
      <w:r w:rsidRPr="00EF6C6F">
        <w:rPr>
          <w:bCs/>
        </w:rPr>
        <w:t xml:space="preserve">eft and </w:t>
      </w:r>
      <w:r>
        <w:rPr>
          <w:bCs/>
        </w:rPr>
        <w:t>r</w:t>
      </w:r>
      <w:r w:rsidRPr="00EF6C6F">
        <w:rPr>
          <w:bCs/>
        </w:rPr>
        <w:t>ight</w:t>
      </w:r>
      <w:r>
        <w:rPr>
          <w:bCs/>
        </w:rPr>
        <w:t>; average of three measurements</w:t>
      </w:r>
      <w:r w:rsidRPr="00EF6C6F">
        <w:rPr>
          <w:bCs/>
        </w:rPr>
        <w:t>)</w:t>
      </w:r>
    </w:p>
    <w:p w:rsidR="00846A59" w:rsidRDefault="00846A59">
      <w:bookmarkStart w:id="0" w:name="_GoBack"/>
      <w:bookmarkEnd w:id="0"/>
    </w:p>
    <w:sectPr w:rsidR="00846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197"/>
    <w:rsid w:val="001F5197"/>
    <w:rsid w:val="00220ECD"/>
    <w:rsid w:val="002B319B"/>
    <w:rsid w:val="00494B0D"/>
    <w:rsid w:val="005A55E6"/>
    <w:rsid w:val="00742E31"/>
    <w:rsid w:val="00846A59"/>
    <w:rsid w:val="00BC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197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55E6"/>
    <w:pPr>
      <w:keepNext/>
      <w:spacing w:before="360" w:after="180" w:line="48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55E6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A55E6"/>
    <w:pPr>
      <w:keepNext/>
      <w:spacing w:before="240" w:after="60" w:line="360" w:lineRule="auto"/>
      <w:outlineLvl w:val="2"/>
    </w:pPr>
    <w:rPr>
      <w:rFonts w:ascii="Arial" w:eastAsiaTheme="majorEastAsia" w:hAnsi="Arial" w:cs="Arial"/>
      <w:b/>
      <w:bCs/>
      <w:sz w:val="26"/>
      <w:szCs w:val="26"/>
      <w:lang w:val="en-PH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55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A55E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A55E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A55E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A55E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A55E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PRAMainBodyText">
    <w:name w:val="HPRA_MainBodyText"/>
    <w:basedOn w:val="Normal"/>
    <w:link w:val="HPRAMainBodyTextChar"/>
    <w:rsid w:val="00BC70BF"/>
    <w:rPr>
      <w:rFonts w:ascii="Segoe UI" w:eastAsia="Segoe UI" w:hAnsi="Segoe UI"/>
      <w:sz w:val="20"/>
      <w:szCs w:val="20"/>
      <w:lang w:val="x-none" w:eastAsia="x-none"/>
    </w:rPr>
  </w:style>
  <w:style w:type="character" w:customStyle="1" w:styleId="HPRAMainBodyTextChar">
    <w:name w:val="HPRA_MainBodyText Char"/>
    <w:link w:val="HPRAMainBodyText"/>
    <w:rsid w:val="00BC70BF"/>
    <w:rPr>
      <w:rFonts w:ascii="Segoe UI" w:eastAsia="Segoe UI" w:hAnsi="Segoe UI" w:cs="Times New Roman"/>
      <w:sz w:val="20"/>
      <w:szCs w:val="20"/>
      <w:lang w:val="x-none" w:eastAsia="x-none"/>
    </w:rPr>
  </w:style>
  <w:style w:type="character" w:customStyle="1" w:styleId="Heading1Char">
    <w:name w:val="Heading 1 Char"/>
    <w:basedOn w:val="DefaultParagraphFont"/>
    <w:link w:val="Heading1"/>
    <w:uiPriority w:val="9"/>
    <w:rsid w:val="005A55E6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link w:val="Heading2"/>
    <w:uiPriority w:val="9"/>
    <w:rsid w:val="005A55E6"/>
    <w:rPr>
      <w:rFonts w:ascii="Cambria" w:eastAsiaTheme="majorEastAsia" w:hAnsi="Cambria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link w:val="Heading3"/>
    <w:rsid w:val="005A55E6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A55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5A55E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5A55E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5A55E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5A55E6"/>
    <w:rPr>
      <w:rFonts w:asciiTheme="majorHAnsi" w:eastAsiaTheme="majorEastAsia" w:hAnsiTheme="majorHAnsi" w:cstheme="majorBidi"/>
      <w:color w:val="404040" w:themeColor="text1" w:themeTint="BF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5A55E6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5A55E6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A55E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A55E6"/>
    <w:rPr>
      <w:rFonts w:asciiTheme="majorHAnsi" w:eastAsiaTheme="majorEastAsia" w:hAnsiTheme="majorHAnsi" w:cstheme="majorBidi"/>
      <w:b/>
      <w:bCs/>
      <w:kern w:val="28"/>
      <w:sz w:val="32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5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A55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5A55E6"/>
    <w:rPr>
      <w:i/>
      <w:iCs/>
    </w:rPr>
  </w:style>
  <w:style w:type="paragraph" w:styleId="NoSpacing">
    <w:name w:val="No Spacing"/>
    <w:uiPriority w:val="1"/>
    <w:qFormat/>
    <w:rsid w:val="005A55E6"/>
    <w:rPr>
      <w:sz w:val="24"/>
      <w:szCs w:val="24"/>
      <w:lang w:val="en-US"/>
    </w:rPr>
  </w:style>
  <w:style w:type="paragraph" w:styleId="ListParagraph">
    <w:name w:val="List Paragraph"/>
    <w:basedOn w:val="Normal"/>
    <w:uiPriority w:val="99"/>
    <w:qFormat/>
    <w:rsid w:val="005A55E6"/>
    <w:pPr>
      <w:ind w:left="720"/>
    </w:pPr>
    <w:rPr>
      <w:rFonts w:ascii="Calibri" w:eastAsia="SimSun" w:hAnsi="Calibri" w:cs="Calibri"/>
      <w:sz w:val="22"/>
      <w:szCs w:val="22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5A55E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A55E6"/>
    <w:rPr>
      <w:i/>
      <w:iCs/>
      <w:color w:val="000000" w:themeColor="text1"/>
      <w:sz w:val="24"/>
      <w:szCs w:val="24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5E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5E6"/>
    <w:rPr>
      <w:b/>
      <w:bCs/>
      <w:i/>
      <w:iCs/>
      <w:color w:val="4F81BD" w:themeColor="accent1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5A55E6"/>
    <w:pPr>
      <w:keepLines/>
      <w:spacing w:before="480" w:after="0" w:line="240" w:lineRule="auto"/>
      <w:outlineLvl w:val="9"/>
    </w:pPr>
    <w:rPr>
      <w:color w:val="365F91" w:themeColor="accent1" w:themeShade="BF"/>
      <w:kern w:val="0"/>
      <w:sz w:val="28"/>
      <w:szCs w:val="28"/>
    </w:rPr>
  </w:style>
  <w:style w:type="character" w:styleId="Strong">
    <w:name w:val="Strong"/>
    <w:basedOn w:val="DefaultParagraphFont"/>
    <w:uiPriority w:val="22"/>
    <w:qFormat/>
    <w:rsid w:val="005A55E6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A55E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A55E6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5A55E6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A55E6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A55E6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197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55E6"/>
    <w:pPr>
      <w:keepNext/>
      <w:spacing w:before="360" w:after="180" w:line="48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55E6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A55E6"/>
    <w:pPr>
      <w:keepNext/>
      <w:spacing w:before="240" w:after="60" w:line="360" w:lineRule="auto"/>
      <w:outlineLvl w:val="2"/>
    </w:pPr>
    <w:rPr>
      <w:rFonts w:ascii="Arial" w:eastAsiaTheme="majorEastAsia" w:hAnsi="Arial" w:cs="Arial"/>
      <w:b/>
      <w:bCs/>
      <w:sz w:val="26"/>
      <w:szCs w:val="26"/>
      <w:lang w:val="en-PH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55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A55E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A55E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A55E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A55E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A55E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PRAMainBodyText">
    <w:name w:val="HPRA_MainBodyText"/>
    <w:basedOn w:val="Normal"/>
    <w:link w:val="HPRAMainBodyTextChar"/>
    <w:rsid w:val="00BC70BF"/>
    <w:rPr>
      <w:rFonts w:ascii="Segoe UI" w:eastAsia="Segoe UI" w:hAnsi="Segoe UI"/>
      <w:sz w:val="20"/>
      <w:szCs w:val="20"/>
      <w:lang w:val="x-none" w:eastAsia="x-none"/>
    </w:rPr>
  </w:style>
  <w:style w:type="character" w:customStyle="1" w:styleId="HPRAMainBodyTextChar">
    <w:name w:val="HPRA_MainBodyText Char"/>
    <w:link w:val="HPRAMainBodyText"/>
    <w:rsid w:val="00BC70BF"/>
    <w:rPr>
      <w:rFonts w:ascii="Segoe UI" w:eastAsia="Segoe UI" w:hAnsi="Segoe UI" w:cs="Times New Roman"/>
      <w:sz w:val="20"/>
      <w:szCs w:val="20"/>
      <w:lang w:val="x-none" w:eastAsia="x-none"/>
    </w:rPr>
  </w:style>
  <w:style w:type="character" w:customStyle="1" w:styleId="Heading1Char">
    <w:name w:val="Heading 1 Char"/>
    <w:basedOn w:val="DefaultParagraphFont"/>
    <w:link w:val="Heading1"/>
    <w:uiPriority w:val="9"/>
    <w:rsid w:val="005A55E6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link w:val="Heading2"/>
    <w:uiPriority w:val="9"/>
    <w:rsid w:val="005A55E6"/>
    <w:rPr>
      <w:rFonts w:ascii="Cambria" w:eastAsiaTheme="majorEastAsia" w:hAnsi="Cambria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link w:val="Heading3"/>
    <w:rsid w:val="005A55E6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A55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5A55E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5A55E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5A55E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5A55E6"/>
    <w:rPr>
      <w:rFonts w:asciiTheme="majorHAnsi" w:eastAsiaTheme="majorEastAsia" w:hAnsiTheme="majorHAnsi" w:cstheme="majorBidi"/>
      <w:color w:val="404040" w:themeColor="text1" w:themeTint="BF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5A55E6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5A55E6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A55E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A55E6"/>
    <w:rPr>
      <w:rFonts w:asciiTheme="majorHAnsi" w:eastAsiaTheme="majorEastAsia" w:hAnsiTheme="majorHAnsi" w:cstheme="majorBidi"/>
      <w:b/>
      <w:bCs/>
      <w:kern w:val="28"/>
      <w:sz w:val="32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5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A55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5A55E6"/>
    <w:rPr>
      <w:i/>
      <w:iCs/>
    </w:rPr>
  </w:style>
  <w:style w:type="paragraph" w:styleId="NoSpacing">
    <w:name w:val="No Spacing"/>
    <w:uiPriority w:val="1"/>
    <w:qFormat/>
    <w:rsid w:val="005A55E6"/>
    <w:rPr>
      <w:sz w:val="24"/>
      <w:szCs w:val="24"/>
      <w:lang w:val="en-US"/>
    </w:rPr>
  </w:style>
  <w:style w:type="paragraph" w:styleId="ListParagraph">
    <w:name w:val="List Paragraph"/>
    <w:basedOn w:val="Normal"/>
    <w:uiPriority w:val="99"/>
    <w:qFormat/>
    <w:rsid w:val="005A55E6"/>
    <w:pPr>
      <w:ind w:left="720"/>
    </w:pPr>
    <w:rPr>
      <w:rFonts w:ascii="Calibri" w:eastAsia="SimSun" w:hAnsi="Calibri" w:cs="Calibri"/>
      <w:sz w:val="22"/>
      <w:szCs w:val="22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5A55E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A55E6"/>
    <w:rPr>
      <w:i/>
      <w:iCs/>
      <w:color w:val="000000" w:themeColor="text1"/>
      <w:sz w:val="24"/>
      <w:szCs w:val="24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5E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5E6"/>
    <w:rPr>
      <w:b/>
      <w:bCs/>
      <w:i/>
      <w:iCs/>
      <w:color w:val="4F81BD" w:themeColor="accent1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5A55E6"/>
    <w:pPr>
      <w:keepLines/>
      <w:spacing w:before="480" w:after="0" w:line="240" w:lineRule="auto"/>
      <w:outlineLvl w:val="9"/>
    </w:pPr>
    <w:rPr>
      <w:color w:val="365F91" w:themeColor="accent1" w:themeShade="BF"/>
      <w:kern w:val="0"/>
      <w:sz w:val="28"/>
      <w:szCs w:val="28"/>
    </w:rPr>
  </w:style>
  <w:style w:type="character" w:styleId="Strong">
    <w:name w:val="Strong"/>
    <w:basedOn w:val="DefaultParagraphFont"/>
    <w:uiPriority w:val="22"/>
    <w:qFormat/>
    <w:rsid w:val="005A55E6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A55E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A55E6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5A55E6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A55E6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A55E6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1434</Characters>
  <Application>Microsoft Office Word</Application>
  <DocSecurity>0</DocSecurity>
  <Lines>44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SQUILLANO</dc:creator>
  <cp:lastModifiedBy>SQUILLANO</cp:lastModifiedBy>
  <cp:revision>1</cp:revision>
  <dcterms:created xsi:type="dcterms:W3CDTF">2019-03-23T07:30:00Z</dcterms:created>
  <dcterms:modified xsi:type="dcterms:W3CDTF">2019-03-23T07:31:00Z</dcterms:modified>
</cp:coreProperties>
</file>