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594" w:rsidRPr="00E5032E" w:rsidRDefault="00336594" w:rsidP="00336594">
      <w:pPr>
        <w:pStyle w:val="Heading2"/>
        <w:jc w:val="both"/>
        <w:rPr>
          <w:b/>
          <w:color w:val="0000CC"/>
          <w:sz w:val="22"/>
          <w:szCs w:val="22"/>
        </w:rPr>
      </w:pPr>
      <w:r w:rsidRPr="00E5032E">
        <w:rPr>
          <w:rFonts w:ascii="Times New Roman" w:hAnsi="Times New Roman"/>
          <w:b/>
          <w:color w:val="0000CC"/>
          <w:sz w:val="22"/>
          <w:szCs w:val="22"/>
        </w:rPr>
        <w:t>Supplementary Material</w:t>
      </w:r>
    </w:p>
    <w:p w:rsidR="00336594" w:rsidRPr="00E246C5" w:rsidRDefault="00336594" w:rsidP="00336594">
      <w:pPr>
        <w:pStyle w:val="NormalWeb"/>
        <w:rPr>
          <w:sz w:val="20"/>
          <w:szCs w:val="20"/>
        </w:rPr>
      </w:pPr>
      <w:r w:rsidRPr="00E246C5">
        <w:rPr>
          <w:sz w:val="20"/>
          <w:szCs w:val="20"/>
        </w:rPr>
        <w:t>Supplementary material accompanying this article includes the following files related to the benchmark geometry used in the comparative programming trials:</w:t>
      </w:r>
    </w:p>
    <w:p w:rsidR="00336594" w:rsidRPr="00E246C5" w:rsidRDefault="00336594" w:rsidP="00336594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E246C5">
        <w:rPr>
          <w:rStyle w:val="Strong"/>
          <w:sz w:val="20"/>
          <w:szCs w:val="20"/>
        </w:rPr>
        <w:t>SP1_UMD_Benchmark.xlsx</w:t>
      </w:r>
      <w:r w:rsidRPr="00E246C5">
        <w:rPr>
          <w:sz w:val="20"/>
          <w:szCs w:val="20"/>
        </w:rPr>
        <w:t xml:space="preserve"> – Unified Machining Dataset (UMD) file containing structured geometric descriptors, machining intent parameters, and computed process data.</w:t>
      </w:r>
    </w:p>
    <w:p w:rsidR="00336594" w:rsidRPr="00E246C5" w:rsidRDefault="00336594" w:rsidP="00336594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E246C5">
        <w:rPr>
          <w:rStyle w:val="Strong"/>
          <w:sz w:val="20"/>
          <w:szCs w:val="20"/>
        </w:rPr>
        <w:t>SP2_Gcode_UMD_ISO.</w:t>
      </w:r>
      <w:r>
        <w:rPr>
          <w:rStyle w:val="Strong"/>
          <w:sz w:val="20"/>
          <w:szCs w:val="20"/>
        </w:rPr>
        <w:t>txt</w:t>
      </w:r>
      <w:r w:rsidRPr="00E246C5">
        <w:rPr>
          <w:sz w:val="20"/>
          <w:szCs w:val="20"/>
        </w:rPr>
        <w:t xml:space="preserve"> – Controller-agnostic ISO G-code program generated by the deterministic UMD-based framework.</w:t>
      </w:r>
    </w:p>
    <w:p w:rsidR="00336594" w:rsidRPr="00E246C5" w:rsidRDefault="00336594" w:rsidP="00336594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E246C5">
        <w:rPr>
          <w:rStyle w:val="Strong"/>
          <w:sz w:val="20"/>
          <w:szCs w:val="20"/>
        </w:rPr>
        <w:t>SP3_Gcode_SURFCAM.</w:t>
      </w:r>
      <w:r>
        <w:rPr>
          <w:rStyle w:val="Strong"/>
          <w:sz w:val="20"/>
          <w:szCs w:val="20"/>
        </w:rPr>
        <w:t>txt</w:t>
      </w:r>
      <w:r w:rsidRPr="00E246C5">
        <w:rPr>
          <w:sz w:val="20"/>
          <w:szCs w:val="20"/>
        </w:rPr>
        <w:t xml:space="preserve"> – Post-processed G-code program generated by the commercial CAM system.</w:t>
      </w:r>
    </w:p>
    <w:p w:rsidR="00336594" w:rsidRPr="00E246C5" w:rsidRDefault="00336594" w:rsidP="00336594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E246C5">
        <w:rPr>
          <w:rStyle w:val="Strong"/>
          <w:sz w:val="20"/>
          <w:szCs w:val="20"/>
        </w:rPr>
        <w:t>SP4_Gcode_Heidenhain.i</w:t>
      </w:r>
      <w:r w:rsidRPr="00E246C5">
        <w:rPr>
          <w:sz w:val="20"/>
          <w:szCs w:val="20"/>
        </w:rPr>
        <w:t xml:space="preserve"> – Controller-native </w:t>
      </w:r>
      <w:proofErr w:type="spellStart"/>
      <w:r w:rsidRPr="00E246C5">
        <w:rPr>
          <w:sz w:val="20"/>
          <w:szCs w:val="20"/>
        </w:rPr>
        <w:t>Heidenhain</w:t>
      </w:r>
      <w:proofErr w:type="spellEnd"/>
      <w:r w:rsidRPr="00E246C5">
        <w:rPr>
          <w:sz w:val="20"/>
          <w:szCs w:val="20"/>
        </w:rPr>
        <w:t xml:space="preserve"> program implementing canned cycles and subprogram structuring.</w:t>
      </w:r>
      <w:r>
        <w:rPr>
          <w:sz w:val="20"/>
          <w:szCs w:val="20"/>
        </w:rPr>
        <w:t xml:space="preserve"> </w:t>
      </w:r>
      <w:r w:rsidRPr="00A0742A">
        <w:rPr>
          <w:sz w:val="20"/>
          <w:szCs w:val="20"/>
        </w:rPr>
        <w:t>(</w:t>
      </w:r>
      <w:proofErr w:type="gramStart"/>
      <w:r w:rsidRPr="00A0742A">
        <w:rPr>
          <w:sz w:val="20"/>
          <w:szCs w:val="20"/>
        </w:rPr>
        <w:t>readable</w:t>
      </w:r>
      <w:proofErr w:type="gramEnd"/>
      <w:r w:rsidRPr="00A0742A">
        <w:rPr>
          <w:sz w:val="20"/>
          <w:szCs w:val="20"/>
        </w:rPr>
        <w:t xml:space="preserve"> only in the </w:t>
      </w:r>
      <w:proofErr w:type="spellStart"/>
      <w:r w:rsidRPr="00A0742A">
        <w:rPr>
          <w:sz w:val="20"/>
          <w:szCs w:val="20"/>
        </w:rPr>
        <w:t>Heidenhain</w:t>
      </w:r>
      <w:proofErr w:type="spellEnd"/>
      <w:r w:rsidRPr="00A0742A">
        <w:rPr>
          <w:sz w:val="20"/>
          <w:szCs w:val="20"/>
        </w:rPr>
        <w:t xml:space="preserve"> environment due to the file format).</w:t>
      </w:r>
    </w:p>
    <w:p w:rsidR="00336594" w:rsidRPr="00E246C5" w:rsidRDefault="00336594" w:rsidP="00336594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E246C5">
        <w:rPr>
          <w:rStyle w:val="Strong"/>
          <w:sz w:val="20"/>
          <w:szCs w:val="20"/>
        </w:rPr>
        <w:t>SP5_Benchmark_Geometry.dxf</w:t>
      </w:r>
      <w:r w:rsidRPr="00E246C5">
        <w:rPr>
          <w:sz w:val="20"/>
          <w:szCs w:val="20"/>
        </w:rPr>
        <w:t xml:space="preserve"> – Fully dimensioned DXF geometry corresponding to the benchmark part (Fig</w:t>
      </w:r>
      <w:r>
        <w:rPr>
          <w:sz w:val="20"/>
          <w:szCs w:val="20"/>
        </w:rPr>
        <w:t>ure</w:t>
      </w:r>
      <w:r w:rsidRPr="00E246C5">
        <w:rPr>
          <w:sz w:val="20"/>
          <w:szCs w:val="20"/>
        </w:rPr>
        <w:t xml:space="preserve"> 11b).</w:t>
      </w:r>
    </w:p>
    <w:p w:rsidR="00336594" w:rsidRDefault="00336594" w:rsidP="00336594">
      <w:pPr>
        <w:pStyle w:val="NormalWeb"/>
        <w:jc w:val="both"/>
        <w:rPr>
          <w:sz w:val="20"/>
          <w:szCs w:val="20"/>
        </w:rPr>
      </w:pPr>
      <w:r w:rsidRPr="00E246C5">
        <w:rPr>
          <w:sz w:val="20"/>
          <w:szCs w:val="20"/>
        </w:rPr>
        <w:t>These materials are provided to enable independent verification of the deterministic CAD-to-CNC transformation pipeline, facilitate cross-paradigm program comparison, and support reproducibility and further research within structured 2.5-axis machining contexts.</w:t>
      </w:r>
    </w:p>
    <w:p w:rsidR="00AD3B7F" w:rsidRPr="00336594" w:rsidRDefault="00AD3B7F">
      <w:pPr>
        <w:rPr>
          <w:b/>
        </w:rPr>
      </w:pPr>
      <w:bookmarkStart w:id="0" w:name="_GoBack"/>
      <w:bookmarkEnd w:id="0"/>
    </w:p>
    <w:sectPr w:rsidR="00AD3B7F" w:rsidRPr="00336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E27B0"/>
    <w:multiLevelType w:val="multilevel"/>
    <w:tmpl w:val="9BAA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594"/>
    <w:rsid w:val="00336594"/>
    <w:rsid w:val="005E26D2"/>
    <w:rsid w:val="00640F5F"/>
    <w:rsid w:val="007E1584"/>
    <w:rsid w:val="009A657B"/>
    <w:rsid w:val="00AD3B7F"/>
    <w:rsid w:val="00C6396C"/>
    <w:rsid w:val="00D03514"/>
    <w:rsid w:val="00EF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6F8AE3-8B14-45D3-8A0E-7D9B237B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65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65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336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65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Krishnakanth S</dc:creator>
  <cp:keywords/>
  <dc:description/>
  <cp:lastModifiedBy>Krishnakanth S</cp:lastModifiedBy>
  <cp:revision>2</cp:revision>
  <dcterms:created xsi:type="dcterms:W3CDTF">2026-08-03T13:03:00Z</dcterms:created>
  <dcterms:modified xsi:type="dcterms:W3CDTF">2026-08-03T13:03:00Z</dcterms:modified>
</cp:coreProperties>
</file>