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53E96" w14:textId="0A52A19E" w:rsidR="000601E9" w:rsidRPr="002C0746" w:rsidRDefault="000601E9" w:rsidP="00C54CAC">
      <w:pPr>
        <w:rPr>
          <w:rFonts w:asciiTheme="majorBidi" w:hAnsiTheme="majorBidi" w:cstheme="majorBidi"/>
          <w:b/>
          <w:bCs/>
          <w:szCs w:val="24"/>
          <w:lang w:val="en-GB"/>
        </w:rPr>
      </w:pPr>
      <w:r w:rsidRPr="002C0746">
        <w:rPr>
          <w:rFonts w:asciiTheme="majorBidi" w:hAnsiTheme="majorBidi" w:cstheme="majorBidi"/>
          <w:b/>
          <w:bCs/>
          <w:szCs w:val="24"/>
          <w:lang w:val="en-GB"/>
        </w:rPr>
        <w:t xml:space="preserve">Supplementary </w:t>
      </w:r>
      <w:r w:rsidR="00C54CAC">
        <w:rPr>
          <w:rFonts w:asciiTheme="majorBidi" w:hAnsiTheme="majorBidi" w:cstheme="majorBidi"/>
          <w:b/>
          <w:bCs/>
          <w:szCs w:val="24"/>
          <w:lang w:val="en-GB"/>
        </w:rPr>
        <w:t>information</w:t>
      </w:r>
      <w:r w:rsidRPr="002C0746">
        <w:rPr>
          <w:rFonts w:asciiTheme="majorBidi" w:hAnsiTheme="majorBidi" w:cstheme="majorBidi"/>
          <w:b/>
          <w:bCs/>
          <w:szCs w:val="24"/>
          <w:lang w:val="en-GB"/>
        </w:rPr>
        <w:t xml:space="preserve"> for “</w:t>
      </w:r>
      <w:r w:rsidR="00E54CCB" w:rsidRPr="00E54CCB">
        <w:rPr>
          <w:rFonts w:asciiTheme="majorBidi" w:hAnsiTheme="majorBidi" w:cstheme="majorBidi"/>
          <w:b/>
          <w:bCs/>
          <w:szCs w:val="24"/>
          <w:lang w:val="en-GB"/>
        </w:rPr>
        <w:t>Composting date palm residues promotes circular agriculture in oases</w:t>
      </w:r>
      <w:r w:rsidRPr="002C0746">
        <w:rPr>
          <w:rFonts w:asciiTheme="majorBidi" w:hAnsiTheme="majorBidi" w:cstheme="majorBidi"/>
          <w:b/>
          <w:bCs/>
          <w:szCs w:val="24"/>
          <w:lang w:val="en-GB"/>
        </w:rPr>
        <w:t>”</w:t>
      </w:r>
    </w:p>
    <w:p w14:paraId="6F8EEE30" w14:textId="1FCAD678" w:rsidR="000601E9" w:rsidRPr="002C0746" w:rsidRDefault="003C499F" w:rsidP="000601E9">
      <w:pPr>
        <w:rPr>
          <w:rFonts w:asciiTheme="majorBidi" w:hAnsiTheme="majorBidi" w:cstheme="majorBidi"/>
          <w:b/>
          <w:bCs/>
          <w:szCs w:val="24"/>
          <w:lang w:val="en-GB"/>
        </w:rPr>
      </w:pPr>
      <w:r>
        <w:rPr>
          <w:rFonts w:asciiTheme="majorBidi" w:hAnsiTheme="majorBidi" w:cstheme="majorBidi"/>
          <w:b/>
          <w:bCs/>
          <w:szCs w:val="24"/>
          <w:lang w:val="en-GB"/>
        </w:rPr>
        <w:t xml:space="preserve"> </w:t>
      </w:r>
    </w:p>
    <w:p w14:paraId="595489BE" w14:textId="77777777" w:rsidR="000601E9" w:rsidRPr="002C0746" w:rsidRDefault="000601E9" w:rsidP="008B3D5C">
      <w:pPr>
        <w:pStyle w:val="Tableappendix"/>
        <w:ind w:left="851" w:hanging="851"/>
        <w:rPr>
          <w:lang w:val="en-GB"/>
        </w:rPr>
      </w:pPr>
      <w:r w:rsidRPr="002C0746">
        <w:rPr>
          <w:lang w:val="en-GB"/>
        </w:rPr>
        <w:t>Organic carbon (C), nitrogen (N) and phosphorus (P) availability of the main organic waste products (OWP) in oases</w:t>
      </w:r>
    </w:p>
    <w:tbl>
      <w:tblPr>
        <w:tblW w:w="13483" w:type="dxa"/>
        <w:tblCellMar>
          <w:left w:w="70" w:type="dxa"/>
          <w:right w:w="70" w:type="dxa"/>
        </w:tblCellMar>
        <w:tblLook w:val="04A0" w:firstRow="1" w:lastRow="0" w:firstColumn="1" w:lastColumn="0" w:noHBand="0" w:noVBand="1"/>
      </w:tblPr>
      <w:tblGrid>
        <w:gridCol w:w="1540"/>
        <w:gridCol w:w="1200"/>
        <w:gridCol w:w="1260"/>
        <w:gridCol w:w="1260"/>
        <w:gridCol w:w="1007"/>
        <w:gridCol w:w="1195"/>
        <w:gridCol w:w="1223"/>
        <w:gridCol w:w="1125"/>
        <w:gridCol w:w="1260"/>
        <w:gridCol w:w="1222"/>
        <w:gridCol w:w="1191"/>
      </w:tblGrid>
      <w:tr w:rsidR="000601E9" w:rsidRPr="002C0746" w14:paraId="6631E57C" w14:textId="77777777" w:rsidTr="005B2DEC">
        <w:trPr>
          <w:trHeight w:val="300"/>
        </w:trPr>
        <w:tc>
          <w:tcPr>
            <w:tcW w:w="1540" w:type="dxa"/>
            <w:vMerge w:val="restart"/>
            <w:tcBorders>
              <w:top w:val="single" w:sz="4" w:space="0" w:color="auto"/>
              <w:left w:val="nil"/>
              <w:bottom w:val="single" w:sz="4" w:space="0" w:color="auto"/>
              <w:right w:val="nil"/>
            </w:tcBorders>
            <w:shd w:val="clear" w:color="auto" w:fill="auto"/>
            <w:noWrap/>
            <w:vAlign w:val="center"/>
            <w:hideMark/>
          </w:tcPr>
          <w:p w14:paraId="1B3523DB" w14:textId="77777777" w:rsidR="000601E9" w:rsidRPr="002C0746" w:rsidRDefault="000601E9" w:rsidP="003E5123">
            <w:pPr>
              <w:spacing w:after="0" w:line="240" w:lineRule="auto"/>
              <w:jc w:val="center"/>
              <w:rPr>
                <w:rFonts w:asciiTheme="majorBidi" w:eastAsia="Times New Roman" w:hAnsiTheme="majorBidi" w:cstheme="majorBidi"/>
                <w:szCs w:val="24"/>
                <w:lang w:val="en-GB" w:eastAsia="fr-FR"/>
              </w:rPr>
            </w:pPr>
            <w:r w:rsidRPr="002C0746">
              <w:rPr>
                <w:rFonts w:asciiTheme="majorBidi" w:eastAsia="Times New Roman" w:hAnsiTheme="majorBidi" w:cstheme="majorBidi"/>
                <w:szCs w:val="24"/>
                <w:lang w:val="en-GB" w:eastAsia="fr-FR"/>
              </w:rPr>
              <w:t>Farm type</w:t>
            </w:r>
          </w:p>
        </w:tc>
        <w:tc>
          <w:tcPr>
            <w:tcW w:w="1200" w:type="dxa"/>
            <w:vMerge w:val="restart"/>
            <w:tcBorders>
              <w:top w:val="single" w:sz="4" w:space="0" w:color="auto"/>
              <w:left w:val="nil"/>
              <w:bottom w:val="single" w:sz="4" w:space="0" w:color="auto"/>
              <w:right w:val="nil"/>
            </w:tcBorders>
            <w:shd w:val="clear" w:color="auto" w:fill="auto"/>
            <w:noWrap/>
            <w:vAlign w:val="center"/>
            <w:hideMark/>
          </w:tcPr>
          <w:p w14:paraId="60AD3643"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UAA</w:t>
            </w:r>
            <w:r w:rsidRPr="002C0746">
              <w:rPr>
                <w:rFonts w:asciiTheme="majorBidi" w:eastAsia="Times New Roman" w:hAnsiTheme="majorBidi" w:cstheme="majorBidi"/>
                <w:color w:val="000000"/>
                <w:vertAlign w:val="superscript"/>
                <w:lang w:val="en-GB" w:eastAsia="fr-FR"/>
              </w:rPr>
              <w:t>*</w:t>
            </w:r>
          </w:p>
        </w:tc>
        <w:tc>
          <w:tcPr>
            <w:tcW w:w="1260" w:type="dxa"/>
            <w:vMerge w:val="restart"/>
            <w:tcBorders>
              <w:top w:val="single" w:sz="4" w:space="0" w:color="auto"/>
              <w:left w:val="nil"/>
              <w:bottom w:val="single" w:sz="4" w:space="0" w:color="auto"/>
              <w:right w:val="nil"/>
            </w:tcBorders>
            <w:shd w:val="clear" w:color="auto" w:fill="auto"/>
            <w:noWrap/>
            <w:vAlign w:val="center"/>
            <w:hideMark/>
          </w:tcPr>
          <w:p w14:paraId="7007A0E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Manure production</w:t>
            </w:r>
            <w:r w:rsidRPr="002C0746">
              <w:rPr>
                <w:rFonts w:asciiTheme="majorBidi" w:eastAsia="Times New Roman" w:hAnsiTheme="majorBidi" w:cstheme="majorBidi"/>
                <w:color w:val="000000"/>
                <w:vertAlign w:val="superscript"/>
                <w:lang w:val="en-GB" w:eastAsia="fr-FR"/>
              </w:rPr>
              <w:t>*</w:t>
            </w:r>
          </w:p>
        </w:tc>
        <w:tc>
          <w:tcPr>
            <w:tcW w:w="1260" w:type="dxa"/>
            <w:vMerge w:val="restart"/>
            <w:tcBorders>
              <w:top w:val="single" w:sz="4" w:space="0" w:color="auto"/>
              <w:left w:val="nil"/>
              <w:bottom w:val="single" w:sz="4" w:space="0" w:color="auto"/>
              <w:right w:val="nil"/>
            </w:tcBorders>
            <w:shd w:val="clear" w:color="auto" w:fill="auto"/>
            <w:noWrap/>
            <w:vAlign w:val="center"/>
            <w:hideMark/>
          </w:tcPr>
          <w:p w14:paraId="6FB47B5B"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Dry date palm leaf production</w:t>
            </w:r>
            <w:r w:rsidRPr="002C0746">
              <w:rPr>
                <w:rFonts w:asciiTheme="majorBidi" w:eastAsia="Times New Roman" w:hAnsiTheme="majorBidi" w:cstheme="majorBidi"/>
                <w:color w:val="000000"/>
                <w:vertAlign w:val="superscript"/>
                <w:lang w:val="en-GB" w:eastAsia="fr-FR"/>
              </w:rPr>
              <w:t>*</w:t>
            </w:r>
          </w:p>
        </w:tc>
        <w:tc>
          <w:tcPr>
            <w:tcW w:w="1007" w:type="dxa"/>
            <w:vMerge w:val="restart"/>
            <w:tcBorders>
              <w:top w:val="single" w:sz="4" w:space="0" w:color="auto"/>
              <w:left w:val="nil"/>
              <w:bottom w:val="single" w:sz="4" w:space="0" w:color="auto"/>
              <w:right w:val="nil"/>
            </w:tcBorders>
            <w:shd w:val="clear" w:color="auto" w:fill="auto"/>
            <w:noWrap/>
            <w:vAlign w:val="center"/>
            <w:hideMark/>
          </w:tcPr>
          <w:p w14:paraId="79ED502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Crop residues</w:t>
            </w:r>
            <w:r w:rsidRPr="002C0746">
              <w:rPr>
                <w:rFonts w:asciiTheme="majorBidi" w:eastAsia="Times New Roman" w:hAnsiTheme="majorBidi" w:cstheme="majorBidi"/>
                <w:color w:val="000000"/>
                <w:vertAlign w:val="superscript"/>
                <w:lang w:val="en-GB" w:eastAsia="fr-FR"/>
              </w:rPr>
              <w:t>*</w:t>
            </w:r>
          </w:p>
        </w:tc>
        <w:tc>
          <w:tcPr>
            <w:tcW w:w="7216" w:type="dxa"/>
            <w:gridSpan w:val="6"/>
            <w:tcBorders>
              <w:top w:val="single" w:sz="4" w:space="0" w:color="auto"/>
              <w:left w:val="nil"/>
              <w:bottom w:val="nil"/>
              <w:right w:val="nil"/>
            </w:tcBorders>
            <w:shd w:val="clear" w:color="auto" w:fill="auto"/>
            <w:noWrap/>
            <w:vAlign w:val="center"/>
            <w:hideMark/>
          </w:tcPr>
          <w:p w14:paraId="202929B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Organic matter resources</w:t>
            </w:r>
            <w:r w:rsidRPr="002C0746">
              <w:rPr>
                <w:rFonts w:asciiTheme="majorBidi" w:eastAsia="Times New Roman" w:hAnsiTheme="majorBidi" w:cstheme="majorBidi"/>
                <w:color w:val="000000"/>
                <w:vertAlign w:val="superscript"/>
                <w:lang w:val="en-GB" w:eastAsia="fr-FR"/>
              </w:rPr>
              <w:t>**</w:t>
            </w:r>
          </w:p>
        </w:tc>
      </w:tr>
      <w:tr w:rsidR="000601E9" w:rsidRPr="002C0746" w14:paraId="5372A2EB" w14:textId="77777777" w:rsidTr="005B2DEC">
        <w:trPr>
          <w:trHeight w:val="624"/>
        </w:trPr>
        <w:tc>
          <w:tcPr>
            <w:tcW w:w="1540" w:type="dxa"/>
            <w:vMerge/>
            <w:tcBorders>
              <w:left w:val="nil"/>
              <w:bottom w:val="single" w:sz="4" w:space="0" w:color="auto"/>
              <w:right w:val="nil"/>
            </w:tcBorders>
            <w:shd w:val="clear" w:color="auto" w:fill="auto"/>
            <w:noWrap/>
            <w:vAlign w:val="center"/>
            <w:hideMark/>
          </w:tcPr>
          <w:p w14:paraId="233DB2FF"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00" w:type="dxa"/>
            <w:vMerge/>
            <w:tcBorders>
              <w:left w:val="nil"/>
              <w:bottom w:val="single" w:sz="4" w:space="0" w:color="auto"/>
              <w:right w:val="nil"/>
            </w:tcBorders>
            <w:shd w:val="clear" w:color="auto" w:fill="auto"/>
            <w:noWrap/>
            <w:vAlign w:val="center"/>
            <w:hideMark/>
          </w:tcPr>
          <w:p w14:paraId="1108982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60" w:type="dxa"/>
            <w:vMerge/>
            <w:tcBorders>
              <w:left w:val="nil"/>
              <w:bottom w:val="single" w:sz="4" w:space="0" w:color="auto"/>
              <w:right w:val="nil"/>
            </w:tcBorders>
            <w:shd w:val="clear" w:color="auto" w:fill="auto"/>
            <w:vAlign w:val="center"/>
            <w:hideMark/>
          </w:tcPr>
          <w:p w14:paraId="11C2273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60" w:type="dxa"/>
            <w:vMerge/>
            <w:tcBorders>
              <w:left w:val="nil"/>
              <w:bottom w:val="single" w:sz="4" w:space="0" w:color="auto"/>
              <w:right w:val="nil"/>
            </w:tcBorders>
            <w:shd w:val="clear" w:color="auto" w:fill="auto"/>
            <w:vAlign w:val="center"/>
            <w:hideMark/>
          </w:tcPr>
          <w:p w14:paraId="606796B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007" w:type="dxa"/>
            <w:vMerge/>
            <w:tcBorders>
              <w:left w:val="nil"/>
              <w:bottom w:val="single" w:sz="4" w:space="0" w:color="auto"/>
              <w:right w:val="nil"/>
            </w:tcBorders>
            <w:shd w:val="clear" w:color="auto" w:fill="auto"/>
            <w:vAlign w:val="center"/>
            <w:hideMark/>
          </w:tcPr>
          <w:p w14:paraId="010EB31F"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3543" w:type="dxa"/>
            <w:gridSpan w:val="3"/>
            <w:tcBorders>
              <w:top w:val="nil"/>
              <w:left w:val="nil"/>
              <w:bottom w:val="single" w:sz="4" w:space="0" w:color="auto"/>
              <w:right w:val="nil"/>
            </w:tcBorders>
            <w:shd w:val="clear" w:color="auto" w:fill="auto"/>
            <w:noWrap/>
            <w:vAlign w:val="center"/>
            <w:hideMark/>
          </w:tcPr>
          <w:p w14:paraId="2BFA534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Manure</w:t>
            </w:r>
          </w:p>
        </w:tc>
        <w:tc>
          <w:tcPr>
            <w:tcW w:w="3673" w:type="dxa"/>
            <w:gridSpan w:val="3"/>
            <w:tcBorders>
              <w:top w:val="nil"/>
              <w:left w:val="nil"/>
              <w:bottom w:val="single" w:sz="4" w:space="0" w:color="auto"/>
              <w:right w:val="nil"/>
            </w:tcBorders>
            <w:shd w:val="clear" w:color="auto" w:fill="auto"/>
            <w:noWrap/>
            <w:vAlign w:val="center"/>
            <w:hideMark/>
          </w:tcPr>
          <w:p w14:paraId="3D5A7CC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Date palm leaves</w:t>
            </w:r>
          </w:p>
        </w:tc>
      </w:tr>
      <w:tr w:rsidR="000601E9" w:rsidRPr="002C0746" w14:paraId="32E85C9B" w14:textId="77777777" w:rsidTr="005B2DEC">
        <w:trPr>
          <w:trHeight w:val="283"/>
        </w:trPr>
        <w:tc>
          <w:tcPr>
            <w:tcW w:w="1540" w:type="dxa"/>
            <w:vMerge/>
            <w:tcBorders>
              <w:left w:val="nil"/>
              <w:bottom w:val="single" w:sz="4" w:space="0" w:color="auto"/>
              <w:right w:val="nil"/>
            </w:tcBorders>
            <w:shd w:val="clear" w:color="auto" w:fill="auto"/>
            <w:noWrap/>
            <w:vAlign w:val="center"/>
            <w:hideMark/>
          </w:tcPr>
          <w:p w14:paraId="6FE0FCD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00" w:type="dxa"/>
            <w:vMerge/>
            <w:tcBorders>
              <w:left w:val="nil"/>
              <w:bottom w:val="single" w:sz="4" w:space="0" w:color="auto"/>
              <w:right w:val="nil"/>
            </w:tcBorders>
            <w:shd w:val="clear" w:color="auto" w:fill="auto"/>
            <w:noWrap/>
            <w:vAlign w:val="center"/>
          </w:tcPr>
          <w:p w14:paraId="254FC9E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60" w:type="dxa"/>
            <w:vMerge/>
            <w:tcBorders>
              <w:left w:val="nil"/>
              <w:bottom w:val="single" w:sz="4" w:space="0" w:color="auto"/>
              <w:right w:val="nil"/>
            </w:tcBorders>
            <w:shd w:val="clear" w:color="auto" w:fill="auto"/>
            <w:vAlign w:val="center"/>
          </w:tcPr>
          <w:p w14:paraId="01014CA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260" w:type="dxa"/>
            <w:vMerge/>
            <w:tcBorders>
              <w:left w:val="nil"/>
              <w:bottom w:val="single" w:sz="4" w:space="0" w:color="auto"/>
              <w:right w:val="nil"/>
            </w:tcBorders>
            <w:shd w:val="clear" w:color="auto" w:fill="auto"/>
            <w:vAlign w:val="center"/>
          </w:tcPr>
          <w:p w14:paraId="29E6832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007" w:type="dxa"/>
            <w:vMerge/>
            <w:tcBorders>
              <w:left w:val="nil"/>
              <w:bottom w:val="single" w:sz="4" w:space="0" w:color="auto"/>
              <w:right w:val="nil"/>
            </w:tcBorders>
            <w:shd w:val="clear" w:color="auto" w:fill="auto"/>
            <w:vAlign w:val="center"/>
          </w:tcPr>
          <w:p w14:paraId="0B432D6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p>
        </w:tc>
        <w:tc>
          <w:tcPr>
            <w:tcW w:w="1195" w:type="dxa"/>
            <w:tcBorders>
              <w:top w:val="single" w:sz="4" w:space="0" w:color="auto"/>
              <w:left w:val="nil"/>
              <w:bottom w:val="single" w:sz="4" w:space="0" w:color="auto"/>
              <w:right w:val="nil"/>
            </w:tcBorders>
            <w:shd w:val="clear" w:color="auto" w:fill="auto"/>
            <w:noWrap/>
            <w:vAlign w:val="center"/>
            <w:hideMark/>
          </w:tcPr>
          <w:p w14:paraId="2B3124B7"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C</w:t>
            </w:r>
          </w:p>
        </w:tc>
        <w:tc>
          <w:tcPr>
            <w:tcW w:w="1223" w:type="dxa"/>
            <w:tcBorders>
              <w:top w:val="single" w:sz="4" w:space="0" w:color="auto"/>
              <w:left w:val="nil"/>
              <w:bottom w:val="single" w:sz="4" w:space="0" w:color="auto"/>
              <w:right w:val="nil"/>
            </w:tcBorders>
            <w:shd w:val="clear" w:color="auto" w:fill="auto"/>
            <w:noWrap/>
            <w:vAlign w:val="center"/>
            <w:hideMark/>
          </w:tcPr>
          <w:p w14:paraId="175A585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N</w:t>
            </w:r>
          </w:p>
        </w:tc>
        <w:tc>
          <w:tcPr>
            <w:tcW w:w="1125" w:type="dxa"/>
            <w:tcBorders>
              <w:top w:val="single" w:sz="4" w:space="0" w:color="auto"/>
              <w:left w:val="nil"/>
              <w:bottom w:val="single" w:sz="4" w:space="0" w:color="auto"/>
              <w:right w:val="nil"/>
            </w:tcBorders>
            <w:shd w:val="clear" w:color="auto" w:fill="auto"/>
            <w:noWrap/>
            <w:vAlign w:val="center"/>
            <w:hideMark/>
          </w:tcPr>
          <w:p w14:paraId="7FFBA0E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P</w:t>
            </w:r>
          </w:p>
        </w:tc>
        <w:tc>
          <w:tcPr>
            <w:tcW w:w="1260" w:type="dxa"/>
            <w:tcBorders>
              <w:top w:val="single" w:sz="4" w:space="0" w:color="auto"/>
              <w:left w:val="nil"/>
              <w:bottom w:val="single" w:sz="4" w:space="0" w:color="auto"/>
              <w:right w:val="nil"/>
            </w:tcBorders>
            <w:shd w:val="clear" w:color="auto" w:fill="auto"/>
            <w:noWrap/>
            <w:vAlign w:val="center"/>
            <w:hideMark/>
          </w:tcPr>
          <w:p w14:paraId="73580B27"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C</w:t>
            </w:r>
          </w:p>
        </w:tc>
        <w:tc>
          <w:tcPr>
            <w:tcW w:w="1222" w:type="dxa"/>
            <w:tcBorders>
              <w:top w:val="single" w:sz="4" w:space="0" w:color="auto"/>
              <w:left w:val="nil"/>
              <w:bottom w:val="single" w:sz="4" w:space="0" w:color="auto"/>
              <w:right w:val="nil"/>
            </w:tcBorders>
            <w:shd w:val="clear" w:color="auto" w:fill="auto"/>
            <w:noWrap/>
            <w:vAlign w:val="center"/>
            <w:hideMark/>
          </w:tcPr>
          <w:p w14:paraId="13B0C1F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N</w:t>
            </w:r>
          </w:p>
        </w:tc>
        <w:tc>
          <w:tcPr>
            <w:tcW w:w="1191" w:type="dxa"/>
            <w:tcBorders>
              <w:top w:val="single" w:sz="4" w:space="0" w:color="auto"/>
              <w:left w:val="nil"/>
              <w:bottom w:val="single" w:sz="4" w:space="0" w:color="auto"/>
              <w:right w:val="nil"/>
            </w:tcBorders>
            <w:shd w:val="clear" w:color="auto" w:fill="auto"/>
            <w:noWrap/>
            <w:vAlign w:val="center"/>
            <w:hideMark/>
          </w:tcPr>
          <w:p w14:paraId="7F0D0E3E"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P</w:t>
            </w:r>
          </w:p>
        </w:tc>
      </w:tr>
      <w:tr w:rsidR="000601E9" w:rsidRPr="002C0746" w14:paraId="177CA7A6" w14:textId="77777777" w:rsidTr="005B2DEC">
        <w:trPr>
          <w:trHeight w:val="600"/>
        </w:trPr>
        <w:tc>
          <w:tcPr>
            <w:tcW w:w="1540" w:type="dxa"/>
            <w:tcBorders>
              <w:top w:val="single" w:sz="4" w:space="0" w:color="auto"/>
              <w:left w:val="nil"/>
              <w:bottom w:val="nil"/>
              <w:right w:val="nil"/>
            </w:tcBorders>
            <w:shd w:val="clear" w:color="auto" w:fill="auto"/>
            <w:vAlign w:val="center"/>
            <w:hideMark/>
          </w:tcPr>
          <w:p w14:paraId="1735785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Traditional farms (type I)</w:t>
            </w:r>
          </w:p>
        </w:tc>
        <w:tc>
          <w:tcPr>
            <w:tcW w:w="1200" w:type="dxa"/>
            <w:tcBorders>
              <w:top w:val="single" w:sz="4" w:space="0" w:color="auto"/>
              <w:left w:val="nil"/>
              <w:bottom w:val="nil"/>
              <w:right w:val="nil"/>
            </w:tcBorders>
            <w:shd w:val="clear" w:color="auto" w:fill="auto"/>
            <w:noWrap/>
            <w:vAlign w:val="center"/>
            <w:hideMark/>
          </w:tcPr>
          <w:p w14:paraId="795710E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2.3 ± 0.8</w:t>
            </w:r>
          </w:p>
        </w:tc>
        <w:tc>
          <w:tcPr>
            <w:tcW w:w="1260" w:type="dxa"/>
            <w:tcBorders>
              <w:top w:val="single" w:sz="4" w:space="0" w:color="auto"/>
              <w:left w:val="nil"/>
              <w:bottom w:val="nil"/>
              <w:right w:val="nil"/>
            </w:tcBorders>
            <w:shd w:val="clear" w:color="auto" w:fill="auto"/>
            <w:noWrap/>
            <w:vAlign w:val="center"/>
            <w:hideMark/>
          </w:tcPr>
          <w:p w14:paraId="1C31341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19.4</w:t>
            </w:r>
          </w:p>
        </w:tc>
        <w:tc>
          <w:tcPr>
            <w:tcW w:w="1260" w:type="dxa"/>
            <w:tcBorders>
              <w:top w:val="single" w:sz="4" w:space="0" w:color="auto"/>
              <w:left w:val="nil"/>
              <w:bottom w:val="nil"/>
              <w:right w:val="nil"/>
            </w:tcBorders>
            <w:shd w:val="clear" w:color="auto" w:fill="auto"/>
            <w:noWrap/>
            <w:vAlign w:val="center"/>
            <w:hideMark/>
          </w:tcPr>
          <w:p w14:paraId="26A7D75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1.39</w:t>
            </w:r>
          </w:p>
        </w:tc>
        <w:tc>
          <w:tcPr>
            <w:tcW w:w="1007" w:type="dxa"/>
            <w:tcBorders>
              <w:top w:val="single" w:sz="4" w:space="0" w:color="auto"/>
              <w:left w:val="nil"/>
              <w:bottom w:val="nil"/>
              <w:right w:val="nil"/>
            </w:tcBorders>
            <w:shd w:val="clear" w:color="auto" w:fill="auto"/>
            <w:noWrap/>
            <w:vAlign w:val="center"/>
            <w:hideMark/>
          </w:tcPr>
          <w:p w14:paraId="0FFC993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exported</w:t>
            </w:r>
          </w:p>
        </w:tc>
        <w:tc>
          <w:tcPr>
            <w:tcW w:w="1195" w:type="dxa"/>
            <w:tcBorders>
              <w:top w:val="single" w:sz="4" w:space="0" w:color="auto"/>
              <w:left w:val="nil"/>
              <w:bottom w:val="nil"/>
              <w:right w:val="nil"/>
            </w:tcBorders>
            <w:shd w:val="clear" w:color="auto" w:fill="auto"/>
            <w:noWrap/>
            <w:vAlign w:val="center"/>
            <w:hideMark/>
          </w:tcPr>
          <w:p w14:paraId="688EBBCE"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2.9 - 5.1</w:t>
            </w:r>
          </w:p>
        </w:tc>
        <w:tc>
          <w:tcPr>
            <w:tcW w:w="1223" w:type="dxa"/>
            <w:tcBorders>
              <w:top w:val="single" w:sz="4" w:space="0" w:color="auto"/>
              <w:left w:val="nil"/>
              <w:bottom w:val="nil"/>
              <w:right w:val="nil"/>
            </w:tcBorders>
            <w:shd w:val="clear" w:color="auto" w:fill="auto"/>
            <w:noWrap/>
            <w:vAlign w:val="center"/>
            <w:hideMark/>
          </w:tcPr>
          <w:p w14:paraId="46C7AC1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120 - 485</w:t>
            </w:r>
          </w:p>
        </w:tc>
        <w:tc>
          <w:tcPr>
            <w:tcW w:w="1125" w:type="dxa"/>
            <w:tcBorders>
              <w:top w:val="single" w:sz="4" w:space="0" w:color="auto"/>
              <w:left w:val="nil"/>
              <w:bottom w:val="nil"/>
              <w:right w:val="nil"/>
            </w:tcBorders>
            <w:shd w:val="clear" w:color="auto" w:fill="auto"/>
            <w:noWrap/>
            <w:vAlign w:val="center"/>
            <w:hideMark/>
          </w:tcPr>
          <w:p w14:paraId="752201E3"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52 - 194</w:t>
            </w:r>
          </w:p>
        </w:tc>
        <w:tc>
          <w:tcPr>
            <w:tcW w:w="1260" w:type="dxa"/>
            <w:tcBorders>
              <w:top w:val="single" w:sz="4" w:space="0" w:color="auto"/>
              <w:left w:val="nil"/>
              <w:bottom w:val="nil"/>
              <w:right w:val="nil"/>
            </w:tcBorders>
            <w:shd w:val="clear" w:color="auto" w:fill="auto"/>
            <w:noWrap/>
            <w:vAlign w:val="center"/>
            <w:hideMark/>
          </w:tcPr>
          <w:p w14:paraId="34AF544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0.4 - 0.7</w:t>
            </w:r>
          </w:p>
        </w:tc>
        <w:tc>
          <w:tcPr>
            <w:tcW w:w="1222" w:type="dxa"/>
            <w:tcBorders>
              <w:top w:val="single" w:sz="4" w:space="0" w:color="auto"/>
              <w:left w:val="nil"/>
              <w:bottom w:val="nil"/>
              <w:right w:val="nil"/>
            </w:tcBorders>
            <w:shd w:val="clear" w:color="auto" w:fill="auto"/>
            <w:noWrap/>
            <w:vAlign w:val="center"/>
            <w:hideMark/>
          </w:tcPr>
          <w:p w14:paraId="454025F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5 - 18</w:t>
            </w:r>
          </w:p>
        </w:tc>
        <w:tc>
          <w:tcPr>
            <w:tcW w:w="1191" w:type="dxa"/>
            <w:tcBorders>
              <w:top w:val="single" w:sz="4" w:space="0" w:color="auto"/>
              <w:left w:val="nil"/>
              <w:bottom w:val="nil"/>
              <w:right w:val="nil"/>
            </w:tcBorders>
            <w:shd w:val="clear" w:color="auto" w:fill="auto"/>
            <w:noWrap/>
            <w:vAlign w:val="center"/>
            <w:hideMark/>
          </w:tcPr>
          <w:p w14:paraId="48FC70B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0 - 3</w:t>
            </w:r>
          </w:p>
        </w:tc>
      </w:tr>
      <w:tr w:rsidR="000601E9" w:rsidRPr="002C0746" w14:paraId="4139A877" w14:textId="77777777" w:rsidTr="003E5123">
        <w:trPr>
          <w:trHeight w:val="900"/>
        </w:trPr>
        <w:tc>
          <w:tcPr>
            <w:tcW w:w="1540" w:type="dxa"/>
            <w:tcBorders>
              <w:top w:val="nil"/>
              <w:left w:val="nil"/>
              <w:bottom w:val="nil"/>
              <w:right w:val="nil"/>
            </w:tcBorders>
            <w:shd w:val="clear" w:color="auto" w:fill="auto"/>
            <w:vAlign w:val="center"/>
            <w:hideMark/>
          </w:tcPr>
          <w:p w14:paraId="2438414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Monocropped palm farms (type II)</w:t>
            </w:r>
          </w:p>
        </w:tc>
        <w:tc>
          <w:tcPr>
            <w:tcW w:w="1200" w:type="dxa"/>
            <w:tcBorders>
              <w:top w:val="nil"/>
              <w:left w:val="nil"/>
              <w:bottom w:val="nil"/>
              <w:right w:val="nil"/>
            </w:tcBorders>
            <w:shd w:val="clear" w:color="auto" w:fill="auto"/>
            <w:noWrap/>
            <w:vAlign w:val="center"/>
            <w:hideMark/>
          </w:tcPr>
          <w:p w14:paraId="1D2C2C10"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12.3 ± 4.9</w:t>
            </w:r>
          </w:p>
        </w:tc>
        <w:tc>
          <w:tcPr>
            <w:tcW w:w="1260" w:type="dxa"/>
            <w:tcBorders>
              <w:top w:val="nil"/>
              <w:left w:val="nil"/>
              <w:bottom w:val="nil"/>
              <w:right w:val="nil"/>
            </w:tcBorders>
            <w:shd w:val="clear" w:color="auto" w:fill="auto"/>
            <w:noWrap/>
            <w:vAlign w:val="center"/>
            <w:hideMark/>
          </w:tcPr>
          <w:p w14:paraId="42A3264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260" w:type="dxa"/>
            <w:tcBorders>
              <w:top w:val="nil"/>
              <w:left w:val="nil"/>
              <w:bottom w:val="nil"/>
              <w:right w:val="nil"/>
            </w:tcBorders>
            <w:shd w:val="clear" w:color="auto" w:fill="auto"/>
            <w:noWrap/>
            <w:vAlign w:val="center"/>
            <w:hideMark/>
          </w:tcPr>
          <w:p w14:paraId="08010C34"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19.60</w:t>
            </w:r>
          </w:p>
        </w:tc>
        <w:tc>
          <w:tcPr>
            <w:tcW w:w="1007" w:type="dxa"/>
            <w:tcBorders>
              <w:top w:val="nil"/>
              <w:left w:val="nil"/>
              <w:bottom w:val="nil"/>
              <w:right w:val="nil"/>
            </w:tcBorders>
            <w:shd w:val="clear" w:color="auto" w:fill="auto"/>
            <w:noWrap/>
            <w:vAlign w:val="center"/>
            <w:hideMark/>
          </w:tcPr>
          <w:p w14:paraId="2B3DCB2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195" w:type="dxa"/>
            <w:tcBorders>
              <w:top w:val="nil"/>
              <w:left w:val="nil"/>
              <w:bottom w:val="nil"/>
              <w:right w:val="nil"/>
            </w:tcBorders>
            <w:shd w:val="clear" w:color="auto" w:fill="auto"/>
            <w:noWrap/>
            <w:vAlign w:val="center"/>
            <w:hideMark/>
          </w:tcPr>
          <w:p w14:paraId="7CA7941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223" w:type="dxa"/>
            <w:tcBorders>
              <w:top w:val="nil"/>
              <w:left w:val="nil"/>
              <w:bottom w:val="nil"/>
              <w:right w:val="nil"/>
            </w:tcBorders>
            <w:shd w:val="clear" w:color="auto" w:fill="auto"/>
            <w:noWrap/>
            <w:vAlign w:val="center"/>
            <w:hideMark/>
          </w:tcPr>
          <w:p w14:paraId="43E86EE0"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125" w:type="dxa"/>
            <w:tcBorders>
              <w:top w:val="nil"/>
              <w:left w:val="nil"/>
              <w:bottom w:val="nil"/>
              <w:right w:val="nil"/>
            </w:tcBorders>
            <w:shd w:val="clear" w:color="auto" w:fill="auto"/>
            <w:noWrap/>
            <w:vAlign w:val="center"/>
            <w:hideMark/>
          </w:tcPr>
          <w:p w14:paraId="46F2566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260" w:type="dxa"/>
            <w:tcBorders>
              <w:top w:val="nil"/>
              <w:left w:val="nil"/>
              <w:bottom w:val="nil"/>
              <w:right w:val="nil"/>
            </w:tcBorders>
            <w:shd w:val="clear" w:color="auto" w:fill="auto"/>
            <w:noWrap/>
            <w:vAlign w:val="center"/>
            <w:hideMark/>
          </w:tcPr>
          <w:p w14:paraId="59EA5F4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5.6 - 9.3</w:t>
            </w:r>
          </w:p>
        </w:tc>
        <w:tc>
          <w:tcPr>
            <w:tcW w:w="1222" w:type="dxa"/>
            <w:tcBorders>
              <w:top w:val="nil"/>
              <w:left w:val="nil"/>
              <w:bottom w:val="nil"/>
              <w:right w:val="nil"/>
            </w:tcBorders>
            <w:shd w:val="clear" w:color="auto" w:fill="auto"/>
            <w:noWrap/>
            <w:vAlign w:val="center"/>
            <w:hideMark/>
          </w:tcPr>
          <w:p w14:paraId="0F55EBCE"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74 - 254</w:t>
            </w:r>
          </w:p>
        </w:tc>
        <w:tc>
          <w:tcPr>
            <w:tcW w:w="1191" w:type="dxa"/>
            <w:tcBorders>
              <w:top w:val="nil"/>
              <w:left w:val="nil"/>
              <w:bottom w:val="nil"/>
              <w:right w:val="nil"/>
            </w:tcBorders>
            <w:shd w:val="clear" w:color="auto" w:fill="auto"/>
            <w:noWrap/>
            <w:vAlign w:val="center"/>
            <w:hideMark/>
          </w:tcPr>
          <w:p w14:paraId="6E43FC7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6 - 49</w:t>
            </w:r>
          </w:p>
        </w:tc>
      </w:tr>
      <w:tr w:rsidR="000601E9" w:rsidRPr="002C0746" w14:paraId="6E1E7A39" w14:textId="77777777" w:rsidTr="005B2DEC">
        <w:trPr>
          <w:trHeight w:val="600"/>
        </w:trPr>
        <w:tc>
          <w:tcPr>
            <w:tcW w:w="1540" w:type="dxa"/>
            <w:tcBorders>
              <w:top w:val="nil"/>
              <w:left w:val="nil"/>
              <w:bottom w:val="single" w:sz="4" w:space="0" w:color="auto"/>
              <w:right w:val="nil"/>
            </w:tcBorders>
            <w:shd w:val="clear" w:color="auto" w:fill="auto"/>
            <w:vAlign w:val="center"/>
            <w:hideMark/>
          </w:tcPr>
          <w:p w14:paraId="5C00B67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Mixed farms (type III)</w:t>
            </w:r>
          </w:p>
        </w:tc>
        <w:tc>
          <w:tcPr>
            <w:tcW w:w="1200" w:type="dxa"/>
            <w:tcBorders>
              <w:top w:val="nil"/>
              <w:left w:val="nil"/>
              <w:bottom w:val="single" w:sz="4" w:space="0" w:color="auto"/>
              <w:right w:val="nil"/>
            </w:tcBorders>
            <w:shd w:val="clear" w:color="auto" w:fill="auto"/>
            <w:noWrap/>
            <w:vAlign w:val="center"/>
            <w:hideMark/>
          </w:tcPr>
          <w:p w14:paraId="2265003F"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8.9 ± 3.7</w:t>
            </w:r>
          </w:p>
        </w:tc>
        <w:tc>
          <w:tcPr>
            <w:tcW w:w="1260" w:type="dxa"/>
            <w:tcBorders>
              <w:top w:val="nil"/>
              <w:left w:val="nil"/>
              <w:bottom w:val="single" w:sz="4" w:space="0" w:color="auto"/>
              <w:right w:val="nil"/>
            </w:tcBorders>
            <w:shd w:val="clear" w:color="auto" w:fill="auto"/>
            <w:noWrap/>
            <w:vAlign w:val="center"/>
            <w:hideMark/>
          </w:tcPr>
          <w:p w14:paraId="17C744E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24.2</w:t>
            </w:r>
          </w:p>
        </w:tc>
        <w:tc>
          <w:tcPr>
            <w:tcW w:w="1260" w:type="dxa"/>
            <w:tcBorders>
              <w:top w:val="nil"/>
              <w:left w:val="nil"/>
              <w:bottom w:val="single" w:sz="4" w:space="0" w:color="auto"/>
              <w:right w:val="nil"/>
            </w:tcBorders>
            <w:shd w:val="clear" w:color="auto" w:fill="auto"/>
            <w:noWrap/>
            <w:vAlign w:val="center"/>
            <w:hideMark/>
          </w:tcPr>
          <w:p w14:paraId="52AA5D54"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5.73</w:t>
            </w:r>
          </w:p>
        </w:tc>
        <w:tc>
          <w:tcPr>
            <w:tcW w:w="1007" w:type="dxa"/>
            <w:tcBorders>
              <w:top w:val="nil"/>
              <w:left w:val="nil"/>
              <w:bottom w:val="single" w:sz="4" w:space="0" w:color="auto"/>
              <w:right w:val="nil"/>
            </w:tcBorders>
            <w:shd w:val="clear" w:color="auto" w:fill="auto"/>
            <w:noWrap/>
            <w:vAlign w:val="center"/>
            <w:hideMark/>
          </w:tcPr>
          <w:p w14:paraId="6CCB4770"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exported</w:t>
            </w:r>
          </w:p>
        </w:tc>
        <w:tc>
          <w:tcPr>
            <w:tcW w:w="1195" w:type="dxa"/>
            <w:tcBorders>
              <w:top w:val="nil"/>
              <w:left w:val="nil"/>
              <w:bottom w:val="single" w:sz="4" w:space="0" w:color="auto"/>
              <w:right w:val="nil"/>
            </w:tcBorders>
            <w:shd w:val="clear" w:color="auto" w:fill="auto"/>
            <w:noWrap/>
            <w:vAlign w:val="center"/>
            <w:hideMark/>
          </w:tcPr>
          <w:p w14:paraId="4D80916B"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3.6 - 6.3</w:t>
            </w:r>
          </w:p>
        </w:tc>
        <w:tc>
          <w:tcPr>
            <w:tcW w:w="1223" w:type="dxa"/>
            <w:tcBorders>
              <w:top w:val="nil"/>
              <w:left w:val="nil"/>
              <w:bottom w:val="single" w:sz="4" w:space="0" w:color="auto"/>
              <w:right w:val="nil"/>
            </w:tcBorders>
            <w:shd w:val="clear" w:color="auto" w:fill="auto"/>
            <w:noWrap/>
            <w:vAlign w:val="center"/>
            <w:hideMark/>
          </w:tcPr>
          <w:p w14:paraId="585787EB"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150 - 605</w:t>
            </w:r>
          </w:p>
        </w:tc>
        <w:tc>
          <w:tcPr>
            <w:tcW w:w="1125" w:type="dxa"/>
            <w:tcBorders>
              <w:top w:val="nil"/>
              <w:left w:val="nil"/>
              <w:bottom w:val="single" w:sz="4" w:space="0" w:color="auto"/>
              <w:right w:val="nil"/>
            </w:tcBorders>
            <w:shd w:val="clear" w:color="auto" w:fill="auto"/>
            <w:noWrap/>
            <w:vAlign w:val="center"/>
            <w:hideMark/>
          </w:tcPr>
          <w:p w14:paraId="3106183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65 - 242</w:t>
            </w:r>
          </w:p>
        </w:tc>
        <w:tc>
          <w:tcPr>
            <w:tcW w:w="1260" w:type="dxa"/>
            <w:tcBorders>
              <w:top w:val="nil"/>
              <w:left w:val="nil"/>
              <w:bottom w:val="single" w:sz="4" w:space="0" w:color="auto"/>
              <w:right w:val="nil"/>
            </w:tcBorders>
            <w:shd w:val="clear" w:color="auto" w:fill="auto"/>
            <w:noWrap/>
            <w:vAlign w:val="center"/>
            <w:hideMark/>
          </w:tcPr>
          <w:p w14:paraId="51DCBC24"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1.6 - 2.7</w:t>
            </w:r>
          </w:p>
        </w:tc>
        <w:tc>
          <w:tcPr>
            <w:tcW w:w="1222" w:type="dxa"/>
            <w:tcBorders>
              <w:top w:val="nil"/>
              <w:left w:val="nil"/>
              <w:bottom w:val="single" w:sz="4" w:space="0" w:color="auto"/>
              <w:right w:val="nil"/>
            </w:tcBorders>
            <w:shd w:val="clear" w:color="auto" w:fill="auto"/>
            <w:noWrap/>
            <w:vAlign w:val="center"/>
            <w:hideMark/>
          </w:tcPr>
          <w:p w14:paraId="1C2AA51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22 - 74</w:t>
            </w:r>
          </w:p>
        </w:tc>
        <w:tc>
          <w:tcPr>
            <w:tcW w:w="1191" w:type="dxa"/>
            <w:tcBorders>
              <w:top w:val="nil"/>
              <w:left w:val="nil"/>
              <w:bottom w:val="single" w:sz="4" w:space="0" w:color="auto"/>
              <w:right w:val="nil"/>
            </w:tcBorders>
            <w:shd w:val="clear" w:color="auto" w:fill="auto"/>
            <w:noWrap/>
            <w:vAlign w:val="center"/>
            <w:hideMark/>
          </w:tcPr>
          <w:p w14:paraId="2B0B5DE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2 - 14</w:t>
            </w:r>
          </w:p>
        </w:tc>
      </w:tr>
    </w:tbl>
    <w:p w14:paraId="2243E0F5" w14:textId="3AEE845F" w:rsidR="000601E9" w:rsidRPr="002C0746" w:rsidRDefault="000601E9" w:rsidP="00C54CAC">
      <w:pPr>
        <w:spacing w:after="0" w:line="276" w:lineRule="auto"/>
        <w:jc w:val="both"/>
        <w:rPr>
          <w:rFonts w:asciiTheme="majorBidi" w:eastAsia="Times New Roman" w:hAnsiTheme="majorBidi" w:cstheme="majorBidi"/>
          <w:szCs w:val="24"/>
          <w:lang w:val="en-GB" w:eastAsia="fr-MA"/>
        </w:rPr>
      </w:pPr>
      <w:r w:rsidRPr="002C0746">
        <w:rPr>
          <w:rFonts w:asciiTheme="majorBidi" w:eastAsia="Times New Roman" w:hAnsiTheme="majorBidi" w:cstheme="majorBidi"/>
          <w:color w:val="000000"/>
          <w:vertAlign w:val="superscript"/>
          <w:lang w:val="en-GB" w:eastAsia="fr-FR"/>
        </w:rPr>
        <w:t>*</w:t>
      </w:r>
      <w:r w:rsidRPr="002C0746">
        <w:rPr>
          <w:rFonts w:asciiTheme="majorBidi" w:eastAsia="Times New Roman" w:hAnsiTheme="majorBidi" w:cstheme="majorBidi"/>
          <w:color w:val="000000"/>
          <w:lang w:val="en-GB" w:eastAsia="fr-FR"/>
        </w:rPr>
        <w:t xml:space="preserve"> UAA: Utili</w:t>
      </w:r>
      <w:r w:rsidR="00E42BC1">
        <w:rPr>
          <w:rFonts w:asciiTheme="majorBidi" w:eastAsia="Times New Roman" w:hAnsiTheme="majorBidi" w:cstheme="majorBidi"/>
          <w:color w:val="000000"/>
          <w:lang w:val="en-GB" w:eastAsia="fr-FR"/>
        </w:rPr>
        <w:t>s</w:t>
      </w:r>
      <w:r w:rsidRPr="002C0746">
        <w:rPr>
          <w:rFonts w:asciiTheme="majorBidi" w:eastAsia="Times New Roman" w:hAnsiTheme="majorBidi" w:cstheme="majorBidi"/>
          <w:color w:val="000000"/>
          <w:lang w:val="en-GB" w:eastAsia="fr-FR"/>
        </w:rPr>
        <w:t xml:space="preserve">ed agricultural area in ha </w:t>
      </w:r>
      <w:r w:rsidRPr="002C0746">
        <w:rPr>
          <w:rFonts w:asciiTheme="majorBidi" w:eastAsia="Times New Roman" w:hAnsiTheme="majorBidi" w:cstheme="majorBidi"/>
          <w:szCs w:val="24"/>
          <w:lang w:val="en-GB" w:eastAsia="fr-MA"/>
        </w:rPr>
        <w:fldChar w:fldCharType="begin"/>
      </w:r>
      <w:r w:rsidR="00C54CAC">
        <w:rPr>
          <w:rFonts w:asciiTheme="majorBidi" w:eastAsia="Times New Roman" w:hAnsiTheme="majorBidi" w:cstheme="majorBidi"/>
          <w:szCs w:val="24"/>
          <w:lang w:val="en-GB" w:eastAsia="fr-MA"/>
        </w:rPr>
        <w:instrText xml:space="preserve"> ADDIN ZOTERO_ITEM CSL_CITATION {"citationID":"LJ3o3zPa","properties":{"formattedCitation":"[1]","plainCitation":"[1]","noteIndex":0},"citationItems":[{"id":1483,"uris":["http://zotero.org/users/5139597/items/SUD37U75"],"itemData":{"id":1483,"type":"article-journal","abstract":"Circular agriculture is an effective approach for the management of soil organic inputs that improves soil fertility and cropping system sustainability. We developed a cropping system typology and assessed effects of crop rotation, organic fertilization, and crop residue management on soil fertility properties. Farmers in Drâa-Tafilalet oases in Morocco were surveyed, and soil was sampled and analyzed. In the most common cropping systems (Type I), date palms were associated with cereals, forages, and perennial crops. Type II cropping systems referred to a monocropped date palm of only one cultivar. In Type III, date palm was associated with other crops on part of the utilized agricultural area and monocropped on the other part. In all cropping systems, mean soil organic matter (SOM) content was less than 1.5% and the SOM:clay ratio was less than 12%, which increased the soil degradation risk. Livestock was combined with crops in Type I and III cropping systems and produced 19.4 and 24.2 t of manure per farm per year, respectively. Type I and II cropping systems produced annually 0.98 and 2.1 t.ha−1 of dry palms, respectively. Recycling these organic waste products remains a promising option that could produce organic inputs and offset the current lack of manure.","container-title":"Sustainability","DOI":"10.3390/su13094713","issue":"9","language":"en","note":"number: 9\npublisher: Multidisciplinary Digital Publishing Institute","page":"4713","source":"www.mdpi.com","title":"Benefits of circular agriculture for cropping systems and soil fertility in oases","volume":"13","author":[{"family":"El Janati","given":"Mustapha"},{"family":"Akkal-Corfini","given":"Nouraya"},{"family":"Bouaziz","given":"Ahmed"},{"family":"Oukarroum","given":"Abdallah"},{"family":"Robin","given":"Paul"},{"family":"Sabri","given":"Ahmed"},{"family":"Chikhaoui","given":"Mohamed"},{"family":"Thomas","given":"Zahra"}],"issued":{"date-parts":[["2021",1]]}}}],"schema":"https://github.com/citation-style-language/schema/raw/master/csl-citation.json"} </w:instrText>
      </w:r>
      <w:r w:rsidRPr="002C0746">
        <w:rPr>
          <w:rFonts w:asciiTheme="majorBidi" w:eastAsia="Times New Roman" w:hAnsiTheme="majorBidi" w:cstheme="majorBidi"/>
          <w:szCs w:val="24"/>
          <w:lang w:val="en-GB" w:eastAsia="fr-MA"/>
        </w:rPr>
        <w:fldChar w:fldCharType="separate"/>
      </w:r>
      <w:r w:rsidR="00C54CAC" w:rsidRPr="00C54CAC">
        <w:rPr>
          <w:rFonts w:ascii="Times New Roman" w:hAnsi="Times New Roman" w:cs="Times New Roman"/>
          <w:lang w:val="en-US"/>
        </w:rPr>
        <w:t>[1]</w:t>
      </w:r>
      <w:r w:rsidRPr="002C0746">
        <w:rPr>
          <w:rFonts w:asciiTheme="majorBidi" w:eastAsia="Times New Roman" w:hAnsiTheme="majorBidi" w:cstheme="majorBidi"/>
          <w:szCs w:val="24"/>
          <w:lang w:val="en-GB" w:eastAsia="fr-MA"/>
        </w:rPr>
        <w:fldChar w:fldCharType="end"/>
      </w:r>
    </w:p>
    <w:p w14:paraId="2119E169" w14:textId="57C2B089" w:rsidR="000601E9" w:rsidRPr="002C0746" w:rsidRDefault="000601E9" w:rsidP="00C54CAC">
      <w:pPr>
        <w:spacing w:after="0" w:line="276" w:lineRule="auto"/>
        <w:jc w:val="both"/>
        <w:rPr>
          <w:rFonts w:asciiTheme="majorBidi" w:eastAsia="Times New Roman" w:hAnsiTheme="majorBidi" w:cstheme="majorBidi"/>
          <w:szCs w:val="24"/>
          <w:lang w:val="en-GB" w:eastAsia="fr-MA"/>
        </w:rPr>
      </w:pPr>
      <w:r w:rsidRPr="002C0746">
        <w:rPr>
          <w:rFonts w:asciiTheme="majorBidi" w:eastAsia="Times New Roman" w:hAnsiTheme="majorBidi" w:cstheme="majorBidi"/>
          <w:color w:val="000000"/>
          <w:vertAlign w:val="superscript"/>
          <w:lang w:val="en-GB" w:eastAsia="fr-FR"/>
        </w:rPr>
        <w:t>**</w:t>
      </w:r>
      <w:r w:rsidRPr="002C0746">
        <w:rPr>
          <w:rFonts w:asciiTheme="majorBidi" w:eastAsia="Times New Roman" w:hAnsiTheme="majorBidi" w:cstheme="majorBidi"/>
          <w:color w:val="000000"/>
          <w:lang w:val="en-GB" w:eastAsia="fr-FR"/>
        </w:rPr>
        <w:t xml:space="preserve"> OWP production and C availability are given in t farm</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xml:space="preserve"> year</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N and P are given in kg N or kg P farm</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xml:space="preserve"> year</w:t>
      </w:r>
      <w:r w:rsidRPr="002C0746">
        <w:rPr>
          <w:rFonts w:asciiTheme="majorBidi" w:eastAsia="Times New Roman" w:hAnsiTheme="majorBidi" w:cstheme="majorBidi"/>
          <w:color w:val="000000"/>
          <w:vertAlign w:val="superscript"/>
          <w:lang w:val="en-GB" w:eastAsia="fr-FR"/>
        </w:rPr>
        <w:t>−1</w:t>
      </w:r>
      <w:r w:rsidRPr="002C0746">
        <w:rPr>
          <w:rFonts w:ascii="Calibri" w:eastAsia="Times New Roman" w:hAnsi="Calibri" w:cs="Calibri"/>
          <w:color w:val="000000"/>
          <w:lang w:val="en-GB" w:eastAsia="fr-FR"/>
        </w:rPr>
        <w:t xml:space="preserve"> </w:t>
      </w:r>
      <w:r w:rsidRPr="002C0746">
        <w:rPr>
          <w:rFonts w:asciiTheme="majorBidi" w:eastAsia="Times New Roman" w:hAnsiTheme="majorBidi" w:cstheme="majorBidi"/>
          <w:szCs w:val="24"/>
          <w:lang w:val="en-GB" w:eastAsia="fr-MA"/>
        </w:rPr>
        <w:fldChar w:fldCharType="begin"/>
      </w:r>
      <w:r w:rsidR="00C54CAC">
        <w:rPr>
          <w:rFonts w:asciiTheme="majorBidi" w:eastAsia="Times New Roman" w:hAnsiTheme="majorBidi" w:cstheme="majorBidi"/>
          <w:szCs w:val="24"/>
          <w:lang w:val="en-GB" w:eastAsia="fr-MA"/>
        </w:rPr>
        <w:instrText xml:space="preserve"> ADDIN ZOTERO_ITEM CSL_CITATION {"citationID":"kNJimTrG","properties":{"formattedCitation":"[1\\uc0\\u8211{}6]","plainCitation":"[1–6]","noteIndex":0},"citationItems":[{"id":1459,"uris":["http://zotero.org/users/5139597/items/S5JMM6RZ"],"itemData":{"id":1459,"type":"article-journal","abstract":"Organic matter (OM) is a vital component for a healthy soil, its lack arise a major problem for farmers who need to use commercialized fertilizers with high costs. Considering circular economy approach and for increasing OM availability, water soaked date palm waste was co-composted with goat manure in aerated windrow to produce a soil organic amendment. The OM biodegradation was mainly controlled based on biological parameters and spectroscopic techniques. The results showed a rapid temperature increase during the first week, and a relatively long compost maturity phase. The OM content reduction was of 36% and C/N ratio shifted from 60 to 20 at the process end. During the composting process, the specific ultraviolet absorbance SUVA254, SUVA269 and the SUVA280 values increase confirmed the OM and hydrophilic compounds degradation, as well as substrate content oxidation into aromatic compounds. The Fourier Transform Infrared Spectroscopy (FTIR) analyses of the different samples collected during the process exhibited both OM biodegradation and mineralization. The 3 absorption ratios 1650/2845, 1525/2925 and 2920/1640 confirmed an aromaticity increase by aromatic structures biosynthesis, such as humic-like and fulvic-like substances, with the decomposition/transformation of aliphatic components, polysaccharides, and alcohols. Fluorescence excitation-emission matrix (FEEM) spectroscopy coupled with parallel factor analysis (PARAFAC) evidenced the dissolved organic matter (DOM) humification. A four-component model was obtained, i.e. humic-like component (S1, S2 and S3) and fulvic-like component (S4). The produced compost didn't exhibit any phytotoxicity evidenced by cress seed germination index exceeding 80%. All the analyses confirmed the good quality of the compost issued from mixed date palm waste and goat manure.","container-title":"Journal of Environmental Management","DOI":"10.1016/j.jenvman.2020.110492","note":"publisher: Elsevier","page":"110492","source":"HAL Archives Ouvertes","title":"Physico-chemical and spectroscopic quality assessment of compost issued from date palm waste valorization","volume":"264","author":[{"family":"Abid","given":"Wadii"},{"family":"Mahmoud","given":"Imen Ben"},{"family":"Masmoudi","given":"Saoussan"},{"family":"Triki","given":"Mohamed Ali"},{"family":"Mounier","given":"Stéphane"},{"family":"Ammar","given":"Emna"}],"issued":{"date-parts":[["2020"]]}}},{"id":384,"uris":["http://zotero.org/users/5139597/items/A8RLLQCT"],"itemData":{"id":384,"type":"article-journal","container-title":"Middle-East J. Sci. Res","issue":"6","page":"972–983","source":"Google Scholar","title":"Performance evaluation of a static composting system using date palm residues","volume":"7","author":[{"family":"Alkoaik","given":"F. N."},{"family":"Khalil","given":"A. I."},{"family":"Alqumajan","given":"T."}],"issued":{"date-parts":[["2011"]]}}},{"id":89,"uris":["http://zotero.org/users/5139597/items/PBU3TBKZ"],"itemData":{"id":89,"type":"article-journal","container-title":"International Journal of Recycling of Organic Waste in Agriculture","DOI":"10.1007/s40093-017-0182-6","ISSN":"2195-3228, 2251-7715","issue":"1","journalAbbreviation":"Int J Recycl Org Waste Agricult","language":"en","page":"1-9","source":"Crossref","title":"Effect of date palm waste compost on forage alfalfa growth, yield, seed yield and minerals uptake","volume":"7","author":[{"family":"Benabderrahim","given":"Mohamed Ali"},{"family":"Elfalleh","given":"Walid"},{"family":"Belayadi","given":"Hayfa"},{"family":"Haddad","given":"Mansour"}],"issued":{"date-parts":[["2018",3]]}}},{"id":1483,"uris":["http://zotero.org/users/5139597/items/SUD37U75"],"itemData":{"id":1483,"type":"article-journal","abstract":"Circular agriculture is an effective approach for the management of soil organic inputs that improves soil fertility and cropping system sustainability. We developed a cropping system typology and assessed effects of crop rotation, organic fertilization, and crop residue management on soil fertility properties. Farmers in Drâa-Tafilalet oases in Morocco were surveyed, and soil was sampled and analyzed. In the most common cropping systems (Type I), date palms were associated with cereals, forages, and perennial crops. Type II cropping systems referred to a monocropped date palm of only one cultivar. In Type III, date palm was associated with other crops on part of the utilized agricultural area and monocropped on the other part. In all cropping systems, mean soil organic matter (SOM) content was less than 1.5% and the SOM:clay ratio was less than 12%, which increased the soil degradation risk. Livestock was combined with crops in Type I and III cropping systems and produced 19.4 and 24.2 t of manure per farm per year, respectively. Type I and II cropping systems produced annually 0.98 and 2.1 t.ha−1 of dry palms, respectively. Recycling these organic waste products remains a promising option that could produce organic inputs and offset the current lack of manure.","container-title":"Sustainability","DOI":"10.3390/su13094713","issue":"9","language":"en","note":"number: 9\npublisher: Multidisciplinary Digital Publishing Institute","page":"4713","source":"www.mdpi.com","title":"Benefits of circular agriculture for cropping systems and soil fertility in oases","volume":"13","author":[{"family":"El Janati","given":"Mustapha"},{"family":"Akkal-Corfini","given":"Nouraya"},{"family":"Bouaziz","given":"Ahmed"},{"family":"Oukarroum","given":"Abdallah"},{"family":"Robin","given":"Paul"},{"family":"Sabri","given":"Ahmed"},{"family":"Chikhaoui","given":"Mohamed"},{"family":"Thomas","given":"Zahra"}],"issued":{"date-parts":[["2021",1]]}}},{"id":1280,"uris":["http://zotero.org/users/5139597/items/HPZEE7JD"],"itemData":{"id":1280,"type":"article-journal","container-title":"International Journal of Biochemistry and Biotechnology","issue":"5","page":"156-161","title":"Composting mulch of date palm trees through microbial activator in Saudi Arabia","volume":"1","author":[{"family":"Sadik","given":"M.W"},{"family":"Al Ashhab","given":"A.O"},{"family":"Zahran","given":"M.K"},{"family":"Alsaqan","given":"F.M"}],"issued":{"date-parts":[["2012",7]]}}},{"id":624,"uris":["http://zotero.org/users/5139597/items/JGHSXHSF"],"itemData":{"id":624,"type":"article-journal","abstract":"In the Mediterranean countries, there is an increasing production of date palm wastes (Phoenix dactylifera L.), not only due to the raising production of date palm fruits, but also derived from the maintenance of urban and peri-urban green areas, especially in those affected by red palm weevil (Rhynchophorus ferrugineus). The management of this increasing volume of green wastes usually concludes with a controlled disposal that implies an important loss of resources, in terms of organic matter, nutrients and energy. In addition, the rise of wastewater generation and the incentive of the wastewater treatment processes have derived in an increase of the amount of the sludge produced, which makes difficult its management. This work studies the feasibility of co-composting palm wastes with sludge from the urban and agri-food sectors as alternative treatment to manage these organic waste streams and to obtain added-value compost. For this, four mixtures (P1, P2, P3 and P4) were prepared using as main component palm leave waste (PL) mixed with different types of sludge. In the piles P1, P2 and P3, sewage sludge (SS) was used as co-composting agent, while agri-food sludge (AS) was used in P4. Throughout composting, the thermal profile of the composting piles was assessed, as were physical, chemical, physico-chemical and maturity parameters. In addition, the changes in water-soluble organic matter were assessed using chemical analytical methods and the excitation–emission matrix (EEM) fluorescence spectroscopy. The results obtained showed the viability of the co-composting process to obtain end-products with adequate maturity degree and physical characteristics for their potential use as substrates, except for the salt contents that can limit their use in some agricultural sectors.","container-title":"Journal of Environmental Management","DOI":"10.1016/j.jenvman.2018.08.035","ISSN":"0301-4797","journalAbbreviation":"Journal of Environmental Management","language":"en","page":"408-415","source":"ScienceDirect","title":"Valorization of date palm (Phoenix dactylifera L.) pruning biomass by co-composting with urban and agri-food sludge","volume":"226","author":[{"family":"Vico","given":"A."},{"family":"Pérez-Murcia","given":"M. D."},{"family":"Bustamante","given":"M. A."},{"family":"Agulló","given":"E."},{"family":"Marhuenda-Egea","given":"F. C."},{"family":"Sáez","given":"J. A."},{"family":"Paredes","given":"C."},{"family":"Pérez-Espinosa","given":"A."},{"family":"Moral","given":"R."}],"issued":{"date-parts":[["2018",11,15]]}}}],"schema":"https://github.com/citation-style-language/schema/raw/master/csl-citation.json"} </w:instrText>
      </w:r>
      <w:r w:rsidRPr="002C0746">
        <w:rPr>
          <w:rFonts w:asciiTheme="majorBidi" w:eastAsia="Times New Roman" w:hAnsiTheme="majorBidi" w:cstheme="majorBidi"/>
          <w:szCs w:val="24"/>
          <w:lang w:val="en-GB" w:eastAsia="fr-MA"/>
        </w:rPr>
        <w:fldChar w:fldCharType="separate"/>
      </w:r>
      <w:r w:rsidR="00C54CAC" w:rsidRPr="00C54CAC">
        <w:rPr>
          <w:rFonts w:ascii="Times New Roman" w:hAnsi="Times New Roman" w:cs="Times New Roman"/>
          <w:szCs w:val="24"/>
          <w:lang w:val="en-US"/>
        </w:rPr>
        <w:t>[1–6]</w:t>
      </w:r>
      <w:r w:rsidRPr="002C0746">
        <w:rPr>
          <w:rFonts w:asciiTheme="majorBidi" w:eastAsia="Times New Roman" w:hAnsiTheme="majorBidi" w:cstheme="majorBidi"/>
          <w:szCs w:val="24"/>
          <w:lang w:val="en-GB" w:eastAsia="fr-MA"/>
        </w:rPr>
        <w:fldChar w:fldCharType="end"/>
      </w:r>
    </w:p>
    <w:p w14:paraId="78E93AC7" w14:textId="77777777" w:rsidR="000601E9" w:rsidRPr="002C0746" w:rsidRDefault="000601E9" w:rsidP="000601E9">
      <w:pPr>
        <w:spacing w:after="0" w:line="276" w:lineRule="auto"/>
        <w:jc w:val="both"/>
        <w:rPr>
          <w:rFonts w:asciiTheme="majorBidi" w:eastAsia="Times New Roman" w:hAnsiTheme="majorBidi" w:cstheme="majorBidi"/>
          <w:szCs w:val="24"/>
          <w:lang w:val="en-GB" w:eastAsia="fr-MA"/>
        </w:rPr>
        <w:sectPr w:rsidR="000601E9" w:rsidRPr="002C0746" w:rsidSect="0032754A">
          <w:footerReference w:type="default" r:id="rId7"/>
          <w:type w:val="continuous"/>
          <w:pgSz w:w="16838" w:h="11906" w:orient="landscape"/>
          <w:pgMar w:top="1417" w:right="1417" w:bottom="1417" w:left="1417" w:header="708" w:footer="708" w:gutter="0"/>
          <w:lnNumType w:countBy="1" w:restart="continuous"/>
          <w:cols w:space="708"/>
          <w:docGrid w:linePitch="360"/>
        </w:sectPr>
      </w:pPr>
    </w:p>
    <w:p w14:paraId="2680E8FE" w14:textId="77777777" w:rsidR="000601E9" w:rsidRPr="002C0746" w:rsidRDefault="000601E9" w:rsidP="000601E9">
      <w:pPr>
        <w:spacing w:after="0" w:line="276" w:lineRule="auto"/>
        <w:jc w:val="both"/>
        <w:rPr>
          <w:rFonts w:asciiTheme="majorBidi" w:eastAsia="Times New Roman" w:hAnsiTheme="majorBidi" w:cstheme="majorBidi"/>
          <w:szCs w:val="24"/>
          <w:lang w:val="en-GB" w:eastAsia="fr-MA"/>
        </w:rPr>
      </w:pPr>
    </w:p>
    <w:p w14:paraId="3A772620" w14:textId="77777777" w:rsidR="000601E9" w:rsidRPr="002C0746" w:rsidRDefault="000601E9" w:rsidP="008B3D5C">
      <w:pPr>
        <w:pStyle w:val="Tableappendix"/>
        <w:keepNext/>
        <w:ind w:left="851" w:hanging="851"/>
        <w:rPr>
          <w:lang w:val="en-GB"/>
        </w:rPr>
      </w:pPr>
      <w:r w:rsidRPr="002C0746">
        <w:rPr>
          <w:lang w:val="en-GB"/>
        </w:rPr>
        <w:t>Nitrogen (N) and phosphorus (P) exported by crops and dates</w:t>
      </w:r>
    </w:p>
    <w:tbl>
      <w:tblPr>
        <w:tblW w:w="10108"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606"/>
        <w:gridCol w:w="1276"/>
        <w:gridCol w:w="1276"/>
        <w:gridCol w:w="1072"/>
        <w:gridCol w:w="872"/>
        <w:gridCol w:w="1134"/>
        <w:gridCol w:w="872"/>
      </w:tblGrid>
      <w:tr w:rsidR="000601E9" w:rsidRPr="00E4150B" w14:paraId="334ED4D3" w14:textId="77777777" w:rsidTr="00E70A96">
        <w:trPr>
          <w:trHeight w:val="340"/>
        </w:trPr>
        <w:tc>
          <w:tcPr>
            <w:tcW w:w="3606" w:type="dxa"/>
            <w:vMerge w:val="restart"/>
            <w:tcBorders>
              <w:top w:val="single" w:sz="4" w:space="0" w:color="auto"/>
              <w:bottom w:val="single" w:sz="4" w:space="0" w:color="auto"/>
            </w:tcBorders>
            <w:shd w:val="clear" w:color="auto" w:fill="auto"/>
            <w:noWrap/>
            <w:vAlign w:val="center"/>
            <w:hideMark/>
          </w:tcPr>
          <w:p w14:paraId="07FE68E7" w14:textId="77777777" w:rsidR="000601E9" w:rsidRPr="002C0746" w:rsidRDefault="000601E9" w:rsidP="003E5123">
            <w:pPr>
              <w:keepNext/>
              <w:spacing w:after="0" w:line="240" w:lineRule="auto"/>
              <w:jc w:val="center"/>
              <w:rPr>
                <w:rFonts w:asciiTheme="majorBidi" w:eastAsia="Times New Roman" w:hAnsiTheme="majorBidi" w:cstheme="majorBidi"/>
                <w:szCs w:val="24"/>
                <w:lang w:val="en-GB" w:eastAsia="fr-FR"/>
              </w:rPr>
            </w:pPr>
            <w:r w:rsidRPr="002C0746">
              <w:rPr>
                <w:rFonts w:asciiTheme="majorBidi" w:eastAsia="Times New Roman" w:hAnsiTheme="majorBidi" w:cstheme="majorBidi"/>
                <w:color w:val="000000"/>
                <w:lang w:val="en-GB" w:eastAsia="fr-FR"/>
              </w:rPr>
              <w:t>Farm type</w:t>
            </w:r>
          </w:p>
        </w:tc>
        <w:tc>
          <w:tcPr>
            <w:tcW w:w="1276" w:type="dxa"/>
            <w:vMerge w:val="restart"/>
            <w:tcBorders>
              <w:top w:val="single" w:sz="4" w:space="0" w:color="auto"/>
              <w:bottom w:val="single" w:sz="4" w:space="0" w:color="auto"/>
            </w:tcBorders>
            <w:shd w:val="clear" w:color="auto" w:fill="auto"/>
            <w:noWrap/>
            <w:vAlign w:val="center"/>
            <w:hideMark/>
          </w:tcPr>
          <w:p w14:paraId="460B2023" w14:textId="77777777" w:rsidR="000601E9" w:rsidRPr="002C0746" w:rsidRDefault="000601E9" w:rsidP="003E5123">
            <w:pPr>
              <w:keepNext/>
              <w:spacing w:after="0" w:line="240" w:lineRule="auto"/>
              <w:jc w:val="center"/>
              <w:rPr>
                <w:rFonts w:asciiTheme="majorBidi" w:eastAsia="Times New Roman" w:hAnsiTheme="majorBidi" w:cstheme="majorBidi"/>
                <w:sz w:val="20"/>
                <w:szCs w:val="20"/>
                <w:lang w:val="en-GB" w:eastAsia="fr-FR"/>
              </w:rPr>
            </w:pPr>
            <w:r w:rsidRPr="002C0746">
              <w:rPr>
                <w:rFonts w:asciiTheme="majorBidi" w:eastAsia="Times New Roman" w:hAnsiTheme="majorBidi" w:cstheme="majorBidi"/>
                <w:color w:val="000000"/>
                <w:lang w:val="en-GB" w:eastAsia="fr-FR"/>
              </w:rPr>
              <w:t>Crop production</w:t>
            </w:r>
            <w:r w:rsidRPr="002C0746">
              <w:rPr>
                <w:rFonts w:asciiTheme="majorBidi" w:eastAsia="Times New Roman" w:hAnsiTheme="majorBidi" w:cstheme="majorBidi"/>
                <w:color w:val="000000"/>
                <w:vertAlign w:val="superscript"/>
                <w:lang w:val="en-GB" w:eastAsia="fr-FR"/>
              </w:rPr>
              <w:t>*</w:t>
            </w:r>
          </w:p>
        </w:tc>
        <w:tc>
          <w:tcPr>
            <w:tcW w:w="1276" w:type="dxa"/>
            <w:vMerge w:val="restart"/>
            <w:tcBorders>
              <w:top w:val="single" w:sz="4" w:space="0" w:color="auto"/>
              <w:bottom w:val="single" w:sz="4" w:space="0" w:color="auto"/>
            </w:tcBorders>
            <w:shd w:val="clear" w:color="auto" w:fill="auto"/>
            <w:noWrap/>
            <w:vAlign w:val="center"/>
            <w:hideMark/>
          </w:tcPr>
          <w:p w14:paraId="33DCBDBA" w14:textId="77777777" w:rsidR="000601E9" w:rsidRPr="002C0746" w:rsidRDefault="000601E9" w:rsidP="003E5123">
            <w:pPr>
              <w:keepNext/>
              <w:spacing w:after="0" w:line="240" w:lineRule="auto"/>
              <w:jc w:val="center"/>
              <w:rPr>
                <w:rFonts w:asciiTheme="majorBidi" w:eastAsia="Times New Roman" w:hAnsiTheme="majorBidi" w:cstheme="majorBidi"/>
                <w:sz w:val="20"/>
                <w:szCs w:val="20"/>
                <w:lang w:val="en-GB" w:eastAsia="fr-FR"/>
              </w:rPr>
            </w:pPr>
            <w:r w:rsidRPr="002C0746">
              <w:rPr>
                <w:rFonts w:asciiTheme="majorBidi" w:eastAsia="Times New Roman" w:hAnsiTheme="majorBidi" w:cstheme="majorBidi"/>
                <w:color w:val="000000"/>
                <w:lang w:val="en-GB" w:eastAsia="fr-FR"/>
              </w:rPr>
              <w:t>Date production</w:t>
            </w:r>
            <w:r w:rsidRPr="002C0746">
              <w:rPr>
                <w:rFonts w:asciiTheme="majorBidi" w:eastAsia="Times New Roman" w:hAnsiTheme="majorBidi" w:cstheme="majorBidi"/>
                <w:color w:val="000000"/>
                <w:vertAlign w:val="superscript"/>
                <w:lang w:val="en-GB" w:eastAsia="fr-FR"/>
              </w:rPr>
              <w:t>*</w:t>
            </w:r>
          </w:p>
        </w:tc>
        <w:tc>
          <w:tcPr>
            <w:tcW w:w="3950" w:type="dxa"/>
            <w:gridSpan w:val="4"/>
            <w:tcBorders>
              <w:bottom w:val="nil"/>
            </w:tcBorders>
            <w:shd w:val="clear" w:color="auto" w:fill="auto"/>
            <w:noWrap/>
            <w:vAlign w:val="center"/>
            <w:hideMark/>
          </w:tcPr>
          <w:p w14:paraId="36674856"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Nutrient output</w:t>
            </w:r>
            <w:r w:rsidRPr="002C0746">
              <w:rPr>
                <w:rFonts w:asciiTheme="majorBidi" w:eastAsia="Times New Roman" w:hAnsiTheme="majorBidi" w:cstheme="majorBidi"/>
                <w:color w:val="000000"/>
                <w:vertAlign w:val="superscript"/>
                <w:lang w:val="en-GB" w:eastAsia="fr-FR"/>
              </w:rPr>
              <w:t>*</w:t>
            </w:r>
          </w:p>
        </w:tc>
      </w:tr>
      <w:tr w:rsidR="000601E9" w:rsidRPr="00E4150B" w14:paraId="34005586" w14:textId="77777777" w:rsidTr="00E70A96">
        <w:trPr>
          <w:trHeight w:val="600"/>
        </w:trPr>
        <w:tc>
          <w:tcPr>
            <w:tcW w:w="3606" w:type="dxa"/>
            <w:vMerge/>
            <w:tcBorders>
              <w:top w:val="nil"/>
              <w:bottom w:val="single" w:sz="4" w:space="0" w:color="auto"/>
            </w:tcBorders>
            <w:shd w:val="clear" w:color="auto" w:fill="auto"/>
            <w:noWrap/>
            <w:vAlign w:val="center"/>
            <w:hideMark/>
          </w:tcPr>
          <w:p w14:paraId="7247645D"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276" w:type="dxa"/>
            <w:vMerge/>
            <w:tcBorders>
              <w:top w:val="nil"/>
              <w:bottom w:val="single" w:sz="4" w:space="0" w:color="auto"/>
            </w:tcBorders>
            <w:shd w:val="clear" w:color="auto" w:fill="auto"/>
            <w:vAlign w:val="center"/>
            <w:hideMark/>
          </w:tcPr>
          <w:p w14:paraId="37E22917"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276" w:type="dxa"/>
            <w:vMerge/>
            <w:tcBorders>
              <w:top w:val="nil"/>
              <w:bottom w:val="single" w:sz="4" w:space="0" w:color="auto"/>
            </w:tcBorders>
            <w:shd w:val="clear" w:color="auto" w:fill="auto"/>
            <w:vAlign w:val="center"/>
            <w:hideMark/>
          </w:tcPr>
          <w:p w14:paraId="7A4F2102"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944" w:type="dxa"/>
            <w:gridSpan w:val="2"/>
            <w:tcBorders>
              <w:top w:val="nil"/>
              <w:bottom w:val="single" w:sz="4" w:space="0" w:color="auto"/>
            </w:tcBorders>
            <w:shd w:val="clear" w:color="auto" w:fill="auto"/>
            <w:noWrap/>
            <w:vAlign w:val="center"/>
            <w:hideMark/>
          </w:tcPr>
          <w:p w14:paraId="48B238C5"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Crops</w:t>
            </w:r>
          </w:p>
        </w:tc>
        <w:tc>
          <w:tcPr>
            <w:tcW w:w="2006" w:type="dxa"/>
            <w:gridSpan w:val="2"/>
            <w:tcBorders>
              <w:top w:val="nil"/>
              <w:bottom w:val="single" w:sz="4" w:space="0" w:color="auto"/>
            </w:tcBorders>
            <w:shd w:val="clear" w:color="auto" w:fill="auto"/>
            <w:noWrap/>
            <w:vAlign w:val="center"/>
            <w:hideMark/>
          </w:tcPr>
          <w:p w14:paraId="7838BEE5"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Dates</w:t>
            </w:r>
          </w:p>
        </w:tc>
      </w:tr>
      <w:tr w:rsidR="000601E9" w:rsidRPr="00E4150B" w14:paraId="3E28DBEB" w14:textId="77777777" w:rsidTr="00E70A96">
        <w:trPr>
          <w:trHeight w:val="340"/>
        </w:trPr>
        <w:tc>
          <w:tcPr>
            <w:tcW w:w="3606" w:type="dxa"/>
            <w:vMerge/>
            <w:tcBorders>
              <w:top w:val="nil"/>
              <w:bottom w:val="single" w:sz="4" w:space="0" w:color="auto"/>
            </w:tcBorders>
            <w:shd w:val="clear" w:color="auto" w:fill="auto"/>
            <w:vAlign w:val="center"/>
            <w:hideMark/>
          </w:tcPr>
          <w:p w14:paraId="0BDDB2C0"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276" w:type="dxa"/>
            <w:vMerge/>
            <w:tcBorders>
              <w:top w:val="nil"/>
              <w:bottom w:val="single" w:sz="4" w:space="0" w:color="auto"/>
            </w:tcBorders>
            <w:shd w:val="clear" w:color="auto" w:fill="auto"/>
            <w:vAlign w:val="center"/>
          </w:tcPr>
          <w:p w14:paraId="531F24A6"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276" w:type="dxa"/>
            <w:vMerge/>
            <w:tcBorders>
              <w:top w:val="nil"/>
              <w:bottom w:val="single" w:sz="4" w:space="0" w:color="auto"/>
            </w:tcBorders>
            <w:shd w:val="clear" w:color="auto" w:fill="auto"/>
            <w:vAlign w:val="center"/>
          </w:tcPr>
          <w:p w14:paraId="6CCDD748"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
        </w:tc>
        <w:tc>
          <w:tcPr>
            <w:tcW w:w="1072" w:type="dxa"/>
            <w:tcBorders>
              <w:top w:val="single" w:sz="4" w:space="0" w:color="auto"/>
              <w:bottom w:val="single" w:sz="4" w:space="0" w:color="auto"/>
            </w:tcBorders>
            <w:shd w:val="clear" w:color="auto" w:fill="auto"/>
            <w:vAlign w:val="center"/>
            <w:hideMark/>
          </w:tcPr>
          <w:p w14:paraId="2FC8E356"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N</w:t>
            </w:r>
          </w:p>
        </w:tc>
        <w:tc>
          <w:tcPr>
            <w:tcW w:w="872" w:type="dxa"/>
            <w:tcBorders>
              <w:top w:val="single" w:sz="4" w:space="0" w:color="auto"/>
              <w:bottom w:val="single" w:sz="4" w:space="0" w:color="auto"/>
            </w:tcBorders>
            <w:shd w:val="clear" w:color="auto" w:fill="auto"/>
            <w:vAlign w:val="center"/>
            <w:hideMark/>
          </w:tcPr>
          <w:p w14:paraId="48C62F96"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P</w:t>
            </w:r>
          </w:p>
        </w:tc>
        <w:tc>
          <w:tcPr>
            <w:tcW w:w="1134" w:type="dxa"/>
            <w:tcBorders>
              <w:top w:val="single" w:sz="4" w:space="0" w:color="auto"/>
              <w:bottom w:val="single" w:sz="4" w:space="0" w:color="auto"/>
            </w:tcBorders>
            <w:shd w:val="clear" w:color="auto" w:fill="auto"/>
            <w:vAlign w:val="center"/>
            <w:hideMark/>
          </w:tcPr>
          <w:p w14:paraId="761C630F"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N</w:t>
            </w:r>
          </w:p>
        </w:tc>
        <w:tc>
          <w:tcPr>
            <w:tcW w:w="872" w:type="dxa"/>
            <w:tcBorders>
              <w:top w:val="single" w:sz="4" w:space="0" w:color="auto"/>
              <w:bottom w:val="single" w:sz="4" w:space="0" w:color="auto"/>
            </w:tcBorders>
            <w:shd w:val="clear" w:color="auto" w:fill="auto"/>
            <w:vAlign w:val="center"/>
            <w:hideMark/>
          </w:tcPr>
          <w:p w14:paraId="3A1120EC"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P</w:t>
            </w:r>
          </w:p>
        </w:tc>
      </w:tr>
      <w:tr w:rsidR="000601E9" w:rsidRPr="00E4150B" w14:paraId="4D071EE3" w14:textId="77777777" w:rsidTr="00E70A96">
        <w:trPr>
          <w:trHeight w:val="454"/>
        </w:trPr>
        <w:tc>
          <w:tcPr>
            <w:tcW w:w="3606" w:type="dxa"/>
            <w:tcBorders>
              <w:top w:val="single" w:sz="4" w:space="0" w:color="auto"/>
            </w:tcBorders>
            <w:shd w:val="clear" w:color="auto" w:fill="auto"/>
            <w:vAlign w:val="center"/>
            <w:hideMark/>
          </w:tcPr>
          <w:p w14:paraId="4089AC93"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Traditional farms (type I)</w:t>
            </w:r>
          </w:p>
        </w:tc>
        <w:tc>
          <w:tcPr>
            <w:tcW w:w="1276" w:type="dxa"/>
            <w:tcBorders>
              <w:top w:val="single" w:sz="4" w:space="0" w:color="auto"/>
            </w:tcBorders>
            <w:shd w:val="clear" w:color="auto" w:fill="auto"/>
            <w:noWrap/>
            <w:vAlign w:val="center"/>
            <w:hideMark/>
          </w:tcPr>
          <w:p w14:paraId="7CAE53F2"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8 ± 1</w:t>
            </w:r>
          </w:p>
        </w:tc>
        <w:tc>
          <w:tcPr>
            <w:tcW w:w="1276" w:type="dxa"/>
            <w:tcBorders>
              <w:top w:val="single" w:sz="4" w:space="0" w:color="auto"/>
            </w:tcBorders>
            <w:shd w:val="clear" w:color="auto" w:fill="auto"/>
            <w:noWrap/>
            <w:vAlign w:val="center"/>
            <w:hideMark/>
          </w:tcPr>
          <w:p w14:paraId="46D7753B"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 ± 2</w:t>
            </w:r>
          </w:p>
        </w:tc>
        <w:tc>
          <w:tcPr>
            <w:tcW w:w="1072" w:type="dxa"/>
            <w:tcBorders>
              <w:top w:val="single" w:sz="4" w:space="0" w:color="auto"/>
            </w:tcBorders>
            <w:shd w:val="clear" w:color="auto" w:fill="auto"/>
            <w:noWrap/>
            <w:vAlign w:val="center"/>
            <w:hideMark/>
          </w:tcPr>
          <w:p w14:paraId="52B93E43"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118 ± 16</w:t>
            </w:r>
          </w:p>
        </w:tc>
        <w:tc>
          <w:tcPr>
            <w:tcW w:w="872" w:type="dxa"/>
            <w:tcBorders>
              <w:top w:val="single" w:sz="4" w:space="0" w:color="auto"/>
            </w:tcBorders>
            <w:shd w:val="clear" w:color="auto" w:fill="auto"/>
            <w:noWrap/>
            <w:vAlign w:val="center"/>
            <w:hideMark/>
          </w:tcPr>
          <w:p w14:paraId="27966469"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9 ± 1</w:t>
            </w:r>
          </w:p>
        </w:tc>
        <w:tc>
          <w:tcPr>
            <w:tcW w:w="1134" w:type="dxa"/>
            <w:tcBorders>
              <w:top w:val="single" w:sz="4" w:space="0" w:color="auto"/>
            </w:tcBorders>
            <w:shd w:val="clear" w:color="auto" w:fill="auto"/>
            <w:noWrap/>
            <w:vAlign w:val="center"/>
            <w:hideMark/>
          </w:tcPr>
          <w:p w14:paraId="4F96E257"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19 ± 8</w:t>
            </w:r>
          </w:p>
        </w:tc>
        <w:tc>
          <w:tcPr>
            <w:tcW w:w="872" w:type="dxa"/>
            <w:tcBorders>
              <w:top w:val="single" w:sz="4" w:space="0" w:color="auto"/>
            </w:tcBorders>
            <w:shd w:val="clear" w:color="auto" w:fill="auto"/>
            <w:noWrap/>
            <w:vAlign w:val="center"/>
            <w:hideMark/>
          </w:tcPr>
          <w:p w14:paraId="6A760768"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 ± 1</w:t>
            </w:r>
          </w:p>
        </w:tc>
      </w:tr>
      <w:tr w:rsidR="000601E9" w:rsidRPr="00E4150B" w14:paraId="34CE0092" w14:textId="77777777" w:rsidTr="00E70A96">
        <w:trPr>
          <w:trHeight w:val="454"/>
        </w:trPr>
        <w:tc>
          <w:tcPr>
            <w:tcW w:w="3606" w:type="dxa"/>
            <w:shd w:val="clear" w:color="auto" w:fill="auto"/>
            <w:vAlign w:val="center"/>
            <w:hideMark/>
          </w:tcPr>
          <w:p w14:paraId="2538B8D8"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proofErr w:type="spellStart"/>
            <w:r w:rsidRPr="002C0746">
              <w:rPr>
                <w:rFonts w:asciiTheme="majorBidi" w:eastAsia="Times New Roman" w:hAnsiTheme="majorBidi" w:cstheme="majorBidi"/>
                <w:color w:val="000000"/>
                <w:lang w:val="en-GB" w:eastAsia="fr-FR"/>
              </w:rPr>
              <w:t>Monocropped</w:t>
            </w:r>
            <w:proofErr w:type="spellEnd"/>
            <w:r w:rsidRPr="002C0746">
              <w:rPr>
                <w:rFonts w:asciiTheme="majorBidi" w:eastAsia="Times New Roman" w:hAnsiTheme="majorBidi" w:cstheme="majorBidi"/>
                <w:color w:val="000000"/>
                <w:lang w:val="en-GB" w:eastAsia="fr-FR"/>
              </w:rPr>
              <w:t xml:space="preserve"> palm farms (type II)</w:t>
            </w:r>
          </w:p>
        </w:tc>
        <w:tc>
          <w:tcPr>
            <w:tcW w:w="1276" w:type="dxa"/>
            <w:shd w:val="clear" w:color="auto" w:fill="auto"/>
            <w:noWrap/>
            <w:vAlign w:val="center"/>
            <w:hideMark/>
          </w:tcPr>
          <w:p w14:paraId="0C17E9CC"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276" w:type="dxa"/>
            <w:shd w:val="clear" w:color="auto" w:fill="auto"/>
            <w:noWrap/>
            <w:vAlign w:val="center"/>
            <w:hideMark/>
          </w:tcPr>
          <w:p w14:paraId="0C70FAD9"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160 ± 38</w:t>
            </w:r>
          </w:p>
        </w:tc>
        <w:tc>
          <w:tcPr>
            <w:tcW w:w="1072" w:type="dxa"/>
            <w:shd w:val="clear" w:color="auto" w:fill="auto"/>
            <w:noWrap/>
            <w:vAlign w:val="center"/>
            <w:hideMark/>
          </w:tcPr>
          <w:p w14:paraId="65541219"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872" w:type="dxa"/>
            <w:shd w:val="clear" w:color="auto" w:fill="auto"/>
            <w:noWrap/>
            <w:vAlign w:val="center"/>
            <w:hideMark/>
          </w:tcPr>
          <w:p w14:paraId="65473CEB"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w:t>
            </w:r>
          </w:p>
        </w:tc>
        <w:tc>
          <w:tcPr>
            <w:tcW w:w="1134" w:type="dxa"/>
            <w:shd w:val="clear" w:color="auto" w:fill="auto"/>
            <w:noWrap/>
            <w:vAlign w:val="center"/>
            <w:hideMark/>
          </w:tcPr>
          <w:p w14:paraId="78F8FC87"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643 ± 150</w:t>
            </w:r>
          </w:p>
        </w:tc>
        <w:tc>
          <w:tcPr>
            <w:tcW w:w="872" w:type="dxa"/>
            <w:shd w:val="clear" w:color="auto" w:fill="auto"/>
            <w:noWrap/>
            <w:vAlign w:val="center"/>
            <w:hideMark/>
          </w:tcPr>
          <w:p w14:paraId="02FCBC3C"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41 ± 9</w:t>
            </w:r>
          </w:p>
        </w:tc>
      </w:tr>
      <w:tr w:rsidR="000601E9" w:rsidRPr="00E4150B" w14:paraId="427A0BF8" w14:textId="77777777" w:rsidTr="00E70A96">
        <w:trPr>
          <w:trHeight w:val="454"/>
        </w:trPr>
        <w:tc>
          <w:tcPr>
            <w:tcW w:w="3606" w:type="dxa"/>
            <w:shd w:val="clear" w:color="auto" w:fill="auto"/>
            <w:vAlign w:val="center"/>
            <w:hideMark/>
          </w:tcPr>
          <w:p w14:paraId="5DF8B269"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Mixed farms (type III)</w:t>
            </w:r>
          </w:p>
        </w:tc>
        <w:tc>
          <w:tcPr>
            <w:tcW w:w="1276" w:type="dxa"/>
            <w:shd w:val="clear" w:color="auto" w:fill="auto"/>
            <w:noWrap/>
            <w:vAlign w:val="center"/>
            <w:hideMark/>
          </w:tcPr>
          <w:p w14:paraId="28E16107"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59 ± 5</w:t>
            </w:r>
          </w:p>
        </w:tc>
        <w:tc>
          <w:tcPr>
            <w:tcW w:w="1276" w:type="dxa"/>
            <w:shd w:val="clear" w:color="auto" w:fill="auto"/>
            <w:noWrap/>
            <w:vAlign w:val="center"/>
            <w:hideMark/>
          </w:tcPr>
          <w:p w14:paraId="69541F2F"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75 ± 17</w:t>
            </w:r>
          </w:p>
        </w:tc>
        <w:tc>
          <w:tcPr>
            <w:tcW w:w="1072" w:type="dxa"/>
            <w:shd w:val="clear" w:color="auto" w:fill="auto"/>
            <w:noWrap/>
            <w:vAlign w:val="center"/>
            <w:hideMark/>
          </w:tcPr>
          <w:p w14:paraId="5B3D3F84"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482 ± 74</w:t>
            </w:r>
          </w:p>
        </w:tc>
        <w:tc>
          <w:tcPr>
            <w:tcW w:w="872" w:type="dxa"/>
            <w:shd w:val="clear" w:color="auto" w:fill="auto"/>
            <w:noWrap/>
            <w:vAlign w:val="center"/>
            <w:hideMark/>
          </w:tcPr>
          <w:p w14:paraId="57BA84F1"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38 ± 6</w:t>
            </w:r>
          </w:p>
        </w:tc>
        <w:tc>
          <w:tcPr>
            <w:tcW w:w="1134" w:type="dxa"/>
            <w:shd w:val="clear" w:color="auto" w:fill="auto"/>
            <w:noWrap/>
            <w:vAlign w:val="center"/>
            <w:hideMark/>
          </w:tcPr>
          <w:p w14:paraId="298AF129"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299 ± 67</w:t>
            </w:r>
          </w:p>
        </w:tc>
        <w:tc>
          <w:tcPr>
            <w:tcW w:w="872" w:type="dxa"/>
            <w:shd w:val="clear" w:color="auto" w:fill="auto"/>
            <w:noWrap/>
            <w:vAlign w:val="center"/>
            <w:hideMark/>
          </w:tcPr>
          <w:p w14:paraId="5252830B" w14:textId="77777777" w:rsidR="000601E9" w:rsidRPr="002C0746" w:rsidRDefault="000601E9" w:rsidP="003E5123">
            <w:pPr>
              <w:keepNext/>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19 ± 4</w:t>
            </w:r>
          </w:p>
        </w:tc>
      </w:tr>
    </w:tbl>
    <w:p w14:paraId="5F2A142A" w14:textId="56AD7370" w:rsidR="000601E9" w:rsidRPr="002C0746" w:rsidRDefault="000601E9" w:rsidP="00C54CAC">
      <w:pPr>
        <w:keepNext/>
        <w:spacing w:after="0" w:line="276" w:lineRule="auto"/>
        <w:jc w:val="both"/>
        <w:rPr>
          <w:rFonts w:asciiTheme="majorBidi" w:eastAsia="Times New Roman" w:hAnsiTheme="majorBidi" w:cstheme="majorBidi"/>
          <w:szCs w:val="24"/>
          <w:lang w:val="en-GB" w:eastAsia="fr-MA"/>
        </w:rPr>
      </w:pPr>
      <w:r w:rsidRPr="002C0746">
        <w:rPr>
          <w:rFonts w:asciiTheme="majorBidi" w:eastAsia="Times New Roman" w:hAnsiTheme="majorBidi" w:cstheme="majorBidi"/>
          <w:color w:val="000000"/>
          <w:vertAlign w:val="superscript"/>
          <w:lang w:val="en-GB" w:eastAsia="fr-FR"/>
        </w:rPr>
        <w:t>*</w:t>
      </w:r>
      <w:r w:rsidRPr="002C0746">
        <w:rPr>
          <w:rFonts w:asciiTheme="majorBidi" w:eastAsia="Times New Roman" w:hAnsiTheme="majorBidi" w:cstheme="majorBidi"/>
          <w:color w:val="000000"/>
          <w:lang w:val="en-GB" w:eastAsia="fr-FR"/>
        </w:rPr>
        <w:t xml:space="preserve"> Crop and date production are given in t farm</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xml:space="preserve"> year</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N and P are given in kg N or kg P farm</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xml:space="preserve"> year</w:t>
      </w:r>
      <w:r w:rsidRPr="002C0746">
        <w:rPr>
          <w:rFonts w:asciiTheme="majorBidi" w:eastAsia="Times New Roman" w:hAnsiTheme="majorBidi" w:cstheme="majorBidi"/>
          <w:color w:val="000000"/>
          <w:vertAlign w:val="superscript"/>
          <w:lang w:val="en-GB" w:eastAsia="fr-FR"/>
        </w:rPr>
        <w:t>−1</w:t>
      </w:r>
      <w:r w:rsidRPr="002C0746">
        <w:rPr>
          <w:rFonts w:asciiTheme="majorBidi" w:eastAsia="Times New Roman" w:hAnsiTheme="majorBidi" w:cstheme="majorBidi"/>
          <w:color w:val="000000"/>
          <w:lang w:val="en-GB" w:eastAsia="fr-FR"/>
        </w:rPr>
        <w:t xml:space="preserve"> </w:t>
      </w:r>
      <w:r w:rsidRPr="002C0746">
        <w:rPr>
          <w:rFonts w:asciiTheme="majorBidi" w:eastAsia="Times New Roman" w:hAnsiTheme="majorBidi" w:cstheme="majorBidi"/>
          <w:szCs w:val="24"/>
          <w:lang w:val="en-GB" w:eastAsia="fr-MA"/>
        </w:rPr>
        <w:fldChar w:fldCharType="begin"/>
      </w:r>
      <w:r w:rsidR="00C54CAC">
        <w:rPr>
          <w:rFonts w:asciiTheme="majorBidi" w:eastAsia="Times New Roman" w:hAnsiTheme="majorBidi" w:cstheme="majorBidi"/>
          <w:szCs w:val="24"/>
          <w:lang w:val="en-GB" w:eastAsia="fr-MA"/>
        </w:rPr>
        <w:instrText xml:space="preserve"> ADDIN ZOTERO_ITEM CSL_CITATION {"citationID":"KC1cBfr8","properties":{"formattedCitation":"[1]","plainCitation":"[1]","noteIndex":0},"citationItems":[{"id":1483,"uris":["http://zotero.org/users/5139597/items/SUD37U75"],"itemData":{"id":1483,"type":"article-journal","abstract":"Circular agriculture is an effective approach for the management of soil organic inputs that improves soil fertility and cropping system sustainability. We developed a cropping system typology and assessed effects of crop rotation, organic fertilization, and crop residue management on soil fertility properties. Farmers in Drâa-Tafilalet oases in Morocco were surveyed, and soil was sampled and analyzed. In the most common cropping systems (Type I), date palms were associated with cereals, forages, and perennial crops. Type II cropping systems referred to a monocropped date palm of only one cultivar. In Type III, date palm was associated with other crops on part of the utilized agricultural area and monocropped on the other part. In all cropping systems, mean soil organic matter (SOM) content was less than 1.5% and the SOM:clay ratio was less than 12%, which increased the soil degradation risk. Livestock was combined with crops in Type I and III cropping systems and produced 19.4 and 24.2 t of manure per farm per year, respectively. Type I and II cropping systems produced annually 0.98 and 2.1 t.ha−1 of dry palms, respectively. Recycling these organic waste products remains a promising option that could produce organic inputs and offset the current lack of manure.","container-title":"Sustainability","DOI":"10.3390/su13094713","issue":"9","language":"en","note":"number: 9\npublisher: Multidisciplinary Digital Publishing Institute","page":"4713","source":"www.mdpi.com","title":"Benefits of circular agriculture for cropping systems and soil fertility in oases","volume":"13","author":[{"family":"El Janati","given":"Mustapha"},{"family":"Akkal-Corfini","given":"Nouraya"},{"family":"Bouaziz","given":"Ahmed"},{"family":"Oukarroum","given":"Abdallah"},{"family":"Robin","given":"Paul"},{"family":"Sabri","given":"Ahmed"},{"family":"Chikhaoui","given":"Mohamed"},{"family":"Thomas","given":"Zahra"}],"issued":{"date-parts":[["2021",1]]}}}],"schema":"https://github.com/citation-style-language/schema/raw/master/csl-citation.json"} </w:instrText>
      </w:r>
      <w:r w:rsidRPr="002C0746">
        <w:rPr>
          <w:rFonts w:asciiTheme="majorBidi" w:eastAsia="Times New Roman" w:hAnsiTheme="majorBidi" w:cstheme="majorBidi"/>
          <w:szCs w:val="24"/>
          <w:lang w:val="en-GB" w:eastAsia="fr-MA"/>
        </w:rPr>
        <w:fldChar w:fldCharType="separate"/>
      </w:r>
      <w:r w:rsidR="00C54CAC" w:rsidRPr="00C54CAC">
        <w:rPr>
          <w:rFonts w:ascii="Times New Roman" w:hAnsi="Times New Roman" w:cs="Times New Roman"/>
          <w:lang w:val="en-US"/>
        </w:rPr>
        <w:t>[1]</w:t>
      </w:r>
      <w:r w:rsidRPr="002C0746">
        <w:rPr>
          <w:rFonts w:asciiTheme="majorBidi" w:eastAsia="Times New Roman" w:hAnsiTheme="majorBidi" w:cstheme="majorBidi"/>
          <w:szCs w:val="24"/>
          <w:lang w:val="en-GB" w:eastAsia="fr-MA"/>
        </w:rPr>
        <w:fldChar w:fldCharType="end"/>
      </w:r>
      <w:r w:rsidRPr="002C0746">
        <w:rPr>
          <w:rFonts w:asciiTheme="majorBidi" w:eastAsia="Times New Roman" w:hAnsiTheme="majorBidi" w:cstheme="majorBidi"/>
          <w:szCs w:val="24"/>
          <w:lang w:val="en-GB" w:eastAsia="fr-MA"/>
        </w:rPr>
        <w:t>, with crop nutrient contents taken from the</w:t>
      </w:r>
      <w:r>
        <w:rPr>
          <w:rFonts w:asciiTheme="majorBidi" w:eastAsia="Times New Roman" w:hAnsiTheme="majorBidi" w:cstheme="majorBidi"/>
          <w:szCs w:val="24"/>
          <w:lang w:val="en-GB" w:eastAsia="fr-MA"/>
        </w:rPr>
        <w:t xml:space="preserve"> International Plant Nutrition Institute</w:t>
      </w:r>
      <w:r w:rsidRPr="002C0746">
        <w:rPr>
          <w:rFonts w:asciiTheme="majorBidi" w:eastAsia="Times New Roman" w:hAnsiTheme="majorBidi" w:cstheme="majorBidi"/>
          <w:szCs w:val="24"/>
          <w:lang w:val="en-GB" w:eastAsia="fr-MA"/>
        </w:rPr>
        <w:t xml:space="preserve"> website)</w:t>
      </w:r>
    </w:p>
    <w:p w14:paraId="6C547EC0" w14:textId="77777777" w:rsidR="000601E9" w:rsidRPr="002C0746" w:rsidRDefault="000601E9" w:rsidP="000601E9">
      <w:pPr>
        <w:rPr>
          <w:lang w:val="en-GB" w:eastAsia="fr-MA"/>
        </w:rPr>
      </w:pPr>
      <w:r w:rsidRPr="002C0746">
        <w:rPr>
          <w:lang w:val="en-GB" w:eastAsia="fr-MA"/>
        </w:rPr>
        <w:br w:type="page"/>
      </w:r>
      <w:bookmarkStart w:id="0" w:name="_GoBack"/>
      <w:bookmarkEnd w:id="0"/>
    </w:p>
    <w:p w14:paraId="008F7062" w14:textId="77777777" w:rsidR="000601E9" w:rsidRPr="002C0746" w:rsidRDefault="000601E9" w:rsidP="008B3D5C">
      <w:pPr>
        <w:pStyle w:val="Tableappendix"/>
        <w:ind w:left="851" w:hanging="851"/>
        <w:rPr>
          <w:i/>
          <w:lang w:val="en-GB" w:eastAsia="fr-MA"/>
        </w:rPr>
      </w:pPr>
      <w:r w:rsidRPr="002C0746">
        <w:rPr>
          <w:lang w:val="en-GB" w:eastAsia="fr-MA"/>
        </w:rPr>
        <w:lastRenderedPageBreak/>
        <w:t>Chemical properties of initial mixtures before composting. T1-dry palm leaves; T2-dry palm leaves and rock phosphate; T3-dry palm leaves and sheep manure; T4-dry palm leaves, sheep manure and rock phosphate. Values are expressed as a percentage of wet weight (dry matter) or dry matter (the others).</w:t>
      </w:r>
    </w:p>
    <w:tbl>
      <w:tblPr>
        <w:tblW w:w="12402" w:type="dxa"/>
        <w:tblCellMar>
          <w:left w:w="70" w:type="dxa"/>
          <w:right w:w="70" w:type="dxa"/>
        </w:tblCellMar>
        <w:tblLook w:val="0600" w:firstRow="0" w:lastRow="0" w:firstColumn="0" w:lastColumn="0" w:noHBand="1" w:noVBand="1"/>
      </w:tblPr>
      <w:tblGrid>
        <w:gridCol w:w="1500"/>
        <w:gridCol w:w="1200"/>
        <w:gridCol w:w="1200"/>
        <w:gridCol w:w="1417"/>
        <w:gridCol w:w="1417"/>
        <w:gridCol w:w="1417"/>
        <w:gridCol w:w="1417"/>
        <w:gridCol w:w="1417"/>
        <w:gridCol w:w="1417"/>
      </w:tblGrid>
      <w:tr w:rsidR="000601E9" w:rsidRPr="002C0746" w14:paraId="2E51584F" w14:textId="77777777" w:rsidTr="003E5123">
        <w:trPr>
          <w:trHeight w:val="1191"/>
        </w:trPr>
        <w:tc>
          <w:tcPr>
            <w:tcW w:w="1500" w:type="dxa"/>
            <w:tcBorders>
              <w:top w:val="nil"/>
              <w:left w:val="nil"/>
              <w:bottom w:val="nil"/>
              <w:right w:val="nil"/>
            </w:tcBorders>
            <w:shd w:val="clear" w:color="auto" w:fill="auto"/>
            <w:vAlign w:val="center"/>
            <w:hideMark/>
          </w:tcPr>
          <w:p w14:paraId="19D710FB"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Treatment</w:t>
            </w:r>
          </w:p>
        </w:tc>
        <w:tc>
          <w:tcPr>
            <w:tcW w:w="1200" w:type="dxa"/>
            <w:tcBorders>
              <w:top w:val="nil"/>
              <w:left w:val="nil"/>
              <w:bottom w:val="nil"/>
              <w:right w:val="nil"/>
            </w:tcBorders>
            <w:shd w:val="clear" w:color="auto" w:fill="auto"/>
            <w:vAlign w:val="center"/>
            <w:hideMark/>
          </w:tcPr>
          <w:p w14:paraId="6AB33B8F"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Dry matter</w:t>
            </w:r>
          </w:p>
        </w:tc>
        <w:tc>
          <w:tcPr>
            <w:tcW w:w="1200" w:type="dxa"/>
            <w:tcBorders>
              <w:top w:val="nil"/>
              <w:left w:val="nil"/>
              <w:bottom w:val="nil"/>
              <w:right w:val="nil"/>
            </w:tcBorders>
            <w:shd w:val="clear" w:color="auto" w:fill="auto"/>
            <w:vAlign w:val="center"/>
            <w:hideMark/>
          </w:tcPr>
          <w:p w14:paraId="7900C223"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Organic matter</w:t>
            </w:r>
          </w:p>
        </w:tc>
        <w:tc>
          <w:tcPr>
            <w:tcW w:w="1417" w:type="dxa"/>
            <w:tcBorders>
              <w:top w:val="nil"/>
              <w:left w:val="nil"/>
              <w:bottom w:val="nil"/>
              <w:right w:val="nil"/>
            </w:tcBorders>
            <w:shd w:val="clear" w:color="auto" w:fill="auto"/>
            <w:vAlign w:val="center"/>
            <w:hideMark/>
          </w:tcPr>
          <w:p w14:paraId="2D24B180"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N</w:t>
            </w:r>
          </w:p>
        </w:tc>
        <w:tc>
          <w:tcPr>
            <w:tcW w:w="1417" w:type="dxa"/>
            <w:tcBorders>
              <w:top w:val="nil"/>
              <w:left w:val="nil"/>
              <w:bottom w:val="nil"/>
              <w:right w:val="nil"/>
            </w:tcBorders>
            <w:shd w:val="clear" w:color="auto" w:fill="auto"/>
            <w:vAlign w:val="center"/>
            <w:hideMark/>
          </w:tcPr>
          <w:p w14:paraId="73BA4DD8"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P</w:t>
            </w:r>
          </w:p>
        </w:tc>
        <w:tc>
          <w:tcPr>
            <w:tcW w:w="1417" w:type="dxa"/>
            <w:tcBorders>
              <w:top w:val="nil"/>
              <w:left w:val="nil"/>
              <w:bottom w:val="nil"/>
              <w:right w:val="nil"/>
            </w:tcBorders>
            <w:shd w:val="clear" w:color="auto" w:fill="auto"/>
            <w:vAlign w:val="center"/>
            <w:hideMark/>
          </w:tcPr>
          <w:p w14:paraId="4D494936"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K</w:t>
            </w:r>
          </w:p>
        </w:tc>
        <w:tc>
          <w:tcPr>
            <w:tcW w:w="1417" w:type="dxa"/>
            <w:tcBorders>
              <w:top w:val="nil"/>
              <w:left w:val="nil"/>
              <w:bottom w:val="nil"/>
              <w:right w:val="nil"/>
            </w:tcBorders>
            <w:shd w:val="clear" w:color="auto" w:fill="auto"/>
            <w:vAlign w:val="center"/>
            <w:hideMark/>
          </w:tcPr>
          <w:p w14:paraId="0F8A6C45"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Mg</w:t>
            </w:r>
          </w:p>
        </w:tc>
        <w:tc>
          <w:tcPr>
            <w:tcW w:w="1417" w:type="dxa"/>
            <w:tcBorders>
              <w:top w:val="nil"/>
              <w:left w:val="nil"/>
              <w:bottom w:val="nil"/>
              <w:right w:val="nil"/>
            </w:tcBorders>
            <w:shd w:val="clear" w:color="auto" w:fill="auto"/>
            <w:vAlign w:val="center"/>
            <w:hideMark/>
          </w:tcPr>
          <w:p w14:paraId="4C6849C3"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Ca</w:t>
            </w:r>
          </w:p>
        </w:tc>
        <w:tc>
          <w:tcPr>
            <w:tcW w:w="1417" w:type="dxa"/>
            <w:tcBorders>
              <w:top w:val="nil"/>
              <w:left w:val="nil"/>
              <w:bottom w:val="nil"/>
              <w:right w:val="nil"/>
            </w:tcBorders>
            <w:shd w:val="clear" w:color="auto" w:fill="auto"/>
            <w:vAlign w:val="center"/>
            <w:hideMark/>
          </w:tcPr>
          <w:p w14:paraId="57E2AE9B"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Na</w:t>
            </w:r>
          </w:p>
        </w:tc>
      </w:tr>
      <w:tr w:rsidR="000601E9" w:rsidRPr="002C0746" w14:paraId="5145EAF1" w14:textId="77777777" w:rsidTr="003E5123">
        <w:trPr>
          <w:trHeight w:val="510"/>
        </w:trPr>
        <w:tc>
          <w:tcPr>
            <w:tcW w:w="1500" w:type="dxa"/>
            <w:tcBorders>
              <w:top w:val="nil"/>
              <w:left w:val="nil"/>
              <w:bottom w:val="nil"/>
              <w:right w:val="nil"/>
            </w:tcBorders>
            <w:shd w:val="clear" w:color="auto" w:fill="auto"/>
            <w:vAlign w:val="center"/>
            <w:hideMark/>
          </w:tcPr>
          <w:p w14:paraId="01B5AD0A"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T1</w:t>
            </w:r>
          </w:p>
        </w:tc>
        <w:tc>
          <w:tcPr>
            <w:tcW w:w="1200" w:type="dxa"/>
            <w:tcBorders>
              <w:top w:val="nil"/>
              <w:left w:val="nil"/>
              <w:bottom w:val="nil"/>
              <w:right w:val="nil"/>
            </w:tcBorders>
            <w:shd w:val="clear" w:color="auto" w:fill="auto"/>
            <w:noWrap/>
            <w:vAlign w:val="center"/>
            <w:hideMark/>
          </w:tcPr>
          <w:p w14:paraId="31BC000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33 ± 2</w:t>
            </w:r>
          </w:p>
        </w:tc>
        <w:tc>
          <w:tcPr>
            <w:tcW w:w="1200" w:type="dxa"/>
            <w:tcBorders>
              <w:top w:val="nil"/>
              <w:left w:val="nil"/>
              <w:bottom w:val="nil"/>
              <w:right w:val="nil"/>
            </w:tcBorders>
            <w:shd w:val="clear" w:color="auto" w:fill="auto"/>
            <w:noWrap/>
            <w:vAlign w:val="center"/>
            <w:hideMark/>
          </w:tcPr>
          <w:p w14:paraId="145A94A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90 ± 1</w:t>
            </w:r>
          </w:p>
        </w:tc>
        <w:tc>
          <w:tcPr>
            <w:tcW w:w="1417" w:type="dxa"/>
            <w:tcBorders>
              <w:top w:val="nil"/>
              <w:left w:val="nil"/>
              <w:bottom w:val="nil"/>
              <w:right w:val="nil"/>
            </w:tcBorders>
            <w:shd w:val="clear" w:color="auto" w:fill="auto"/>
            <w:noWrap/>
            <w:vAlign w:val="center"/>
            <w:hideMark/>
          </w:tcPr>
          <w:p w14:paraId="7206397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0.58 ± 0.03</w:t>
            </w:r>
          </w:p>
        </w:tc>
        <w:tc>
          <w:tcPr>
            <w:tcW w:w="1417" w:type="dxa"/>
            <w:tcBorders>
              <w:top w:val="nil"/>
              <w:left w:val="nil"/>
              <w:bottom w:val="nil"/>
              <w:right w:val="nil"/>
            </w:tcBorders>
            <w:shd w:val="clear" w:color="auto" w:fill="auto"/>
            <w:noWrap/>
            <w:vAlign w:val="center"/>
            <w:hideMark/>
          </w:tcPr>
          <w:p w14:paraId="73D75FC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0.03 ± 0.01</w:t>
            </w:r>
          </w:p>
        </w:tc>
        <w:tc>
          <w:tcPr>
            <w:tcW w:w="1417" w:type="dxa"/>
            <w:tcBorders>
              <w:top w:val="nil"/>
              <w:left w:val="nil"/>
              <w:bottom w:val="nil"/>
              <w:right w:val="nil"/>
            </w:tcBorders>
            <w:shd w:val="clear" w:color="auto" w:fill="auto"/>
            <w:noWrap/>
            <w:vAlign w:val="center"/>
            <w:hideMark/>
          </w:tcPr>
          <w:p w14:paraId="2882FFB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0.12 ± 0.02</w:t>
            </w:r>
          </w:p>
        </w:tc>
        <w:tc>
          <w:tcPr>
            <w:tcW w:w="1417" w:type="dxa"/>
            <w:tcBorders>
              <w:top w:val="nil"/>
              <w:left w:val="nil"/>
              <w:bottom w:val="nil"/>
              <w:right w:val="nil"/>
            </w:tcBorders>
            <w:shd w:val="clear" w:color="auto" w:fill="auto"/>
            <w:noWrap/>
            <w:vAlign w:val="center"/>
            <w:hideMark/>
          </w:tcPr>
          <w:p w14:paraId="4499950E"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0.14 ± 0.01</w:t>
            </w:r>
          </w:p>
        </w:tc>
        <w:tc>
          <w:tcPr>
            <w:tcW w:w="1417" w:type="dxa"/>
            <w:tcBorders>
              <w:top w:val="nil"/>
              <w:left w:val="nil"/>
              <w:bottom w:val="nil"/>
              <w:right w:val="nil"/>
            </w:tcBorders>
            <w:shd w:val="clear" w:color="auto" w:fill="auto"/>
            <w:noWrap/>
            <w:vAlign w:val="center"/>
            <w:hideMark/>
          </w:tcPr>
          <w:p w14:paraId="52F8180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0.61 ± 0.03</w:t>
            </w:r>
          </w:p>
        </w:tc>
        <w:tc>
          <w:tcPr>
            <w:tcW w:w="1417" w:type="dxa"/>
            <w:tcBorders>
              <w:top w:val="nil"/>
              <w:left w:val="nil"/>
              <w:bottom w:val="nil"/>
              <w:right w:val="nil"/>
            </w:tcBorders>
            <w:shd w:val="clear" w:color="auto" w:fill="auto"/>
            <w:noWrap/>
            <w:vAlign w:val="center"/>
            <w:hideMark/>
          </w:tcPr>
          <w:p w14:paraId="12BF55A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0.05 ± 0.00</w:t>
            </w:r>
          </w:p>
        </w:tc>
      </w:tr>
      <w:tr w:rsidR="000601E9" w:rsidRPr="002C0746" w14:paraId="112D71B6" w14:textId="77777777" w:rsidTr="003E5123">
        <w:trPr>
          <w:trHeight w:val="510"/>
        </w:trPr>
        <w:tc>
          <w:tcPr>
            <w:tcW w:w="1500" w:type="dxa"/>
            <w:tcBorders>
              <w:top w:val="nil"/>
              <w:left w:val="nil"/>
              <w:bottom w:val="nil"/>
              <w:right w:val="nil"/>
            </w:tcBorders>
            <w:shd w:val="clear" w:color="auto" w:fill="auto"/>
            <w:vAlign w:val="center"/>
            <w:hideMark/>
          </w:tcPr>
          <w:p w14:paraId="02530263"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T2</w:t>
            </w:r>
          </w:p>
        </w:tc>
        <w:tc>
          <w:tcPr>
            <w:tcW w:w="1200" w:type="dxa"/>
            <w:tcBorders>
              <w:top w:val="nil"/>
              <w:left w:val="nil"/>
              <w:bottom w:val="nil"/>
              <w:right w:val="nil"/>
            </w:tcBorders>
            <w:shd w:val="clear" w:color="auto" w:fill="auto"/>
            <w:noWrap/>
            <w:vAlign w:val="center"/>
            <w:hideMark/>
          </w:tcPr>
          <w:p w14:paraId="458F337B"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33 ± 2</w:t>
            </w:r>
          </w:p>
        </w:tc>
        <w:tc>
          <w:tcPr>
            <w:tcW w:w="1200" w:type="dxa"/>
            <w:tcBorders>
              <w:top w:val="nil"/>
              <w:left w:val="nil"/>
              <w:bottom w:val="nil"/>
              <w:right w:val="nil"/>
            </w:tcBorders>
            <w:shd w:val="clear" w:color="auto" w:fill="auto"/>
            <w:noWrap/>
            <w:vAlign w:val="center"/>
            <w:hideMark/>
          </w:tcPr>
          <w:p w14:paraId="21B6D346"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89 ± 1</w:t>
            </w:r>
          </w:p>
        </w:tc>
        <w:tc>
          <w:tcPr>
            <w:tcW w:w="1417" w:type="dxa"/>
            <w:tcBorders>
              <w:top w:val="nil"/>
              <w:left w:val="nil"/>
              <w:bottom w:val="nil"/>
              <w:right w:val="nil"/>
            </w:tcBorders>
            <w:shd w:val="clear" w:color="auto" w:fill="auto"/>
            <w:noWrap/>
            <w:vAlign w:val="center"/>
            <w:hideMark/>
          </w:tcPr>
          <w:p w14:paraId="7DD3E9E3"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0.60 ± 0.05</w:t>
            </w:r>
          </w:p>
        </w:tc>
        <w:tc>
          <w:tcPr>
            <w:tcW w:w="1417" w:type="dxa"/>
            <w:tcBorders>
              <w:top w:val="nil"/>
              <w:left w:val="nil"/>
              <w:bottom w:val="nil"/>
              <w:right w:val="nil"/>
            </w:tcBorders>
            <w:shd w:val="clear" w:color="auto" w:fill="auto"/>
            <w:noWrap/>
            <w:vAlign w:val="center"/>
            <w:hideMark/>
          </w:tcPr>
          <w:p w14:paraId="45C091E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0.19 ± 0.03</w:t>
            </w:r>
          </w:p>
        </w:tc>
        <w:tc>
          <w:tcPr>
            <w:tcW w:w="1417" w:type="dxa"/>
            <w:tcBorders>
              <w:top w:val="nil"/>
              <w:left w:val="nil"/>
              <w:bottom w:val="nil"/>
              <w:right w:val="nil"/>
            </w:tcBorders>
            <w:shd w:val="clear" w:color="auto" w:fill="auto"/>
            <w:noWrap/>
            <w:vAlign w:val="center"/>
            <w:hideMark/>
          </w:tcPr>
          <w:p w14:paraId="07AA9FF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0.15 ± 0.02</w:t>
            </w:r>
          </w:p>
        </w:tc>
        <w:tc>
          <w:tcPr>
            <w:tcW w:w="1417" w:type="dxa"/>
            <w:tcBorders>
              <w:top w:val="nil"/>
              <w:left w:val="nil"/>
              <w:bottom w:val="nil"/>
              <w:right w:val="nil"/>
            </w:tcBorders>
            <w:shd w:val="clear" w:color="auto" w:fill="auto"/>
            <w:noWrap/>
            <w:vAlign w:val="center"/>
            <w:hideMark/>
          </w:tcPr>
          <w:p w14:paraId="37C6A38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0.16 ± 0.02</w:t>
            </w:r>
          </w:p>
        </w:tc>
        <w:tc>
          <w:tcPr>
            <w:tcW w:w="1417" w:type="dxa"/>
            <w:tcBorders>
              <w:top w:val="nil"/>
              <w:left w:val="nil"/>
              <w:bottom w:val="nil"/>
              <w:right w:val="nil"/>
            </w:tcBorders>
            <w:shd w:val="clear" w:color="auto" w:fill="auto"/>
            <w:noWrap/>
            <w:vAlign w:val="center"/>
            <w:hideMark/>
          </w:tcPr>
          <w:p w14:paraId="5A7CA77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1.10 ± 0.20</w:t>
            </w:r>
          </w:p>
        </w:tc>
        <w:tc>
          <w:tcPr>
            <w:tcW w:w="1417" w:type="dxa"/>
            <w:tcBorders>
              <w:top w:val="nil"/>
              <w:left w:val="nil"/>
              <w:bottom w:val="nil"/>
              <w:right w:val="nil"/>
            </w:tcBorders>
            <w:shd w:val="clear" w:color="auto" w:fill="auto"/>
            <w:noWrap/>
            <w:vAlign w:val="center"/>
            <w:hideMark/>
          </w:tcPr>
          <w:p w14:paraId="7B3090B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0.07 ± 0.02</w:t>
            </w:r>
          </w:p>
        </w:tc>
      </w:tr>
      <w:tr w:rsidR="000601E9" w:rsidRPr="002C0746" w14:paraId="18729701" w14:textId="77777777" w:rsidTr="003E5123">
        <w:trPr>
          <w:trHeight w:val="510"/>
        </w:trPr>
        <w:tc>
          <w:tcPr>
            <w:tcW w:w="1500" w:type="dxa"/>
            <w:tcBorders>
              <w:top w:val="nil"/>
              <w:left w:val="nil"/>
              <w:bottom w:val="nil"/>
              <w:right w:val="nil"/>
            </w:tcBorders>
            <w:shd w:val="clear" w:color="auto" w:fill="auto"/>
            <w:vAlign w:val="center"/>
            <w:hideMark/>
          </w:tcPr>
          <w:p w14:paraId="17701EDF"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T3</w:t>
            </w:r>
          </w:p>
        </w:tc>
        <w:tc>
          <w:tcPr>
            <w:tcW w:w="1200" w:type="dxa"/>
            <w:tcBorders>
              <w:top w:val="nil"/>
              <w:left w:val="nil"/>
              <w:bottom w:val="nil"/>
              <w:right w:val="nil"/>
            </w:tcBorders>
            <w:shd w:val="clear" w:color="auto" w:fill="auto"/>
            <w:noWrap/>
            <w:vAlign w:val="center"/>
            <w:hideMark/>
          </w:tcPr>
          <w:p w14:paraId="435D1CF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44 ± 2</w:t>
            </w:r>
          </w:p>
        </w:tc>
        <w:tc>
          <w:tcPr>
            <w:tcW w:w="1200" w:type="dxa"/>
            <w:tcBorders>
              <w:top w:val="nil"/>
              <w:left w:val="nil"/>
              <w:bottom w:val="nil"/>
              <w:right w:val="nil"/>
            </w:tcBorders>
            <w:shd w:val="clear" w:color="auto" w:fill="auto"/>
            <w:noWrap/>
            <w:vAlign w:val="center"/>
            <w:hideMark/>
          </w:tcPr>
          <w:p w14:paraId="662DF6C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81 ± 2</w:t>
            </w:r>
          </w:p>
        </w:tc>
        <w:tc>
          <w:tcPr>
            <w:tcW w:w="1417" w:type="dxa"/>
            <w:tcBorders>
              <w:top w:val="nil"/>
              <w:left w:val="nil"/>
              <w:bottom w:val="nil"/>
              <w:right w:val="nil"/>
            </w:tcBorders>
            <w:shd w:val="clear" w:color="auto" w:fill="auto"/>
            <w:noWrap/>
            <w:vAlign w:val="center"/>
            <w:hideMark/>
          </w:tcPr>
          <w:p w14:paraId="0C619E4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1.31 ± 0.05</w:t>
            </w:r>
          </w:p>
        </w:tc>
        <w:tc>
          <w:tcPr>
            <w:tcW w:w="1417" w:type="dxa"/>
            <w:tcBorders>
              <w:top w:val="nil"/>
              <w:left w:val="nil"/>
              <w:bottom w:val="nil"/>
              <w:right w:val="nil"/>
            </w:tcBorders>
            <w:shd w:val="clear" w:color="auto" w:fill="auto"/>
            <w:noWrap/>
            <w:vAlign w:val="center"/>
            <w:hideMark/>
          </w:tcPr>
          <w:p w14:paraId="18016C59"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0.48 ± 0.06</w:t>
            </w:r>
          </w:p>
        </w:tc>
        <w:tc>
          <w:tcPr>
            <w:tcW w:w="1417" w:type="dxa"/>
            <w:tcBorders>
              <w:top w:val="nil"/>
              <w:left w:val="nil"/>
              <w:bottom w:val="nil"/>
              <w:right w:val="nil"/>
            </w:tcBorders>
            <w:shd w:val="clear" w:color="auto" w:fill="auto"/>
            <w:noWrap/>
            <w:vAlign w:val="center"/>
            <w:hideMark/>
          </w:tcPr>
          <w:p w14:paraId="09A65D6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1.43 ± 0.08</w:t>
            </w:r>
          </w:p>
        </w:tc>
        <w:tc>
          <w:tcPr>
            <w:tcW w:w="1417" w:type="dxa"/>
            <w:tcBorders>
              <w:top w:val="nil"/>
              <w:left w:val="nil"/>
              <w:bottom w:val="nil"/>
              <w:right w:val="nil"/>
            </w:tcBorders>
            <w:shd w:val="clear" w:color="auto" w:fill="auto"/>
            <w:noWrap/>
            <w:vAlign w:val="center"/>
            <w:hideMark/>
          </w:tcPr>
          <w:p w14:paraId="4E5A5F22"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0.42 ± 0.03</w:t>
            </w:r>
          </w:p>
        </w:tc>
        <w:tc>
          <w:tcPr>
            <w:tcW w:w="1417" w:type="dxa"/>
            <w:tcBorders>
              <w:top w:val="nil"/>
              <w:left w:val="nil"/>
              <w:bottom w:val="nil"/>
              <w:right w:val="nil"/>
            </w:tcBorders>
            <w:shd w:val="clear" w:color="auto" w:fill="auto"/>
            <w:noWrap/>
            <w:vAlign w:val="center"/>
            <w:hideMark/>
          </w:tcPr>
          <w:p w14:paraId="7C007AF5"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1.64 ± 0.16</w:t>
            </w:r>
          </w:p>
        </w:tc>
        <w:tc>
          <w:tcPr>
            <w:tcW w:w="1417" w:type="dxa"/>
            <w:tcBorders>
              <w:top w:val="nil"/>
              <w:left w:val="nil"/>
              <w:bottom w:val="nil"/>
              <w:right w:val="nil"/>
            </w:tcBorders>
            <w:shd w:val="clear" w:color="auto" w:fill="auto"/>
            <w:noWrap/>
            <w:vAlign w:val="center"/>
            <w:hideMark/>
          </w:tcPr>
          <w:p w14:paraId="397A0084"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0.41 ± 0.03</w:t>
            </w:r>
          </w:p>
        </w:tc>
      </w:tr>
      <w:tr w:rsidR="000601E9" w:rsidRPr="002C0746" w14:paraId="1EF0F437" w14:textId="77777777" w:rsidTr="003E5123">
        <w:trPr>
          <w:trHeight w:val="510"/>
        </w:trPr>
        <w:tc>
          <w:tcPr>
            <w:tcW w:w="1500" w:type="dxa"/>
            <w:tcBorders>
              <w:top w:val="nil"/>
              <w:left w:val="nil"/>
              <w:bottom w:val="nil"/>
              <w:right w:val="nil"/>
            </w:tcBorders>
            <w:shd w:val="clear" w:color="auto" w:fill="auto"/>
            <w:vAlign w:val="center"/>
            <w:hideMark/>
          </w:tcPr>
          <w:p w14:paraId="7F17CD0A" w14:textId="77777777" w:rsidR="000601E9" w:rsidRPr="002C0746" w:rsidRDefault="000601E9"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T4</w:t>
            </w:r>
          </w:p>
        </w:tc>
        <w:tc>
          <w:tcPr>
            <w:tcW w:w="1200" w:type="dxa"/>
            <w:tcBorders>
              <w:top w:val="nil"/>
              <w:left w:val="nil"/>
              <w:bottom w:val="nil"/>
              <w:right w:val="nil"/>
            </w:tcBorders>
            <w:shd w:val="clear" w:color="auto" w:fill="auto"/>
            <w:noWrap/>
            <w:vAlign w:val="center"/>
            <w:hideMark/>
          </w:tcPr>
          <w:p w14:paraId="4F21E40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44 ± 2</w:t>
            </w:r>
          </w:p>
        </w:tc>
        <w:tc>
          <w:tcPr>
            <w:tcW w:w="1200" w:type="dxa"/>
            <w:tcBorders>
              <w:top w:val="nil"/>
              <w:left w:val="nil"/>
              <w:bottom w:val="nil"/>
              <w:right w:val="nil"/>
            </w:tcBorders>
            <w:shd w:val="clear" w:color="auto" w:fill="auto"/>
            <w:noWrap/>
            <w:vAlign w:val="center"/>
            <w:hideMark/>
          </w:tcPr>
          <w:p w14:paraId="6234DF71"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80 ± 3</w:t>
            </w:r>
          </w:p>
        </w:tc>
        <w:tc>
          <w:tcPr>
            <w:tcW w:w="1417" w:type="dxa"/>
            <w:tcBorders>
              <w:top w:val="nil"/>
              <w:left w:val="nil"/>
              <w:bottom w:val="nil"/>
              <w:right w:val="nil"/>
            </w:tcBorders>
            <w:shd w:val="clear" w:color="auto" w:fill="auto"/>
            <w:noWrap/>
            <w:vAlign w:val="center"/>
            <w:hideMark/>
          </w:tcPr>
          <w:p w14:paraId="216CCD2A"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1.35 ± 0.12</w:t>
            </w:r>
          </w:p>
        </w:tc>
        <w:tc>
          <w:tcPr>
            <w:tcW w:w="1417" w:type="dxa"/>
            <w:tcBorders>
              <w:top w:val="nil"/>
              <w:left w:val="nil"/>
              <w:bottom w:val="nil"/>
              <w:right w:val="nil"/>
            </w:tcBorders>
            <w:shd w:val="clear" w:color="auto" w:fill="auto"/>
            <w:noWrap/>
            <w:vAlign w:val="center"/>
            <w:hideMark/>
          </w:tcPr>
          <w:p w14:paraId="6607994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0.55 ± 0.05</w:t>
            </w:r>
          </w:p>
        </w:tc>
        <w:tc>
          <w:tcPr>
            <w:tcW w:w="1417" w:type="dxa"/>
            <w:tcBorders>
              <w:top w:val="nil"/>
              <w:left w:val="nil"/>
              <w:bottom w:val="nil"/>
              <w:right w:val="nil"/>
            </w:tcBorders>
            <w:shd w:val="clear" w:color="auto" w:fill="auto"/>
            <w:noWrap/>
            <w:vAlign w:val="center"/>
            <w:hideMark/>
          </w:tcPr>
          <w:p w14:paraId="4C90FF08"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1.33 ± 0.09</w:t>
            </w:r>
          </w:p>
        </w:tc>
        <w:tc>
          <w:tcPr>
            <w:tcW w:w="1417" w:type="dxa"/>
            <w:tcBorders>
              <w:top w:val="nil"/>
              <w:left w:val="nil"/>
              <w:bottom w:val="nil"/>
              <w:right w:val="nil"/>
            </w:tcBorders>
            <w:shd w:val="clear" w:color="auto" w:fill="auto"/>
            <w:noWrap/>
            <w:vAlign w:val="center"/>
            <w:hideMark/>
          </w:tcPr>
          <w:p w14:paraId="7194AA7F"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0.39 ± 0.05</w:t>
            </w:r>
          </w:p>
        </w:tc>
        <w:tc>
          <w:tcPr>
            <w:tcW w:w="1417" w:type="dxa"/>
            <w:tcBorders>
              <w:top w:val="nil"/>
              <w:left w:val="nil"/>
              <w:bottom w:val="nil"/>
              <w:right w:val="nil"/>
            </w:tcBorders>
            <w:shd w:val="clear" w:color="auto" w:fill="auto"/>
            <w:noWrap/>
            <w:vAlign w:val="center"/>
            <w:hideMark/>
          </w:tcPr>
          <w:p w14:paraId="6F5DCD1C"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1.93 ± 0.20</w:t>
            </w:r>
          </w:p>
        </w:tc>
        <w:tc>
          <w:tcPr>
            <w:tcW w:w="1417" w:type="dxa"/>
            <w:tcBorders>
              <w:top w:val="nil"/>
              <w:left w:val="nil"/>
              <w:bottom w:val="nil"/>
              <w:right w:val="nil"/>
            </w:tcBorders>
            <w:shd w:val="clear" w:color="auto" w:fill="auto"/>
            <w:noWrap/>
            <w:vAlign w:val="center"/>
            <w:hideMark/>
          </w:tcPr>
          <w:p w14:paraId="7C92987D" w14:textId="77777777" w:rsidR="000601E9" w:rsidRPr="002C0746" w:rsidRDefault="000601E9"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eastAsia="Times New Roman" w:hAnsiTheme="majorBidi" w:cstheme="majorBidi"/>
                <w:color w:val="000000"/>
                <w:lang w:val="en-GB" w:eastAsia="fr-FR"/>
              </w:rPr>
              <w:t>0.36 ± 0.05</w:t>
            </w:r>
          </w:p>
        </w:tc>
      </w:tr>
    </w:tbl>
    <w:p w14:paraId="2F5B5982" w14:textId="629E4FFC" w:rsidR="000A2027" w:rsidRDefault="000A2027" w:rsidP="009130DC"/>
    <w:p w14:paraId="7443FE25" w14:textId="77777777" w:rsidR="000A2027" w:rsidRPr="000A2027" w:rsidRDefault="000A2027" w:rsidP="000A2027"/>
    <w:p w14:paraId="44156A7B" w14:textId="2686BAE1" w:rsidR="000A2027" w:rsidRDefault="000A2027" w:rsidP="000A2027">
      <w:pPr>
        <w:tabs>
          <w:tab w:val="left" w:pos="3480"/>
        </w:tabs>
        <w:sectPr w:rsidR="000A2027" w:rsidSect="00777D7B">
          <w:pgSz w:w="16838" w:h="11906" w:orient="landscape"/>
          <w:pgMar w:top="1417" w:right="1417" w:bottom="1417" w:left="1417" w:header="709" w:footer="709" w:gutter="0"/>
          <w:cols w:space="708"/>
          <w:docGrid w:linePitch="360"/>
        </w:sectPr>
      </w:pPr>
    </w:p>
    <w:p w14:paraId="1150D423" w14:textId="127C648D" w:rsidR="000A2027" w:rsidRDefault="000A2027" w:rsidP="000A2027">
      <w:pPr>
        <w:rPr>
          <w:rFonts w:asciiTheme="majorBidi" w:eastAsia="Times New Roman" w:hAnsiTheme="majorBidi" w:cstheme="majorBidi"/>
          <w:szCs w:val="24"/>
          <w:lang w:val="en-GB" w:eastAsia="fr-MA"/>
        </w:rPr>
      </w:pPr>
    </w:p>
    <w:p w14:paraId="48AB9339" w14:textId="77777777" w:rsidR="000A2027" w:rsidRPr="002C0746" w:rsidRDefault="000A2027" w:rsidP="008B3D5C">
      <w:pPr>
        <w:pStyle w:val="Tableappendix"/>
        <w:ind w:left="851" w:hanging="851"/>
        <w:rPr>
          <w:i/>
          <w:lang w:eastAsia="fr-MA"/>
        </w:rPr>
      </w:pPr>
      <w:r w:rsidRPr="002C0746">
        <w:rPr>
          <w:lang w:eastAsia="fr-MA"/>
        </w:rPr>
        <w:t>Chemical properties of final composts. T1-dry palm leaves; T2-dry palm leaves and rock phosphate; T3-dry palm leaves and sheep manure; T4-dry palm leaves, sheep manure and rock phosphate. Values are expressed as a percentage of initial wet weight (dry matter) or dry matter (the others) to ease comparison with the initial values (Table 3).</w:t>
      </w:r>
    </w:p>
    <w:tbl>
      <w:tblPr>
        <w:tblW w:w="12739" w:type="dxa"/>
        <w:tblCellMar>
          <w:left w:w="70" w:type="dxa"/>
          <w:right w:w="70" w:type="dxa"/>
        </w:tblCellMar>
        <w:tblLook w:val="0600" w:firstRow="0" w:lastRow="0" w:firstColumn="0" w:lastColumn="0" w:noHBand="1" w:noVBand="1"/>
      </w:tblPr>
      <w:tblGrid>
        <w:gridCol w:w="1233"/>
        <w:gridCol w:w="1335"/>
        <w:gridCol w:w="1418"/>
        <w:gridCol w:w="1474"/>
        <w:gridCol w:w="1474"/>
        <w:gridCol w:w="1474"/>
        <w:gridCol w:w="1474"/>
        <w:gridCol w:w="1474"/>
        <w:gridCol w:w="1474"/>
      </w:tblGrid>
      <w:tr w:rsidR="000A2027" w:rsidRPr="002C0746" w14:paraId="0A49F56A" w14:textId="77777777" w:rsidTr="00AF62B5">
        <w:tc>
          <w:tcPr>
            <w:tcW w:w="1142" w:type="dxa"/>
            <w:tcBorders>
              <w:top w:val="single" w:sz="4" w:space="0" w:color="auto"/>
              <w:left w:val="nil"/>
              <w:bottom w:val="single" w:sz="4" w:space="0" w:color="auto"/>
              <w:right w:val="nil"/>
            </w:tcBorders>
            <w:shd w:val="clear" w:color="auto" w:fill="auto"/>
            <w:vAlign w:val="center"/>
            <w:hideMark/>
          </w:tcPr>
          <w:p w14:paraId="793BD50F"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Treatment</w:t>
            </w:r>
          </w:p>
        </w:tc>
        <w:tc>
          <w:tcPr>
            <w:tcW w:w="1335" w:type="dxa"/>
            <w:tcBorders>
              <w:top w:val="single" w:sz="4" w:space="0" w:color="auto"/>
              <w:left w:val="nil"/>
              <w:bottom w:val="single" w:sz="4" w:space="0" w:color="auto"/>
              <w:right w:val="nil"/>
            </w:tcBorders>
            <w:shd w:val="clear" w:color="auto" w:fill="auto"/>
            <w:vAlign w:val="center"/>
            <w:hideMark/>
          </w:tcPr>
          <w:p w14:paraId="07699B1C"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Dry matter</w:t>
            </w:r>
          </w:p>
        </w:tc>
        <w:tc>
          <w:tcPr>
            <w:tcW w:w="1418" w:type="dxa"/>
            <w:tcBorders>
              <w:top w:val="single" w:sz="4" w:space="0" w:color="auto"/>
              <w:left w:val="nil"/>
              <w:bottom w:val="single" w:sz="4" w:space="0" w:color="auto"/>
              <w:right w:val="nil"/>
            </w:tcBorders>
            <w:shd w:val="clear" w:color="auto" w:fill="auto"/>
            <w:vAlign w:val="center"/>
            <w:hideMark/>
          </w:tcPr>
          <w:p w14:paraId="797041FB"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 xml:space="preserve">Organic matter </w:t>
            </w:r>
          </w:p>
        </w:tc>
        <w:tc>
          <w:tcPr>
            <w:tcW w:w="1474" w:type="dxa"/>
            <w:tcBorders>
              <w:top w:val="single" w:sz="4" w:space="0" w:color="auto"/>
              <w:left w:val="nil"/>
              <w:bottom w:val="single" w:sz="4" w:space="0" w:color="auto"/>
              <w:right w:val="nil"/>
            </w:tcBorders>
            <w:shd w:val="clear" w:color="auto" w:fill="auto"/>
            <w:vAlign w:val="center"/>
            <w:hideMark/>
          </w:tcPr>
          <w:p w14:paraId="62A03EF4"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N</w:t>
            </w:r>
          </w:p>
        </w:tc>
        <w:tc>
          <w:tcPr>
            <w:tcW w:w="1474" w:type="dxa"/>
            <w:tcBorders>
              <w:top w:val="single" w:sz="4" w:space="0" w:color="auto"/>
              <w:left w:val="nil"/>
              <w:bottom w:val="single" w:sz="4" w:space="0" w:color="auto"/>
              <w:right w:val="nil"/>
            </w:tcBorders>
            <w:shd w:val="clear" w:color="auto" w:fill="auto"/>
            <w:vAlign w:val="center"/>
            <w:hideMark/>
          </w:tcPr>
          <w:p w14:paraId="389C11C0"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P</w:t>
            </w:r>
          </w:p>
        </w:tc>
        <w:tc>
          <w:tcPr>
            <w:tcW w:w="1474" w:type="dxa"/>
            <w:tcBorders>
              <w:top w:val="single" w:sz="4" w:space="0" w:color="auto"/>
              <w:left w:val="nil"/>
              <w:bottom w:val="single" w:sz="4" w:space="0" w:color="auto"/>
              <w:right w:val="nil"/>
            </w:tcBorders>
            <w:shd w:val="clear" w:color="auto" w:fill="auto"/>
            <w:vAlign w:val="center"/>
            <w:hideMark/>
          </w:tcPr>
          <w:p w14:paraId="5661B6EF"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K</w:t>
            </w:r>
          </w:p>
        </w:tc>
        <w:tc>
          <w:tcPr>
            <w:tcW w:w="1474" w:type="dxa"/>
            <w:tcBorders>
              <w:top w:val="single" w:sz="4" w:space="0" w:color="auto"/>
              <w:left w:val="nil"/>
              <w:bottom w:val="single" w:sz="4" w:space="0" w:color="auto"/>
              <w:right w:val="nil"/>
            </w:tcBorders>
            <w:shd w:val="clear" w:color="auto" w:fill="auto"/>
            <w:vAlign w:val="center"/>
            <w:hideMark/>
          </w:tcPr>
          <w:p w14:paraId="7DB3D3E6"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Mg</w:t>
            </w:r>
          </w:p>
        </w:tc>
        <w:tc>
          <w:tcPr>
            <w:tcW w:w="1474" w:type="dxa"/>
            <w:tcBorders>
              <w:top w:val="single" w:sz="4" w:space="0" w:color="auto"/>
              <w:left w:val="nil"/>
              <w:bottom w:val="single" w:sz="4" w:space="0" w:color="auto"/>
              <w:right w:val="nil"/>
            </w:tcBorders>
            <w:shd w:val="clear" w:color="auto" w:fill="auto"/>
            <w:vAlign w:val="center"/>
            <w:hideMark/>
          </w:tcPr>
          <w:p w14:paraId="76D52007"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Ca</w:t>
            </w:r>
          </w:p>
        </w:tc>
        <w:tc>
          <w:tcPr>
            <w:tcW w:w="1474" w:type="dxa"/>
            <w:tcBorders>
              <w:top w:val="single" w:sz="4" w:space="0" w:color="auto"/>
              <w:left w:val="nil"/>
              <w:bottom w:val="single" w:sz="4" w:space="0" w:color="auto"/>
              <w:right w:val="nil"/>
            </w:tcBorders>
            <w:shd w:val="clear" w:color="auto" w:fill="auto"/>
            <w:vAlign w:val="center"/>
            <w:hideMark/>
          </w:tcPr>
          <w:p w14:paraId="693AA7F3"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Total Na</w:t>
            </w:r>
          </w:p>
        </w:tc>
      </w:tr>
      <w:tr w:rsidR="000A2027" w:rsidRPr="002C0746" w14:paraId="0B99182A" w14:textId="77777777" w:rsidTr="00AF62B5">
        <w:trPr>
          <w:trHeight w:val="567"/>
        </w:trPr>
        <w:tc>
          <w:tcPr>
            <w:tcW w:w="1142" w:type="dxa"/>
            <w:tcBorders>
              <w:top w:val="single" w:sz="4" w:space="0" w:color="auto"/>
              <w:left w:val="nil"/>
              <w:bottom w:val="nil"/>
              <w:right w:val="nil"/>
            </w:tcBorders>
            <w:shd w:val="clear" w:color="auto" w:fill="auto"/>
            <w:vAlign w:val="center"/>
            <w:hideMark/>
          </w:tcPr>
          <w:p w14:paraId="525898B5"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T1</w:t>
            </w:r>
          </w:p>
        </w:tc>
        <w:tc>
          <w:tcPr>
            <w:tcW w:w="1335" w:type="dxa"/>
            <w:tcBorders>
              <w:top w:val="single" w:sz="4" w:space="0" w:color="auto"/>
              <w:left w:val="nil"/>
              <w:bottom w:val="nil"/>
              <w:right w:val="nil"/>
            </w:tcBorders>
            <w:shd w:val="clear" w:color="auto" w:fill="auto"/>
            <w:noWrap/>
            <w:vAlign w:val="center"/>
            <w:hideMark/>
          </w:tcPr>
          <w:p w14:paraId="2BE7303F"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22 ± 2</w:t>
            </w:r>
          </w:p>
        </w:tc>
        <w:tc>
          <w:tcPr>
            <w:tcW w:w="1418" w:type="dxa"/>
            <w:tcBorders>
              <w:top w:val="single" w:sz="4" w:space="0" w:color="auto"/>
              <w:left w:val="nil"/>
              <w:bottom w:val="nil"/>
              <w:right w:val="nil"/>
            </w:tcBorders>
            <w:shd w:val="clear" w:color="auto" w:fill="auto"/>
            <w:noWrap/>
            <w:vAlign w:val="center"/>
            <w:hideMark/>
          </w:tcPr>
          <w:p w14:paraId="5F32A838"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49 ± 1 a</w:t>
            </w:r>
          </w:p>
        </w:tc>
        <w:tc>
          <w:tcPr>
            <w:tcW w:w="1474" w:type="dxa"/>
            <w:tcBorders>
              <w:top w:val="single" w:sz="4" w:space="0" w:color="auto"/>
              <w:left w:val="nil"/>
              <w:bottom w:val="nil"/>
              <w:right w:val="nil"/>
            </w:tcBorders>
            <w:shd w:val="clear" w:color="auto" w:fill="auto"/>
            <w:noWrap/>
            <w:vAlign w:val="center"/>
            <w:hideMark/>
          </w:tcPr>
          <w:p w14:paraId="356C4330"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0.53 ± 0.03 a</w:t>
            </w:r>
          </w:p>
        </w:tc>
        <w:tc>
          <w:tcPr>
            <w:tcW w:w="1474" w:type="dxa"/>
            <w:tcBorders>
              <w:top w:val="single" w:sz="4" w:space="0" w:color="auto"/>
              <w:left w:val="nil"/>
              <w:bottom w:val="nil"/>
              <w:right w:val="nil"/>
            </w:tcBorders>
            <w:shd w:val="clear" w:color="auto" w:fill="auto"/>
            <w:noWrap/>
            <w:vAlign w:val="center"/>
            <w:hideMark/>
          </w:tcPr>
          <w:p w14:paraId="155A4FEC"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0.02 ± 0.00 a</w:t>
            </w:r>
          </w:p>
        </w:tc>
        <w:tc>
          <w:tcPr>
            <w:tcW w:w="1474" w:type="dxa"/>
            <w:tcBorders>
              <w:top w:val="single" w:sz="4" w:space="0" w:color="auto"/>
              <w:left w:val="nil"/>
              <w:bottom w:val="nil"/>
              <w:right w:val="nil"/>
            </w:tcBorders>
            <w:shd w:val="clear" w:color="auto" w:fill="auto"/>
            <w:noWrap/>
            <w:vAlign w:val="center"/>
            <w:hideMark/>
          </w:tcPr>
          <w:p w14:paraId="44B8CF26"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0.11 ± 0.01 a</w:t>
            </w:r>
          </w:p>
        </w:tc>
        <w:tc>
          <w:tcPr>
            <w:tcW w:w="1474" w:type="dxa"/>
            <w:tcBorders>
              <w:top w:val="single" w:sz="4" w:space="0" w:color="auto"/>
              <w:left w:val="nil"/>
              <w:bottom w:val="nil"/>
              <w:right w:val="nil"/>
            </w:tcBorders>
            <w:shd w:val="clear" w:color="auto" w:fill="auto"/>
            <w:noWrap/>
            <w:vAlign w:val="center"/>
            <w:hideMark/>
          </w:tcPr>
          <w:p w14:paraId="00EFCA69"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0.15 ± 0.01 a</w:t>
            </w:r>
          </w:p>
        </w:tc>
        <w:tc>
          <w:tcPr>
            <w:tcW w:w="1474" w:type="dxa"/>
            <w:tcBorders>
              <w:top w:val="single" w:sz="4" w:space="0" w:color="auto"/>
              <w:left w:val="nil"/>
              <w:bottom w:val="nil"/>
              <w:right w:val="nil"/>
            </w:tcBorders>
            <w:shd w:val="clear" w:color="auto" w:fill="auto"/>
            <w:noWrap/>
            <w:vAlign w:val="center"/>
            <w:hideMark/>
          </w:tcPr>
          <w:p w14:paraId="0A34DD50"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0.60 ± 0.04 a</w:t>
            </w:r>
          </w:p>
        </w:tc>
        <w:tc>
          <w:tcPr>
            <w:tcW w:w="1474" w:type="dxa"/>
            <w:tcBorders>
              <w:top w:val="single" w:sz="4" w:space="0" w:color="auto"/>
              <w:left w:val="nil"/>
              <w:bottom w:val="nil"/>
              <w:right w:val="nil"/>
            </w:tcBorders>
            <w:shd w:val="clear" w:color="auto" w:fill="auto"/>
            <w:noWrap/>
            <w:vAlign w:val="center"/>
            <w:hideMark/>
          </w:tcPr>
          <w:p w14:paraId="291AFE43"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0.07 ± 0.00 a</w:t>
            </w:r>
          </w:p>
        </w:tc>
      </w:tr>
      <w:tr w:rsidR="000A2027" w:rsidRPr="002C0746" w14:paraId="4BCE3901" w14:textId="77777777" w:rsidTr="003E5123">
        <w:trPr>
          <w:trHeight w:val="510"/>
        </w:trPr>
        <w:tc>
          <w:tcPr>
            <w:tcW w:w="1142" w:type="dxa"/>
            <w:tcBorders>
              <w:top w:val="nil"/>
              <w:left w:val="nil"/>
              <w:bottom w:val="nil"/>
              <w:right w:val="nil"/>
            </w:tcBorders>
            <w:shd w:val="clear" w:color="auto" w:fill="auto"/>
            <w:vAlign w:val="center"/>
            <w:hideMark/>
          </w:tcPr>
          <w:p w14:paraId="0B40A77D"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T2</w:t>
            </w:r>
          </w:p>
        </w:tc>
        <w:tc>
          <w:tcPr>
            <w:tcW w:w="1335" w:type="dxa"/>
            <w:tcBorders>
              <w:top w:val="nil"/>
              <w:left w:val="nil"/>
              <w:bottom w:val="nil"/>
              <w:right w:val="nil"/>
            </w:tcBorders>
            <w:shd w:val="clear" w:color="auto" w:fill="auto"/>
            <w:noWrap/>
            <w:vAlign w:val="center"/>
            <w:hideMark/>
          </w:tcPr>
          <w:p w14:paraId="4A662649"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25 ± 2</w:t>
            </w:r>
          </w:p>
        </w:tc>
        <w:tc>
          <w:tcPr>
            <w:tcW w:w="1418" w:type="dxa"/>
            <w:tcBorders>
              <w:top w:val="nil"/>
              <w:left w:val="nil"/>
              <w:bottom w:val="nil"/>
              <w:right w:val="nil"/>
            </w:tcBorders>
            <w:shd w:val="clear" w:color="auto" w:fill="auto"/>
            <w:noWrap/>
            <w:vAlign w:val="center"/>
            <w:hideMark/>
          </w:tcPr>
          <w:p w14:paraId="4BD7A5BC"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50 ± 1 a</w:t>
            </w:r>
          </w:p>
        </w:tc>
        <w:tc>
          <w:tcPr>
            <w:tcW w:w="1474" w:type="dxa"/>
            <w:tcBorders>
              <w:top w:val="nil"/>
              <w:left w:val="nil"/>
              <w:bottom w:val="nil"/>
              <w:right w:val="nil"/>
            </w:tcBorders>
            <w:shd w:val="clear" w:color="auto" w:fill="auto"/>
            <w:noWrap/>
            <w:vAlign w:val="center"/>
            <w:hideMark/>
          </w:tcPr>
          <w:p w14:paraId="2AFDEBF9"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0.59 ± 0.04 a</w:t>
            </w:r>
          </w:p>
        </w:tc>
        <w:tc>
          <w:tcPr>
            <w:tcW w:w="1474" w:type="dxa"/>
            <w:tcBorders>
              <w:top w:val="nil"/>
              <w:left w:val="nil"/>
              <w:bottom w:val="nil"/>
              <w:right w:val="nil"/>
            </w:tcBorders>
            <w:shd w:val="clear" w:color="auto" w:fill="auto"/>
            <w:noWrap/>
            <w:vAlign w:val="center"/>
            <w:hideMark/>
          </w:tcPr>
          <w:p w14:paraId="6A527EA7"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0.14 ± 0.03 b</w:t>
            </w:r>
          </w:p>
        </w:tc>
        <w:tc>
          <w:tcPr>
            <w:tcW w:w="1474" w:type="dxa"/>
            <w:tcBorders>
              <w:top w:val="nil"/>
              <w:left w:val="nil"/>
              <w:bottom w:val="nil"/>
              <w:right w:val="nil"/>
            </w:tcBorders>
            <w:shd w:val="clear" w:color="auto" w:fill="auto"/>
            <w:noWrap/>
            <w:vAlign w:val="center"/>
            <w:hideMark/>
          </w:tcPr>
          <w:p w14:paraId="79D1CCA4"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0.13 ± 0.01 a</w:t>
            </w:r>
          </w:p>
        </w:tc>
        <w:tc>
          <w:tcPr>
            <w:tcW w:w="1474" w:type="dxa"/>
            <w:tcBorders>
              <w:top w:val="nil"/>
              <w:left w:val="nil"/>
              <w:bottom w:val="nil"/>
              <w:right w:val="nil"/>
            </w:tcBorders>
            <w:shd w:val="clear" w:color="auto" w:fill="auto"/>
            <w:noWrap/>
            <w:vAlign w:val="center"/>
            <w:hideMark/>
          </w:tcPr>
          <w:p w14:paraId="00A4B913"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0.18 ± 0.01 b</w:t>
            </w:r>
          </w:p>
        </w:tc>
        <w:tc>
          <w:tcPr>
            <w:tcW w:w="1474" w:type="dxa"/>
            <w:tcBorders>
              <w:top w:val="nil"/>
              <w:left w:val="nil"/>
              <w:bottom w:val="nil"/>
              <w:right w:val="nil"/>
            </w:tcBorders>
            <w:shd w:val="clear" w:color="auto" w:fill="auto"/>
            <w:noWrap/>
            <w:vAlign w:val="center"/>
            <w:hideMark/>
          </w:tcPr>
          <w:p w14:paraId="4A5CCD5E"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1.13 ± 0.17 b</w:t>
            </w:r>
          </w:p>
        </w:tc>
        <w:tc>
          <w:tcPr>
            <w:tcW w:w="1474" w:type="dxa"/>
            <w:tcBorders>
              <w:top w:val="nil"/>
              <w:left w:val="nil"/>
              <w:bottom w:val="nil"/>
              <w:right w:val="nil"/>
            </w:tcBorders>
            <w:shd w:val="clear" w:color="auto" w:fill="auto"/>
            <w:noWrap/>
            <w:vAlign w:val="center"/>
            <w:hideMark/>
          </w:tcPr>
          <w:p w14:paraId="653F6338"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0.09 ± 0.01 a</w:t>
            </w:r>
          </w:p>
        </w:tc>
      </w:tr>
      <w:tr w:rsidR="000A2027" w:rsidRPr="002C0746" w14:paraId="36C29B00" w14:textId="77777777" w:rsidTr="003E5123">
        <w:trPr>
          <w:trHeight w:val="510"/>
        </w:trPr>
        <w:tc>
          <w:tcPr>
            <w:tcW w:w="1142" w:type="dxa"/>
            <w:tcBorders>
              <w:top w:val="nil"/>
              <w:left w:val="nil"/>
              <w:bottom w:val="nil"/>
              <w:right w:val="nil"/>
            </w:tcBorders>
            <w:shd w:val="clear" w:color="auto" w:fill="auto"/>
            <w:vAlign w:val="center"/>
            <w:hideMark/>
          </w:tcPr>
          <w:p w14:paraId="416DB727"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T3</w:t>
            </w:r>
          </w:p>
        </w:tc>
        <w:tc>
          <w:tcPr>
            <w:tcW w:w="1335" w:type="dxa"/>
            <w:tcBorders>
              <w:top w:val="nil"/>
              <w:left w:val="nil"/>
              <w:bottom w:val="nil"/>
              <w:right w:val="nil"/>
            </w:tcBorders>
            <w:shd w:val="clear" w:color="auto" w:fill="auto"/>
            <w:noWrap/>
            <w:vAlign w:val="center"/>
            <w:hideMark/>
          </w:tcPr>
          <w:p w14:paraId="29181A34"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31 ± 2</w:t>
            </w:r>
          </w:p>
        </w:tc>
        <w:tc>
          <w:tcPr>
            <w:tcW w:w="1418" w:type="dxa"/>
            <w:tcBorders>
              <w:top w:val="nil"/>
              <w:left w:val="nil"/>
              <w:bottom w:val="nil"/>
              <w:right w:val="nil"/>
            </w:tcBorders>
            <w:shd w:val="clear" w:color="auto" w:fill="auto"/>
            <w:noWrap/>
            <w:vAlign w:val="center"/>
            <w:hideMark/>
          </w:tcPr>
          <w:p w14:paraId="1CB1F7DD"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46 ± 1 a</w:t>
            </w:r>
          </w:p>
        </w:tc>
        <w:tc>
          <w:tcPr>
            <w:tcW w:w="1474" w:type="dxa"/>
            <w:tcBorders>
              <w:top w:val="nil"/>
              <w:left w:val="nil"/>
              <w:bottom w:val="nil"/>
              <w:right w:val="nil"/>
            </w:tcBorders>
            <w:shd w:val="clear" w:color="auto" w:fill="auto"/>
            <w:noWrap/>
            <w:vAlign w:val="center"/>
            <w:hideMark/>
          </w:tcPr>
          <w:p w14:paraId="727E8AE3"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1.42 ± 0.05 b</w:t>
            </w:r>
          </w:p>
        </w:tc>
        <w:tc>
          <w:tcPr>
            <w:tcW w:w="1474" w:type="dxa"/>
            <w:tcBorders>
              <w:top w:val="nil"/>
              <w:left w:val="nil"/>
              <w:bottom w:val="nil"/>
              <w:right w:val="nil"/>
            </w:tcBorders>
            <w:shd w:val="clear" w:color="auto" w:fill="auto"/>
            <w:noWrap/>
            <w:vAlign w:val="center"/>
            <w:hideMark/>
          </w:tcPr>
          <w:p w14:paraId="7BA309BE"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0.32 ± 0.02 c</w:t>
            </w:r>
          </w:p>
        </w:tc>
        <w:tc>
          <w:tcPr>
            <w:tcW w:w="1474" w:type="dxa"/>
            <w:tcBorders>
              <w:top w:val="nil"/>
              <w:left w:val="nil"/>
              <w:bottom w:val="nil"/>
              <w:right w:val="nil"/>
            </w:tcBorders>
            <w:shd w:val="clear" w:color="auto" w:fill="auto"/>
            <w:noWrap/>
            <w:vAlign w:val="center"/>
            <w:hideMark/>
          </w:tcPr>
          <w:p w14:paraId="38B9B1CA"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1.18 ± 0.01 b</w:t>
            </w:r>
          </w:p>
        </w:tc>
        <w:tc>
          <w:tcPr>
            <w:tcW w:w="1474" w:type="dxa"/>
            <w:tcBorders>
              <w:top w:val="nil"/>
              <w:left w:val="nil"/>
              <w:bottom w:val="nil"/>
              <w:right w:val="nil"/>
            </w:tcBorders>
            <w:shd w:val="clear" w:color="auto" w:fill="auto"/>
            <w:noWrap/>
            <w:vAlign w:val="center"/>
            <w:hideMark/>
          </w:tcPr>
          <w:p w14:paraId="46E65E49"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0.43 ± 0.02 c</w:t>
            </w:r>
          </w:p>
        </w:tc>
        <w:tc>
          <w:tcPr>
            <w:tcW w:w="1474" w:type="dxa"/>
            <w:tcBorders>
              <w:top w:val="nil"/>
              <w:left w:val="nil"/>
              <w:bottom w:val="nil"/>
              <w:right w:val="nil"/>
            </w:tcBorders>
            <w:shd w:val="clear" w:color="auto" w:fill="auto"/>
            <w:noWrap/>
            <w:vAlign w:val="center"/>
            <w:hideMark/>
          </w:tcPr>
          <w:p w14:paraId="0EBBF070"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1.59 ± 0.17 c</w:t>
            </w:r>
          </w:p>
        </w:tc>
        <w:tc>
          <w:tcPr>
            <w:tcW w:w="1474" w:type="dxa"/>
            <w:tcBorders>
              <w:top w:val="nil"/>
              <w:left w:val="nil"/>
              <w:bottom w:val="nil"/>
              <w:right w:val="nil"/>
            </w:tcBorders>
            <w:shd w:val="clear" w:color="auto" w:fill="auto"/>
            <w:noWrap/>
            <w:vAlign w:val="center"/>
            <w:hideMark/>
          </w:tcPr>
          <w:p w14:paraId="5B03AAF7"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0.37 ± 0.01 b</w:t>
            </w:r>
          </w:p>
        </w:tc>
      </w:tr>
      <w:tr w:rsidR="000A2027" w:rsidRPr="009774C6" w14:paraId="5C02F5B6" w14:textId="77777777" w:rsidTr="00AF62B5">
        <w:trPr>
          <w:trHeight w:val="510"/>
        </w:trPr>
        <w:tc>
          <w:tcPr>
            <w:tcW w:w="1142" w:type="dxa"/>
            <w:tcBorders>
              <w:top w:val="nil"/>
              <w:left w:val="nil"/>
              <w:bottom w:val="single" w:sz="4" w:space="0" w:color="auto"/>
              <w:right w:val="nil"/>
            </w:tcBorders>
            <w:shd w:val="clear" w:color="auto" w:fill="auto"/>
            <w:vAlign w:val="center"/>
            <w:hideMark/>
          </w:tcPr>
          <w:p w14:paraId="62C11D99" w14:textId="77777777" w:rsidR="000A2027" w:rsidRPr="002C0746" w:rsidRDefault="000A2027" w:rsidP="003E5123">
            <w:pPr>
              <w:spacing w:after="0" w:line="240" w:lineRule="auto"/>
              <w:jc w:val="center"/>
              <w:rPr>
                <w:rFonts w:asciiTheme="majorBidi" w:eastAsia="Times New Roman" w:hAnsiTheme="majorBidi" w:cstheme="majorBidi"/>
                <w:b/>
                <w:bCs/>
                <w:color w:val="000000"/>
                <w:lang w:val="en-GB" w:eastAsia="fr-FR"/>
              </w:rPr>
            </w:pPr>
            <w:r w:rsidRPr="002C0746">
              <w:rPr>
                <w:rFonts w:asciiTheme="majorBidi" w:eastAsia="Times New Roman" w:hAnsiTheme="majorBidi" w:cstheme="majorBidi"/>
                <w:b/>
                <w:bCs/>
                <w:color w:val="000000"/>
                <w:lang w:val="en-GB" w:eastAsia="fr-FR"/>
              </w:rPr>
              <w:t>T4</w:t>
            </w:r>
          </w:p>
        </w:tc>
        <w:tc>
          <w:tcPr>
            <w:tcW w:w="1335" w:type="dxa"/>
            <w:tcBorders>
              <w:top w:val="nil"/>
              <w:left w:val="nil"/>
              <w:bottom w:val="single" w:sz="4" w:space="0" w:color="auto"/>
              <w:right w:val="nil"/>
            </w:tcBorders>
            <w:shd w:val="clear" w:color="auto" w:fill="auto"/>
            <w:noWrap/>
            <w:vAlign w:val="center"/>
            <w:hideMark/>
          </w:tcPr>
          <w:p w14:paraId="2599652E"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31 ± 2</w:t>
            </w:r>
          </w:p>
        </w:tc>
        <w:tc>
          <w:tcPr>
            <w:tcW w:w="1418" w:type="dxa"/>
            <w:tcBorders>
              <w:top w:val="nil"/>
              <w:left w:val="nil"/>
              <w:bottom w:val="single" w:sz="4" w:space="0" w:color="auto"/>
              <w:right w:val="nil"/>
            </w:tcBorders>
            <w:shd w:val="clear" w:color="auto" w:fill="auto"/>
            <w:noWrap/>
            <w:vAlign w:val="center"/>
            <w:hideMark/>
          </w:tcPr>
          <w:p w14:paraId="08CB4D16"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47 ± 1 a</w:t>
            </w:r>
          </w:p>
        </w:tc>
        <w:tc>
          <w:tcPr>
            <w:tcW w:w="1474" w:type="dxa"/>
            <w:tcBorders>
              <w:top w:val="nil"/>
              <w:left w:val="nil"/>
              <w:bottom w:val="single" w:sz="4" w:space="0" w:color="auto"/>
              <w:right w:val="nil"/>
            </w:tcBorders>
            <w:shd w:val="clear" w:color="auto" w:fill="auto"/>
            <w:noWrap/>
            <w:vAlign w:val="center"/>
            <w:hideMark/>
          </w:tcPr>
          <w:p w14:paraId="7A590162"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1.39 ± 0.04 b</w:t>
            </w:r>
          </w:p>
        </w:tc>
        <w:tc>
          <w:tcPr>
            <w:tcW w:w="1474" w:type="dxa"/>
            <w:tcBorders>
              <w:top w:val="nil"/>
              <w:left w:val="nil"/>
              <w:bottom w:val="single" w:sz="4" w:space="0" w:color="auto"/>
              <w:right w:val="nil"/>
            </w:tcBorders>
            <w:shd w:val="clear" w:color="auto" w:fill="auto"/>
            <w:noWrap/>
            <w:vAlign w:val="center"/>
            <w:hideMark/>
          </w:tcPr>
          <w:p w14:paraId="4396F5E0"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0.36 ± 0.03 d</w:t>
            </w:r>
          </w:p>
        </w:tc>
        <w:tc>
          <w:tcPr>
            <w:tcW w:w="1474" w:type="dxa"/>
            <w:tcBorders>
              <w:top w:val="nil"/>
              <w:left w:val="nil"/>
              <w:bottom w:val="single" w:sz="4" w:space="0" w:color="auto"/>
              <w:right w:val="nil"/>
            </w:tcBorders>
            <w:shd w:val="clear" w:color="auto" w:fill="auto"/>
            <w:noWrap/>
            <w:vAlign w:val="center"/>
            <w:hideMark/>
          </w:tcPr>
          <w:p w14:paraId="11637429"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1.14 ± 0.10 b</w:t>
            </w:r>
          </w:p>
        </w:tc>
        <w:tc>
          <w:tcPr>
            <w:tcW w:w="1474" w:type="dxa"/>
            <w:tcBorders>
              <w:top w:val="nil"/>
              <w:left w:val="nil"/>
              <w:bottom w:val="single" w:sz="4" w:space="0" w:color="auto"/>
              <w:right w:val="nil"/>
            </w:tcBorders>
            <w:shd w:val="clear" w:color="auto" w:fill="auto"/>
            <w:noWrap/>
            <w:vAlign w:val="center"/>
            <w:hideMark/>
          </w:tcPr>
          <w:p w14:paraId="2F6BFDF2"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0.40 ± 0.02 d</w:t>
            </w:r>
          </w:p>
        </w:tc>
        <w:tc>
          <w:tcPr>
            <w:tcW w:w="1474" w:type="dxa"/>
            <w:tcBorders>
              <w:top w:val="nil"/>
              <w:left w:val="nil"/>
              <w:bottom w:val="single" w:sz="4" w:space="0" w:color="auto"/>
              <w:right w:val="nil"/>
            </w:tcBorders>
            <w:shd w:val="clear" w:color="auto" w:fill="auto"/>
            <w:noWrap/>
            <w:vAlign w:val="center"/>
            <w:hideMark/>
          </w:tcPr>
          <w:p w14:paraId="5CF9F777" w14:textId="77777777" w:rsidR="000A2027" w:rsidRPr="002C074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1.60 ± 0.14 c</w:t>
            </w:r>
          </w:p>
        </w:tc>
        <w:tc>
          <w:tcPr>
            <w:tcW w:w="1474" w:type="dxa"/>
            <w:tcBorders>
              <w:top w:val="nil"/>
              <w:left w:val="nil"/>
              <w:bottom w:val="single" w:sz="4" w:space="0" w:color="auto"/>
              <w:right w:val="nil"/>
            </w:tcBorders>
            <w:shd w:val="clear" w:color="auto" w:fill="auto"/>
            <w:noWrap/>
            <w:vAlign w:val="center"/>
            <w:hideMark/>
          </w:tcPr>
          <w:p w14:paraId="7C97862A" w14:textId="77777777" w:rsidR="000A2027" w:rsidRPr="009774C6" w:rsidRDefault="000A2027" w:rsidP="003E5123">
            <w:pPr>
              <w:spacing w:after="0" w:line="240" w:lineRule="auto"/>
              <w:jc w:val="center"/>
              <w:rPr>
                <w:rFonts w:asciiTheme="majorBidi" w:eastAsia="Times New Roman" w:hAnsiTheme="majorBidi" w:cstheme="majorBidi"/>
                <w:color w:val="000000"/>
                <w:lang w:val="en-GB" w:eastAsia="fr-FR"/>
              </w:rPr>
            </w:pPr>
            <w:r w:rsidRPr="002C0746">
              <w:rPr>
                <w:rFonts w:asciiTheme="majorBidi" w:hAnsiTheme="majorBidi" w:cstheme="majorBidi"/>
                <w:color w:val="000000"/>
                <w:lang w:val="en-GB"/>
              </w:rPr>
              <w:t>0.35 ± 0.04 b</w:t>
            </w:r>
          </w:p>
        </w:tc>
      </w:tr>
    </w:tbl>
    <w:p w14:paraId="3B9A266B" w14:textId="098B67AF" w:rsidR="000A2027" w:rsidRDefault="000A2027" w:rsidP="000A2027">
      <w:pPr>
        <w:tabs>
          <w:tab w:val="left" w:pos="3480"/>
        </w:tabs>
      </w:pPr>
    </w:p>
    <w:p w14:paraId="6F587AA8" w14:textId="0531EE17" w:rsidR="00C54CAC" w:rsidRPr="000A2027" w:rsidRDefault="000A2027" w:rsidP="000A2027">
      <w:pPr>
        <w:tabs>
          <w:tab w:val="left" w:pos="3480"/>
        </w:tabs>
        <w:sectPr w:rsidR="00C54CAC" w:rsidRPr="000A2027" w:rsidSect="00777D7B">
          <w:pgSz w:w="16838" w:h="11906" w:orient="landscape"/>
          <w:pgMar w:top="1417" w:right="1417" w:bottom="1417" w:left="1417" w:header="709" w:footer="709" w:gutter="0"/>
          <w:cols w:space="708"/>
          <w:docGrid w:linePitch="360"/>
        </w:sectPr>
      </w:pPr>
      <w:r>
        <w:tab/>
      </w:r>
    </w:p>
    <w:p w14:paraId="1CD59EC0" w14:textId="26F50FB2" w:rsidR="00D2516D" w:rsidRPr="00C54CAC" w:rsidRDefault="00C54CAC" w:rsidP="009130DC">
      <w:pPr>
        <w:rPr>
          <w:lang w:val="en-US"/>
        </w:rPr>
      </w:pPr>
      <w:r w:rsidRPr="00C54CAC">
        <w:rPr>
          <w:lang w:val="en-US"/>
        </w:rPr>
        <w:lastRenderedPageBreak/>
        <w:t xml:space="preserve">References </w:t>
      </w:r>
    </w:p>
    <w:p w14:paraId="710C7CA8" w14:textId="77777777" w:rsidR="00C54CAC" w:rsidRPr="00C54CAC" w:rsidRDefault="00C54CAC" w:rsidP="00C54CAC">
      <w:pPr>
        <w:pStyle w:val="Bibliographie"/>
        <w:rPr>
          <w:rFonts w:cs="Arial"/>
          <w:lang w:val="en-US"/>
        </w:rPr>
      </w:pPr>
      <w:r>
        <w:fldChar w:fldCharType="begin"/>
      </w:r>
      <w:r w:rsidRPr="00C54CAC">
        <w:rPr>
          <w:lang w:val="en-US"/>
        </w:rPr>
        <w:instrText xml:space="preserve"> ADDIN ZOTERO_BIBL {"uncited":[],"omitted":[],"custom":[]} CSL_BIBLIOGRAPHY </w:instrText>
      </w:r>
      <w:r>
        <w:fldChar w:fldCharType="separate"/>
      </w:r>
      <w:r w:rsidRPr="00C54CAC">
        <w:rPr>
          <w:rFonts w:cs="Arial"/>
          <w:lang w:val="en-US"/>
        </w:rPr>
        <w:t xml:space="preserve">1. </w:t>
      </w:r>
      <w:r w:rsidRPr="00C54CAC">
        <w:rPr>
          <w:rFonts w:cs="Arial"/>
          <w:lang w:val="en-US"/>
        </w:rPr>
        <w:tab/>
        <w:t>El Janati M, Akkal-Corfini N, Bouaziz A, et al (2021) Benefits of circular agriculture for cropping systems and soil fertility in oases. Sustainability 13:4713. https://doi.org/10.3390/su13094713</w:t>
      </w:r>
    </w:p>
    <w:p w14:paraId="07172CF3" w14:textId="77777777" w:rsidR="00C54CAC" w:rsidRPr="00C54CAC" w:rsidRDefault="00C54CAC" w:rsidP="00C54CAC">
      <w:pPr>
        <w:pStyle w:val="Bibliographie"/>
        <w:rPr>
          <w:rFonts w:cs="Arial"/>
          <w:lang w:val="en-US"/>
        </w:rPr>
      </w:pPr>
      <w:r w:rsidRPr="00C54CAC">
        <w:rPr>
          <w:rFonts w:cs="Arial"/>
          <w:lang w:val="en-US"/>
        </w:rPr>
        <w:t xml:space="preserve">2. </w:t>
      </w:r>
      <w:r w:rsidRPr="00C54CAC">
        <w:rPr>
          <w:rFonts w:cs="Arial"/>
          <w:lang w:val="en-US"/>
        </w:rPr>
        <w:tab/>
        <w:t>Abid W, Mahmoud IB, Masmoudi S, et al (2020) Physico-chemical and spectroscopic quality assessment of compost issued from date palm waste valorization. Journal of Environmental Management 264:110492. https://doi.org/10.1016/j.jenvman.2020.110492</w:t>
      </w:r>
    </w:p>
    <w:p w14:paraId="1F2419C1" w14:textId="77777777" w:rsidR="00C54CAC" w:rsidRPr="00C54CAC" w:rsidRDefault="00C54CAC" w:rsidP="00C54CAC">
      <w:pPr>
        <w:pStyle w:val="Bibliographie"/>
        <w:rPr>
          <w:rFonts w:cs="Arial"/>
          <w:lang w:val="en-US"/>
        </w:rPr>
      </w:pPr>
      <w:r w:rsidRPr="00C54CAC">
        <w:rPr>
          <w:rFonts w:cs="Arial"/>
          <w:lang w:val="en-US"/>
        </w:rPr>
        <w:t xml:space="preserve">3. </w:t>
      </w:r>
      <w:r w:rsidRPr="00C54CAC">
        <w:rPr>
          <w:rFonts w:cs="Arial"/>
          <w:lang w:val="en-US"/>
        </w:rPr>
        <w:tab/>
        <w:t>Alkoaik FN, Khalil AI, Alqumajan T (2011) Performance evaluation of a static composting system using date palm residues. Middle-East J Sci Res 7:972–983</w:t>
      </w:r>
    </w:p>
    <w:p w14:paraId="46FCD2C9" w14:textId="77777777" w:rsidR="00C54CAC" w:rsidRPr="00C54CAC" w:rsidRDefault="00C54CAC" w:rsidP="00C54CAC">
      <w:pPr>
        <w:pStyle w:val="Bibliographie"/>
        <w:rPr>
          <w:rFonts w:cs="Arial"/>
          <w:lang w:val="en-US"/>
        </w:rPr>
      </w:pPr>
      <w:r w:rsidRPr="00C54CAC">
        <w:rPr>
          <w:rFonts w:cs="Arial"/>
          <w:lang w:val="en-US"/>
        </w:rPr>
        <w:t xml:space="preserve">4. </w:t>
      </w:r>
      <w:r w:rsidRPr="00C54CAC">
        <w:rPr>
          <w:rFonts w:cs="Arial"/>
          <w:lang w:val="en-US"/>
        </w:rPr>
        <w:tab/>
        <w:t>Benabderrahim MA, Elfalleh W, Belayadi H, Haddad M (2018) Effect of date palm waste compost on forage alfalfa growth, yield, seed yield and minerals uptake. Int J Recycl Org Waste Agricult 7:1–9. https://doi.org/10.1007/s40093-017-0182-6</w:t>
      </w:r>
    </w:p>
    <w:p w14:paraId="6C2F4268" w14:textId="77777777" w:rsidR="00C54CAC" w:rsidRPr="00C54CAC" w:rsidRDefault="00C54CAC" w:rsidP="00C54CAC">
      <w:pPr>
        <w:pStyle w:val="Bibliographie"/>
        <w:rPr>
          <w:rFonts w:cs="Arial"/>
          <w:lang w:val="en-US"/>
        </w:rPr>
      </w:pPr>
      <w:r w:rsidRPr="00C54CAC">
        <w:rPr>
          <w:rFonts w:cs="Arial"/>
          <w:lang w:val="en-US"/>
        </w:rPr>
        <w:t xml:space="preserve">5. </w:t>
      </w:r>
      <w:r w:rsidRPr="00C54CAC">
        <w:rPr>
          <w:rFonts w:cs="Arial"/>
          <w:lang w:val="en-US"/>
        </w:rPr>
        <w:tab/>
        <w:t>Sadik MW, Al Ashhab AO, Zahran MK, Alsaqan FM (2012) Composting mulch of date palm trees through microbial activator in Saudi Arabia. International Journal of Biochemistry and Biotechnology 1:156–161</w:t>
      </w:r>
    </w:p>
    <w:p w14:paraId="6C13845E" w14:textId="77777777" w:rsidR="00C54CAC" w:rsidRPr="00C54CAC" w:rsidRDefault="00C54CAC" w:rsidP="00C54CAC">
      <w:pPr>
        <w:pStyle w:val="Bibliographie"/>
        <w:rPr>
          <w:rFonts w:cs="Arial"/>
        </w:rPr>
      </w:pPr>
      <w:r w:rsidRPr="00C54CAC">
        <w:rPr>
          <w:rFonts w:cs="Arial"/>
          <w:lang w:val="en-US"/>
        </w:rPr>
        <w:t xml:space="preserve">6. </w:t>
      </w:r>
      <w:r w:rsidRPr="00C54CAC">
        <w:rPr>
          <w:rFonts w:cs="Arial"/>
          <w:lang w:val="en-US"/>
        </w:rPr>
        <w:tab/>
        <w:t xml:space="preserve">Vico A, Pérez-Murcia MD, Bustamante MA, et al (2018) Valorization of date palm (Phoenix dactylifera L.) pruning biomass by co-composting with urban and agri-food sludge. </w:t>
      </w:r>
      <w:r w:rsidRPr="00C54CAC">
        <w:rPr>
          <w:rFonts w:cs="Arial"/>
        </w:rPr>
        <w:t>Journal of Environmental Management 226:408–415. https://doi.org/10.1016/j.jenvman.2018.08.035</w:t>
      </w:r>
    </w:p>
    <w:p w14:paraId="2267DB7F" w14:textId="70E250E7" w:rsidR="00C54CAC" w:rsidRDefault="00C54CAC" w:rsidP="00C54CAC">
      <w:r>
        <w:fldChar w:fldCharType="end"/>
      </w:r>
    </w:p>
    <w:sectPr w:rsidR="00C54CAC" w:rsidSect="00C54CAC">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806DD" w14:textId="77777777" w:rsidR="00485042" w:rsidRDefault="00485042" w:rsidP="00A82316">
      <w:pPr>
        <w:spacing w:after="0" w:line="240" w:lineRule="auto"/>
      </w:pPr>
      <w:r>
        <w:separator/>
      </w:r>
    </w:p>
  </w:endnote>
  <w:endnote w:type="continuationSeparator" w:id="0">
    <w:p w14:paraId="3ADC04A5" w14:textId="77777777" w:rsidR="00485042" w:rsidRDefault="00485042" w:rsidP="00A8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520735"/>
      <w:docPartObj>
        <w:docPartGallery w:val="Page Numbers (Bottom of Page)"/>
        <w:docPartUnique/>
      </w:docPartObj>
    </w:sdtPr>
    <w:sdtEndPr/>
    <w:sdtContent>
      <w:p w14:paraId="58829060" w14:textId="39697EA6" w:rsidR="00B1752E" w:rsidRDefault="00602119">
        <w:pPr>
          <w:pStyle w:val="Pieddepage"/>
          <w:jc w:val="center"/>
        </w:pPr>
        <w:r>
          <w:fldChar w:fldCharType="begin"/>
        </w:r>
        <w:r>
          <w:instrText>PAGE   \* MERGEFORMAT</w:instrText>
        </w:r>
        <w:r>
          <w:fldChar w:fldCharType="separate"/>
        </w:r>
        <w:r w:rsidR="00E4150B" w:rsidRPr="00E4150B">
          <w:rPr>
            <w:noProof/>
            <w:lang w:val="fr-FR"/>
          </w:rPr>
          <w:t>2</w:t>
        </w:r>
        <w:r>
          <w:fldChar w:fldCharType="end"/>
        </w:r>
      </w:p>
    </w:sdtContent>
  </w:sdt>
  <w:p w14:paraId="23E99C87" w14:textId="77777777" w:rsidR="00B1752E" w:rsidRDefault="004850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BD98E" w14:textId="77777777" w:rsidR="00485042" w:rsidRDefault="00485042" w:rsidP="00A82316">
      <w:pPr>
        <w:spacing w:after="0" w:line="240" w:lineRule="auto"/>
      </w:pPr>
      <w:r>
        <w:separator/>
      </w:r>
    </w:p>
  </w:footnote>
  <w:footnote w:type="continuationSeparator" w:id="0">
    <w:p w14:paraId="238321B9" w14:textId="77777777" w:rsidR="00485042" w:rsidRDefault="00485042" w:rsidP="00A82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FD1497"/>
    <w:multiLevelType w:val="hybridMultilevel"/>
    <w:tmpl w:val="96FE1EBC"/>
    <w:lvl w:ilvl="0" w:tplc="83FE2CCE">
      <w:start w:val="1"/>
      <w:numFmt w:val="decimal"/>
      <w:pStyle w:val="Tables"/>
      <w:lvlText w:val="Table %1"/>
      <w:lvlJc w:val="left"/>
      <w:pPr>
        <w:ind w:left="108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6C2F1C00"/>
    <w:multiLevelType w:val="hybridMultilevel"/>
    <w:tmpl w:val="7D801730"/>
    <w:lvl w:ilvl="0" w:tplc="D83E80EC">
      <w:start w:val="1"/>
      <w:numFmt w:val="decimal"/>
      <w:pStyle w:val="Tableappendix"/>
      <w:lvlText w:val="Table S%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E9"/>
    <w:rsid w:val="000601E9"/>
    <w:rsid w:val="000A2027"/>
    <w:rsid w:val="001D22D5"/>
    <w:rsid w:val="001E434F"/>
    <w:rsid w:val="002446CA"/>
    <w:rsid w:val="002C0821"/>
    <w:rsid w:val="002F3E49"/>
    <w:rsid w:val="003C1162"/>
    <w:rsid w:val="003C499F"/>
    <w:rsid w:val="00485042"/>
    <w:rsid w:val="005B2DEC"/>
    <w:rsid w:val="00602119"/>
    <w:rsid w:val="0066502D"/>
    <w:rsid w:val="00726267"/>
    <w:rsid w:val="00747A62"/>
    <w:rsid w:val="00757524"/>
    <w:rsid w:val="00777D7B"/>
    <w:rsid w:val="0084530C"/>
    <w:rsid w:val="008B3D5C"/>
    <w:rsid w:val="009130DC"/>
    <w:rsid w:val="00A7479D"/>
    <w:rsid w:val="00A82316"/>
    <w:rsid w:val="00AF62B5"/>
    <w:rsid w:val="00B107F3"/>
    <w:rsid w:val="00B701A6"/>
    <w:rsid w:val="00C54CAC"/>
    <w:rsid w:val="00D2516D"/>
    <w:rsid w:val="00E4150B"/>
    <w:rsid w:val="00E42BC1"/>
    <w:rsid w:val="00E54CCB"/>
    <w:rsid w:val="00E66D42"/>
    <w:rsid w:val="00E70A96"/>
    <w:rsid w:val="00F44C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AC55"/>
  <w15:chartTrackingRefBased/>
  <w15:docId w15:val="{A995FAC5-42A7-4C75-B3E3-284D6509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1E9"/>
    <w:rPr>
      <w:rFonts w:ascii="Arial" w:hAnsi="Arial"/>
      <w:sz w:val="24"/>
      <w:lang w:val="fr-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601E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601E9"/>
    <w:rPr>
      <w:rFonts w:ascii="Arial" w:hAnsi="Arial"/>
      <w:sz w:val="24"/>
      <w:lang w:val="fr-MA"/>
    </w:rPr>
  </w:style>
  <w:style w:type="character" w:styleId="Marquedecommentaire">
    <w:name w:val="annotation reference"/>
    <w:basedOn w:val="Policepardfaut"/>
    <w:uiPriority w:val="99"/>
    <w:semiHidden/>
    <w:unhideWhenUsed/>
    <w:rsid w:val="000601E9"/>
    <w:rPr>
      <w:sz w:val="16"/>
      <w:szCs w:val="16"/>
    </w:rPr>
  </w:style>
  <w:style w:type="paragraph" w:styleId="Commentaire">
    <w:name w:val="annotation text"/>
    <w:basedOn w:val="Normal"/>
    <w:link w:val="CommentaireCar"/>
    <w:uiPriority w:val="99"/>
    <w:unhideWhenUsed/>
    <w:rsid w:val="000601E9"/>
    <w:pPr>
      <w:spacing w:line="240" w:lineRule="auto"/>
    </w:pPr>
    <w:rPr>
      <w:color w:val="0070C0"/>
      <w:sz w:val="20"/>
      <w:szCs w:val="20"/>
    </w:rPr>
  </w:style>
  <w:style w:type="character" w:customStyle="1" w:styleId="CommentaireCar">
    <w:name w:val="Commentaire Car"/>
    <w:basedOn w:val="Policepardfaut"/>
    <w:link w:val="Commentaire"/>
    <w:uiPriority w:val="99"/>
    <w:rsid w:val="000601E9"/>
    <w:rPr>
      <w:rFonts w:ascii="Arial" w:hAnsi="Arial"/>
      <w:color w:val="0070C0"/>
      <w:sz w:val="20"/>
      <w:szCs w:val="20"/>
      <w:lang w:val="fr-MA"/>
    </w:rPr>
  </w:style>
  <w:style w:type="paragraph" w:customStyle="1" w:styleId="Tableappendix">
    <w:name w:val="Table appendix"/>
    <w:basedOn w:val="Normal"/>
    <w:link w:val="TableappendixCar"/>
    <w:qFormat/>
    <w:rsid w:val="00E66D42"/>
    <w:pPr>
      <w:numPr>
        <w:numId w:val="1"/>
      </w:numPr>
      <w:tabs>
        <w:tab w:val="left" w:pos="1134"/>
      </w:tabs>
      <w:spacing w:after="200" w:line="240" w:lineRule="auto"/>
    </w:pPr>
    <w:rPr>
      <w:rFonts w:asciiTheme="majorBidi" w:hAnsiTheme="majorBidi" w:cstheme="majorBidi"/>
      <w:b/>
      <w:bCs/>
      <w:iCs/>
      <w:color w:val="44546A" w:themeColor="text2"/>
      <w:sz w:val="18"/>
      <w:szCs w:val="18"/>
      <w:lang w:val="en-US"/>
    </w:rPr>
  </w:style>
  <w:style w:type="character" w:customStyle="1" w:styleId="TableappendixCar">
    <w:name w:val="Table appendix Car"/>
    <w:basedOn w:val="Policepardfaut"/>
    <w:link w:val="Tableappendix"/>
    <w:rsid w:val="00E66D42"/>
    <w:rPr>
      <w:rFonts w:asciiTheme="majorBidi" w:hAnsiTheme="majorBidi" w:cstheme="majorBidi"/>
      <w:b/>
      <w:bCs/>
      <w:iCs/>
      <w:color w:val="44546A" w:themeColor="text2"/>
      <w:sz w:val="18"/>
      <w:szCs w:val="18"/>
      <w:lang w:val="en-US"/>
    </w:rPr>
  </w:style>
  <w:style w:type="paragraph" w:styleId="Textedebulles">
    <w:name w:val="Balloon Text"/>
    <w:basedOn w:val="Normal"/>
    <w:link w:val="TextedebullesCar"/>
    <w:uiPriority w:val="99"/>
    <w:semiHidden/>
    <w:unhideWhenUsed/>
    <w:rsid w:val="000601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601E9"/>
    <w:rPr>
      <w:rFonts w:ascii="Segoe UI" w:hAnsi="Segoe UI" w:cs="Segoe UI"/>
      <w:sz w:val="18"/>
      <w:szCs w:val="18"/>
      <w:lang w:val="fr-MA"/>
    </w:rPr>
  </w:style>
  <w:style w:type="character" w:styleId="Numrodeligne">
    <w:name w:val="line number"/>
    <w:basedOn w:val="Policepardfaut"/>
    <w:uiPriority w:val="99"/>
    <w:semiHidden/>
    <w:unhideWhenUsed/>
    <w:rsid w:val="000601E9"/>
  </w:style>
  <w:style w:type="paragraph" w:styleId="En-tte">
    <w:name w:val="header"/>
    <w:basedOn w:val="Normal"/>
    <w:link w:val="En-tteCar"/>
    <w:uiPriority w:val="99"/>
    <w:unhideWhenUsed/>
    <w:rsid w:val="00A82316"/>
    <w:pPr>
      <w:tabs>
        <w:tab w:val="center" w:pos="4320"/>
        <w:tab w:val="right" w:pos="8640"/>
      </w:tabs>
      <w:spacing w:after="0" w:line="240" w:lineRule="auto"/>
    </w:pPr>
  </w:style>
  <w:style w:type="character" w:customStyle="1" w:styleId="En-tteCar">
    <w:name w:val="En-tête Car"/>
    <w:basedOn w:val="Policepardfaut"/>
    <w:link w:val="En-tte"/>
    <w:uiPriority w:val="99"/>
    <w:rsid w:val="00A82316"/>
    <w:rPr>
      <w:rFonts w:ascii="Arial" w:hAnsi="Arial"/>
      <w:sz w:val="24"/>
      <w:lang w:val="fr-MA"/>
    </w:rPr>
  </w:style>
  <w:style w:type="paragraph" w:styleId="Bibliographie">
    <w:name w:val="Bibliography"/>
    <w:basedOn w:val="Normal"/>
    <w:next w:val="Normal"/>
    <w:uiPriority w:val="37"/>
    <w:unhideWhenUsed/>
    <w:rsid w:val="00C54CAC"/>
    <w:pPr>
      <w:tabs>
        <w:tab w:val="left" w:pos="384"/>
      </w:tabs>
      <w:spacing w:after="240" w:line="240" w:lineRule="auto"/>
      <w:ind w:left="384" w:hanging="384"/>
    </w:pPr>
  </w:style>
  <w:style w:type="paragraph" w:customStyle="1" w:styleId="Tables">
    <w:name w:val="Tables"/>
    <w:basedOn w:val="Lgende"/>
    <w:link w:val="TablesCar"/>
    <w:qFormat/>
    <w:rsid w:val="000A2027"/>
    <w:pPr>
      <w:numPr>
        <w:numId w:val="2"/>
      </w:numPr>
      <w:ind w:left="357" w:hanging="357"/>
    </w:pPr>
    <w:rPr>
      <w:rFonts w:asciiTheme="majorBidi" w:hAnsiTheme="majorBidi" w:cstheme="majorBidi"/>
      <w:b/>
      <w:bCs/>
      <w:i w:val="0"/>
      <w:lang w:val="en-US"/>
    </w:rPr>
  </w:style>
  <w:style w:type="character" w:customStyle="1" w:styleId="TablesCar">
    <w:name w:val="Tables Car"/>
    <w:basedOn w:val="Policepardfaut"/>
    <w:link w:val="Tables"/>
    <w:rsid w:val="000A2027"/>
    <w:rPr>
      <w:rFonts w:asciiTheme="majorBidi" w:hAnsiTheme="majorBidi" w:cstheme="majorBidi"/>
      <w:b/>
      <w:bCs/>
      <w:iCs/>
      <w:color w:val="44546A" w:themeColor="text2"/>
      <w:sz w:val="18"/>
      <w:szCs w:val="18"/>
      <w:lang w:val="en-US"/>
    </w:rPr>
  </w:style>
  <w:style w:type="paragraph" w:styleId="Lgende">
    <w:name w:val="caption"/>
    <w:basedOn w:val="Normal"/>
    <w:next w:val="Normal"/>
    <w:uiPriority w:val="35"/>
    <w:semiHidden/>
    <w:unhideWhenUsed/>
    <w:qFormat/>
    <w:rsid w:val="000A202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2741</Words>
  <Characters>15630</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eljanati.mustapha@gmail.com</dc:creator>
  <cp:keywords/>
  <dc:description/>
  <cp:lastModifiedBy>eljanati.mustapha@gmail.com</cp:lastModifiedBy>
  <cp:revision>4</cp:revision>
  <dcterms:created xsi:type="dcterms:W3CDTF">2022-09-29T09:39:00Z</dcterms:created>
  <dcterms:modified xsi:type="dcterms:W3CDTF">2022-09-29T10:40:00Z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id="7zWrkTqh"/&gt;&lt;style id="http://www.zotero.org/styles/biomass-conversion-and-biorefinery" hasBibliography="1" bibliographyStyleHasBeenSet="1"/&gt;&lt;prefs&gt;&lt;pref name="fieldType" value="Field"/&gt;&lt;/prefs&gt;&lt;/d</vt:lpwstr>
  </property>
  <property fmtid="{D5CDD505-2E9C-101B-9397-08002B2CF9AE}" pid="3" name="ZOTERO_PREF_2">
    <vt:lpwstr>ata&gt;</vt:lpwstr>
  </property>
</Properties>
</file>