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9160F" w14:textId="77777777" w:rsidR="00EF7A4C" w:rsidRPr="006779F5" w:rsidRDefault="00EF7A4C" w:rsidP="00EF7A4C">
      <w:pPr>
        <w:rPr>
          <w:rFonts w:ascii="Times New Roman" w:hAnsi="Times New Roman" w:cs="Times New Roman"/>
          <w:color w:val="FF0000"/>
          <w:sz w:val="20"/>
          <w:szCs w:val="20"/>
        </w:rPr>
      </w:pPr>
    </w:p>
    <w:p w14:paraId="56B3CBC2" w14:textId="77777777" w:rsidR="007F16BE" w:rsidRPr="007F16BE" w:rsidRDefault="007F16BE" w:rsidP="007F16BE">
      <w:pPr>
        <w:spacing w:line="360" w:lineRule="auto"/>
        <w:jc w:val="both"/>
        <w:rPr>
          <w:rFonts w:ascii="Times New Roman" w:hAnsi="Times New Roman" w:cs="Times New Roman"/>
          <w:b/>
          <w:bCs/>
          <w:color w:val="FF0000"/>
          <w:sz w:val="20"/>
          <w:szCs w:val="20"/>
        </w:rPr>
      </w:pPr>
      <w:bookmarkStart w:id="0" w:name="_Hlk215392960"/>
      <w:r w:rsidRPr="007F16BE">
        <w:rPr>
          <w:rFonts w:ascii="Times New Roman" w:hAnsi="Times New Roman" w:cs="Times New Roman"/>
          <w:b/>
          <w:bCs/>
          <w:color w:val="FF0000"/>
          <w:sz w:val="20"/>
          <w:szCs w:val="20"/>
        </w:rPr>
        <w:t>Duckweed-Derived Magnetic Adsorbent for Efficient Removal of Methylene Blue</w:t>
      </w:r>
      <w:bookmarkEnd w:id="0"/>
    </w:p>
    <w:p w14:paraId="523DA434" w14:textId="77777777" w:rsidR="00EF7A4C" w:rsidRPr="006779F5" w:rsidRDefault="00EF7A4C" w:rsidP="00EF7A4C">
      <w:pPr>
        <w:spacing w:line="360" w:lineRule="auto"/>
        <w:jc w:val="both"/>
        <w:rPr>
          <w:rFonts w:ascii="Times New Roman" w:hAnsi="Times New Roman" w:cs="Times New Roman"/>
          <w:sz w:val="20"/>
          <w:szCs w:val="20"/>
          <w:vertAlign w:val="superscript"/>
          <w:lang w:val="en-US"/>
        </w:rPr>
      </w:pPr>
      <w:r w:rsidRPr="006779F5">
        <w:rPr>
          <w:rFonts w:ascii="Times New Roman" w:hAnsi="Times New Roman" w:cs="Times New Roman"/>
          <w:sz w:val="20"/>
          <w:szCs w:val="20"/>
          <w:lang w:val="en-US"/>
        </w:rPr>
        <w:t>Kelly Wong Kai Seng</w:t>
      </w:r>
      <w:r w:rsidRPr="006779F5">
        <w:rPr>
          <w:rFonts w:ascii="Times New Roman" w:hAnsi="Times New Roman" w:cs="Times New Roman"/>
          <w:sz w:val="20"/>
          <w:szCs w:val="20"/>
          <w:vertAlign w:val="superscript"/>
          <w:lang w:val="en-US"/>
        </w:rPr>
        <w:t>1</w:t>
      </w:r>
      <w:r w:rsidRPr="006779F5">
        <w:rPr>
          <w:rFonts w:ascii="Times New Roman" w:hAnsi="Times New Roman" w:cs="Times New Roman"/>
          <w:sz w:val="20"/>
          <w:szCs w:val="20"/>
          <w:lang w:val="en-US"/>
        </w:rPr>
        <w:t>, Alvin Lim Teik Zheng</w:t>
      </w:r>
      <w:r w:rsidRPr="006779F5">
        <w:rPr>
          <w:rFonts w:ascii="Times New Roman" w:hAnsi="Times New Roman" w:cs="Times New Roman"/>
          <w:sz w:val="20"/>
          <w:szCs w:val="20"/>
          <w:vertAlign w:val="superscript"/>
          <w:lang w:val="en-US"/>
        </w:rPr>
        <w:t>2,3*</w:t>
      </w:r>
      <w:r w:rsidRPr="006779F5">
        <w:rPr>
          <w:rFonts w:ascii="Times New Roman" w:hAnsi="Times New Roman" w:cs="Times New Roman"/>
          <w:sz w:val="20"/>
          <w:szCs w:val="20"/>
          <w:lang w:val="en-US"/>
        </w:rPr>
        <w:t>, Karen Bulan Jeffrey</w:t>
      </w:r>
      <w:r w:rsidRPr="006779F5">
        <w:rPr>
          <w:rFonts w:ascii="Times New Roman" w:hAnsi="Times New Roman" w:cs="Times New Roman"/>
          <w:sz w:val="20"/>
          <w:szCs w:val="20"/>
          <w:vertAlign w:val="superscript"/>
          <w:lang w:val="en-US"/>
        </w:rPr>
        <w:t>4</w:t>
      </w:r>
      <w:r w:rsidRPr="006779F5">
        <w:rPr>
          <w:rFonts w:ascii="Times New Roman" w:hAnsi="Times New Roman" w:cs="Times New Roman"/>
          <w:sz w:val="20"/>
          <w:szCs w:val="20"/>
          <w:lang w:val="en-US"/>
        </w:rPr>
        <w:t>, Tan Toh Hii</w:t>
      </w:r>
      <w:r w:rsidRPr="006779F5">
        <w:rPr>
          <w:rFonts w:ascii="Times New Roman" w:hAnsi="Times New Roman" w:cs="Times New Roman"/>
          <w:sz w:val="20"/>
          <w:szCs w:val="20"/>
          <w:vertAlign w:val="superscript"/>
          <w:lang w:val="en-US"/>
        </w:rPr>
        <w:t>5</w:t>
      </w:r>
      <w:r w:rsidRPr="006779F5">
        <w:rPr>
          <w:rFonts w:ascii="Times New Roman" w:hAnsi="Times New Roman" w:cs="Times New Roman"/>
          <w:sz w:val="20"/>
          <w:szCs w:val="20"/>
          <w:lang w:val="en-US"/>
        </w:rPr>
        <w:t>, Eric Lim Teik Chung</w:t>
      </w:r>
      <w:r w:rsidRPr="006779F5">
        <w:rPr>
          <w:rFonts w:ascii="Times New Roman" w:hAnsi="Times New Roman" w:cs="Times New Roman"/>
          <w:sz w:val="20"/>
          <w:szCs w:val="20"/>
          <w:vertAlign w:val="superscript"/>
          <w:lang w:val="en-US"/>
        </w:rPr>
        <w:t>6,7</w:t>
      </w:r>
      <w:r w:rsidRPr="006779F5">
        <w:rPr>
          <w:rFonts w:ascii="Times New Roman" w:hAnsi="Times New Roman" w:cs="Times New Roman"/>
          <w:sz w:val="20"/>
          <w:szCs w:val="20"/>
          <w:lang w:val="en-US"/>
        </w:rPr>
        <w:t xml:space="preserve"> Jacqueline Lease</w:t>
      </w:r>
      <w:r w:rsidRPr="006779F5">
        <w:rPr>
          <w:rFonts w:ascii="Times New Roman" w:hAnsi="Times New Roman" w:cs="Times New Roman"/>
          <w:sz w:val="20"/>
          <w:szCs w:val="20"/>
          <w:vertAlign w:val="superscript"/>
          <w:lang w:val="en-US"/>
        </w:rPr>
        <w:t>8</w:t>
      </w:r>
      <w:r w:rsidRPr="006779F5">
        <w:rPr>
          <w:rFonts w:ascii="Times New Roman" w:hAnsi="Times New Roman" w:cs="Times New Roman"/>
          <w:sz w:val="20"/>
          <w:szCs w:val="20"/>
          <w:lang w:val="en-US"/>
        </w:rPr>
        <w:t>, Yoshito Andou</w:t>
      </w:r>
      <w:r w:rsidRPr="006779F5">
        <w:rPr>
          <w:rFonts w:ascii="Times New Roman" w:hAnsi="Times New Roman" w:cs="Times New Roman"/>
          <w:sz w:val="20"/>
          <w:szCs w:val="20"/>
          <w:vertAlign w:val="superscript"/>
          <w:lang w:val="en-US"/>
        </w:rPr>
        <w:t>8,9</w:t>
      </w:r>
    </w:p>
    <w:p w14:paraId="21D15009" w14:textId="77777777" w:rsidR="00EF7A4C" w:rsidRPr="006779F5" w:rsidRDefault="00EF7A4C" w:rsidP="00EF7A4C">
      <w:pPr>
        <w:pStyle w:val="AffiliationStyle"/>
        <w:spacing w:line="360" w:lineRule="auto"/>
        <w:jc w:val="both"/>
        <w:rPr>
          <w:i w:val="0"/>
          <w:color w:val="000000" w:themeColor="text1"/>
          <w:sz w:val="20"/>
          <w:lang w:val="en-MY"/>
        </w:rPr>
      </w:pPr>
      <w:r w:rsidRPr="006779F5">
        <w:rPr>
          <w:i w:val="0"/>
          <w:iCs/>
          <w:color w:val="000000" w:themeColor="text1"/>
          <w:sz w:val="20"/>
          <w:vertAlign w:val="superscript"/>
          <w:lang w:val="en-US"/>
        </w:rPr>
        <w:t>1</w:t>
      </w:r>
      <w:r w:rsidRPr="006779F5">
        <w:rPr>
          <w:i w:val="0"/>
          <w:color w:val="000000" w:themeColor="text1"/>
          <w:sz w:val="20"/>
          <w:lang w:val="en-MY"/>
        </w:rPr>
        <w:t xml:space="preserve"> Department of Agribusiness and Bioresource Economics, Faculty of Agriculture, </w:t>
      </w:r>
      <w:proofErr w:type="spellStart"/>
      <w:r w:rsidRPr="006779F5">
        <w:rPr>
          <w:i w:val="0"/>
          <w:color w:val="000000" w:themeColor="text1"/>
          <w:sz w:val="20"/>
          <w:lang w:val="en-MY"/>
        </w:rPr>
        <w:t>Universiti</w:t>
      </w:r>
      <w:proofErr w:type="spellEnd"/>
      <w:r w:rsidRPr="006779F5">
        <w:rPr>
          <w:i w:val="0"/>
          <w:color w:val="000000" w:themeColor="text1"/>
          <w:sz w:val="20"/>
          <w:lang w:val="en-MY"/>
        </w:rPr>
        <w:t xml:space="preserve"> Putra Malaysia, Serdang 43400, Malaysia </w:t>
      </w:r>
    </w:p>
    <w:p w14:paraId="75F82762" w14:textId="7E419C57" w:rsidR="00EF7A4C" w:rsidRPr="006779F5" w:rsidRDefault="00EF7A4C" w:rsidP="00EF7A4C">
      <w:pPr>
        <w:pStyle w:val="AffiliationStyle"/>
        <w:spacing w:line="360" w:lineRule="auto"/>
        <w:jc w:val="both"/>
        <w:rPr>
          <w:i w:val="0"/>
          <w:color w:val="000000" w:themeColor="text1"/>
          <w:sz w:val="20"/>
          <w:lang w:val="en-MY"/>
        </w:rPr>
      </w:pPr>
      <w:r w:rsidRPr="006779F5">
        <w:rPr>
          <w:i w:val="0"/>
          <w:iCs/>
          <w:color w:val="000000" w:themeColor="text1"/>
          <w:sz w:val="20"/>
          <w:vertAlign w:val="superscript"/>
        </w:rPr>
        <w:t xml:space="preserve">2 </w:t>
      </w:r>
      <w:r w:rsidRPr="006779F5">
        <w:rPr>
          <w:i w:val="0"/>
          <w:iCs/>
          <w:color w:val="000000" w:themeColor="text1"/>
          <w:sz w:val="20"/>
        </w:rPr>
        <w:t xml:space="preserve">Institute of </w:t>
      </w:r>
      <w:proofErr w:type="spellStart"/>
      <w:r w:rsidRPr="006779F5">
        <w:rPr>
          <w:i w:val="0"/>
          <w:iCs/>
          <w:color w:val="000000" w:themeColor="text1"/>
          <w:sz w:val="20"/>
        </w:rPr>
        <w:t>Ecoscience</w:t>
      </w:r>
      <w:proofErr w:type="spellEnd"/>
      <w:r w:rsidRPr="006779F5">
        <w:rPr>
          <w:i w:val="0"/>
          <w:iCs/>
          <w:color w:val="000000" w:themeColor="text1"/>
          <w:sz w:val="20"/>
        </w:rPr>
        <w:t xml:space="preserve"> Borneo, </w:t>
      </w:r>
      <w:proofErr w:type="spellStart"/>
      <w:r w:rsidRPr="006779F5">
        <w:rPr>
          <w:i w:val="0"/>
          <w:color w:val="000000" w:themeColor="text1"/>
          <w:sz w:val="20"/>
          <w:lang w:val="en-MY"/>
        </w:rPr>
        <w:t>Universiti</w:t>
      </w:r>
      <w:proofErr w:type="spellEnd"/>
      <w:r w:rsidRPr="006779F5">
        <w:rPr>
          <w:i w:val="0"/>
          <w:color w:val="000000" w:themeColor="text1"/>
          <w:sz w:val="20"/>
          <w:lang w:val="en-MY"/>
        </w:rPr>
        <w:t xml:space="preserve"> Putra Malaysia </w:t>
      </w:r>
      <w:r w:rsidR="003228FB" w:rsidRPr="003228FB">
        <w:rPr>
          <w:i w:val="0"/>
          <w:color w:val="000000" w:themeColor="text1"/>
          <w:sz w:val="20"/>
          <w:lang w:val="en-MY"/>
        </w:rPr>
        <w:t>Sarawak</w:t>
      </w:r>
      <w:r w:rsidRPr="006779F5">
        <w:rPr>
          <w:i w:val="0"/>
          <w:color w:val="000000" w:themeColor="text1"/>
          <w:sz w:val="20"/>
          <w:lang w:val="en-MY"/>
        </w:rPr>
        <w:t>, Bintulu 97008, Sarawak, Malaysia</w:t>
      </w:r>
    </w:p>
    <w:p w14:paraId="4C0BCAB2" w14:textId="581CA2C7" w:rsidR="00EF7A4C" w:rsidRPr="006779F5" w:rsidRDefault="00EF7A4C" w:rsidP="00EF7A4C">
      <w:pPr>
        <w:pStyle w:val="AffiliationStyle"/>
        <w:spacing w:line="360" w:lineRule="auto"/>
        <w:jc w:val="both"/>
        <w:rPr>
          <w:i w:val="0"/>
          <w:color w:val="000000" w:themeColor="text1"/>
          <w:sz w:val="20"/>
          <w:lang w:val="en-MY"/>
        </w:rPr>
      </w:pPr>
      <w:r w:rsidRPr="006779F5">
        <w:rPr>
          <w:i w:val="0"/>
          <w:color w:val="000000" w:themeColor="text1"/>
          <w:sz w:val="20"/>
          <w:vertAlign w:val="superscript"/>
          <w:lang w:val="en-MY"/>
        </w:rPr>
        <w:t xml:space="preserve">3 </w:t>
      </w:r>
      <w:r w:rsidRPr="006779F5">
        <w:rPr>
          <w:i w:val="0"/>
          <w:color w:val="000000" w:themeColor="text1"/>
          <w:sz w:val="20"/>
          <w:lang w:val="en-MY"/>
        </w:rPr>
        <w:t xml:space="preserve">Department of Science and Technology, Faculty of Humanities, Management and Science, </w:t>
      </w:r>
      <w:proofErr w:type="spellStart"/>
      <w:r w:rsidRPr="006779F5">
        <w:rPr>
          <w:i w:val="0"/>
          <w:color w:val="000000" w:themeColor="text1"/>
          <w:sz w:val="20"/>
          <w:lang w:val="en-MY"/>
        </w:rPr>
        <w:t>Universiti</w:t>
      </w:r>
      <w:proofErr w:type="spellEnd"/>
      <w:r w:rsidRPr="006779F5">
        <w:rPr>
          <w:i w:val="0"/>
          <w:color w:val="000000" w:themeColor="text1"/>
          <w:sz w:val="20"/>
          <w:lang w:val="en-MY"/>
        </w:rPr>
        <w:t xml:space="preserve"> Putra Malaysia </w:t>
      </w:r>
      <w:r w:rsidR="003228FB" w:rsidRPr="003228FB">
        <w:rPr>
          <w:i w:val="0"/>
          <w:color w:val="000000" w:themeColor="text1"/>
          <w:sz w:val="20"/>
          <w:lang w:val="en-MY"/>
        </w:rPr>
        <w:t>Sarawak</w:t>
      </w:r>
      <w:r w:rsidRPr="006779F5">
        <w:rPr>
          <w:i w:val="0"/>
          <w:color w:val="000000" w:themeColor="text1"/>
          <w:sz w:val="20"/>
          <w:lang w:val="en-MY"/>
        </w:rPr>
        <w:t>, Bintulu 97008, Sarawak, Malaysia</w:t>
      </w:r>
    </w:p>
    <w:p w14:paraId="7B6BDE4F" w14:textId="77777777" w:rsidR="00EF7A4C" w:rsidRPr="006779F5" w:rsidRDefault="00EF7A4C" w:rsidP="00EF7A4C">
      <w:pPr>
        <w:pStyle w:val="AffiliationStyle"/>
        <w:spacing w:line="360" w:lineRule="auto"/>
        <w:jc w:val="both"/>
        <w:rPr>
          <w:i w:val="0"/>
          <w:sz w:val="20"/>
          <w:lang w:val="en-MY"/>
        </w:rPr>
      </w:pPr>
      <w:r w:rsidRPr="006779F5">
        <w:rPr>
          <w:i w:val="0"/>
          <w:iCs/>
          <w:sz w:val="20"/>
          <w:vertAlign w:val="superscript"/>
        </w:rPr>
        <w:t xml:space="preserve">4 </w:t>
      </w:r>
      <w:r w:rsidRPr="006779F5">
        <w:rPr>
          <w:i w:val="0"/>
          <w:sz w:val="20"/>
          <w:lang w:val="en-MY"/>
        </w:rPr>
        <w:t xml:space="preserve">Department of Chemistry, Faculty of Resource Science and Technology, </w:t>
      </w:r>
      <w:proofErr w:type="spellStart"/>
      <w:r w:rsidRPr="006779F5">
        <w:rPr>
          <w:i w:val="0"/>
          <w:sz w:val="20"/>
          <w:lang w:val="en-MY"/>
        </w:rPr>
        <w:t>Universiti</w:t>
      </w:r>
      <w:proofErr w:type="spellEnd"/>
      <w:r w:rsidRPr="006779F5">
        <w:rPr>
          <w:i w:val="0"/>
          <w:sz w:val="20"/>
          <w:lang w:val="en-MY"/>
        </w:rPr>
        <w:t xml:space="preserve"> Malaysia Sarawak, Kota </w:t>
      </w:r>
      <w:proofErr w:type="spellStart"/>
      <w:r w:rsidRPr="006779F5">
        <w:rPr>
          <w:i w:val="0"/>
          <w:sz w:val="20"/>
          <w:lang w:val="en-MY"/>
        </w:rPr>
        <w:t>Samarahan</w:t>
      </w:r>
      <w:proofErr w:type="spellEnd"/>
      <w:r w:rsidRPr="006779F5">
        <w:rPr>
          <w:i w:val="0"/>
          <w:sz w:val="20"/>
          <w:lang w:val="en-MY"/>
        </w:rPr>
        <w:t xml:space="preserve"> 94300, Sarawak, Malaysia</w:t>
      </w:r>
    </w:p>
    <w:p w14:paraId="743C801F" w14:textId="66CCD78E" w:rsidR="00EF7A4C" w:rsidRPr="006779F5" w:rsidRDefault="00EF7A4C" w:rsidP="00EF7A4C">
      <w:pPr>
        <w:pStyle w:val="AffiliationStyle"/>
        <w:spacing w:line="360" w:lineRule="auto"/>
        <w:jc w:val="both"/>
        <w:rPr>
          <w:i w:val="0"/>
          <w:color w:val="000000" w:themeColor="text1"/>
          <w:sz w:val="20"/>
          <w:lang w:val="en-MY"/>
        </w:rPr>
      </w:pPr>
      <w:r w:rsidRPr="006779F5">
        <w:rPr>
          <w:i w:val="0"/>
          <w:color w:val="000000" w:themeColor="text1"/>
          <w:sz w:val="20"/>
          <w:vertAlign w:val="superscript"/>
          <w:lang w:val="en-MY"/>
        </w:rPr>
        <w:t xml:space="preserve">5 </w:t>
      </w:r>
      <w:r w:rsidRPr="006779F5">
        <w:rPr>
          <w:i w:val="0"/>
          <w:color w:val="000000" w:themeColor="text1"/>
          <w:sz w:val="20"/>
          <w:lang w:val="en-MY"/>
        </w:rPr>
        <w:t xml:space="preserve">Department of Animal Science and Fisheries, Faculty of Agricultural and Forestry Sciences, </w:t>
      </w:r>
      <w:proofErr w:type="spellStart"/>
      <w:r w:rsidRPr="006779F5">
        <w:rPr>
          <w:i w:val="0"/>
          <w:color w:val="000000" w:themeColor="text1"/>
          <w:sz w:val="20"/>
          <w:lang w:val="en-MY"/>
        </w:rPr>
        <w:t>Universiti</w:t>
      </w:r>
      <w:proofErr w:type="spellEnd"/>
      <w:r w:rsidRPr="006779F5">
        <w:rPr>
          <w:i w:val="0"/>
          <w:color w:val="000000" w:themeColor="text1"/>
          <w:sz w:val="20"/>
          <w:lang w:val="en-MY"/>
        </w:rPr>
        <w:t xml:space="preserve"> Putra Malaysia </w:t>
      </w:r>
      <w:r w:rsidR="003228FB" w:rsidRPr="003228FB">
        <w:rPr>
          <w:i w:val="0"/>
          <w:color w:val="000000" w:themeColor="text1"/>
          <w:sz w:val="20"/>
          <w:lang w:val="en-MY"/>
        </w:rPr>
        <w:t>Sarawak</w:t>
      </w:r>
      <w:r w:rsidRPr="006779F5">
        <w:rPr>
          <w:i w:val="0"/>
          <w:color w:val="000000" w:themeColor="text1"/>
          <w:sz w:val="20"/>
          <w:lang w:val="en-MY"/>
        </w:rPr>
        <w:t>, Bintulu 97008, Sarawak, Malaysia</w:t>
      </w:r>
    </w:p>
    <w:p w14:paraId="500C162E" w14:textId="77777777" w:rsidR="00EF7A4C" w:rsidRPr="006779F5" w:rsidRDefault="00EF7A4C" w:rsidP="00EF7A4C">
      <w:pPr>
        <w:pStyle w:val="AffiliationStyle"/>
        <w:spacing w:line="360" w:lineRule="auto"/>
        <w:jc w:val="both"/>
        <w:rPr>
          <w:i w:val="0"/>
          <w:color w:val="000000" w:themeColor="text1"/>
          <w:sz w:val="20"/>
          <w:lang w:val="en-MY"/>
        </w:rPr>
      </w:pPr>
      <w:r w:rsidRPr="006779F5">
        <w:rPr>
          <w:i w:val="0"/>
          <w:iCs/>
          <w:color w:val="000000" w:themeColor="text1"/>
          <w:sz w:val="20"/>
          <w:vertAlign w:val="superscript"/>
          <w:lang w:val="en-MY"/>
        </w:rPr>
        <w:t xml:space="preserve">6 </w:t>
      </w:r>
      <w:r w:rsidRPr="006779F5">
        <w:rPr>
          <w:i w:val="0"/>
          <w:color w:val="000000" w:themeColor="text1"/>
          <w:sz w:val="20"/>
          <w:lang w:val="en-MY"/>
        </w:rPr>
        <w:t xml:space="preserve">Department of Animal Science, Faculty of Agriculture, </w:t>
      </w:r>
      <w:proofErr w:type="spellStart"/>
      <w:r w:rsidRPr="006779F5">
        <w:rPr>
          <w:i w:val="0"/>
          <w:color w:val="000000" w:themeColor="text1"/>
          <w:sz w:val="20"/>
          <w:lang w:val="en-MY"/>
        </w:rPr>
        <w:t>Universiti</w:t>
      </w:r>
      <w:proofErr w:type="spellEnd"/>
      <w:r w:rsidRPr="006779F5">
        <w:rPr>
          <w:i w:val="0"/>
          <w:color w:val="000000" w:themeColor="text1"/>
          <w:sz w:val="20"/>
          <w:lang w:val="en-MY"/>
        </w:rPr>
        <w:t xml:space="preserve"> Putra Malaysia, Serdang 43400, Malaysia </w:t>
      </w:r>
    </w:p>
    <w:p w14:paraId="7ABBB25B" w14:textId="77777777" w:rsidR="00EF7A4C" w:rsidRPr="006779F5" w:rsidRDefault="00EF7A4C" w:rsidP="00EF7A4C">
      <w:pPr>
        <w:pStyle w:val="AffiliationStyle"/>
        <w:spacing w:line="360" w:lineRule="auto"/>
        <w:jc w:val="both"/>
        <w:rPr>
          <w:i w:val="0"/>
          <w:color w:val="000000" w:themeColor="text1"/>
          <w:sz w:val="20"/>
          <w:lang w:val="en-MY"/>
        </w:rPr>
      </w:pPr>
      <w:r w:rsidRPr="006779F5">
        <w:rPr>
          <w:i w:val="0"/>
          <w:color w:val="000000" w:themeColor="text1"/>
          <w:sz w:val="20"/>
          <w:vertAlign w:val="superscript"/>
          <w:lang w:val="en-MY"/>
        </w:rPr>
        <w:t xml:space="preserve">7 </w:t>
      </w:r>
      <w:r w:rsidRPr="006779F5">
        <w:rPr>
          <w:i w:val="0"/>
          <w:color w:val="000000" w:themeColor="text1"/>
          <w:sz w:val="20"/>
          <w:lang w:val="en-MY"/>
        </w:rPr>
        <w:t xml:space="preserve">Institute of Tropical Agriculture and Food Security, </w:t>
      </w:r>
      <w:proofErr w:type="spellStart"/>
      <w:r w:rsidRPr="006779F5">
        <w:rPr>
          <w:i w:val="0"/>
          <w:color w:val="000000" w:themeColor="text1"/>
          <w:sz w:val="20"/>
          <w:lang w:val="en-MY"/>
        </w:rPr>
        <w:t>Universiti</w:t>
      </w:r>
      <w:proofErr w:type="spellEnd"/>
      <w:r w:rsidRPr="006779F5">
        <w:rPr>
          <w:i w:val="0"/>
          <w:color w:val="000000" w:themeColor="text1"/>
          <w:sz w:val="20"/>
          <w:lang w:val="en-MY"/>
        </w:rPr>
        <w:t xml:space="preserve"> Putra Malaysia, Serdang 43400, Malaysia</w:t>
      </w:r>
    </w:p>
    <w:p w14:paraId="0DB6507C" w14:textId="77777777" w:rsidR="00EF7A4C" w:rsidRPr="006779F5" w:rsidRDefault="00EF7A4C" w:rsidP="00EF7A4C">
      <w:pPr>
        <w:pStyle w:val="AffiliationStyle"/>
        <w:spacing w:line="360" w:lineRule="auto"/>
        <w:jc w:val="both"/>
        <w:rPr>
          <w:i w:val="0"/>
          <w:color w:val="000000" w:themeColor="text1"/>
          <w:sz w:val="20"/>
          <w:lang w:val="en-MY"/>
        </w:rPr>
      </w:pPr>
      <w:r w:rsidRPr="006779F5">
        <w:rPr>
          <w:i w:val="0"/>
          <w:iCs/>
          <w:color w:val="000000" w:themeColor="text1"/>
          <w:sz w:val="20"/>
          <w:vertAlign w:val="superscript"/>
        </w:rPr>
        <w:t xml:space="preserve">8 </w:t>
      </w:r>
      <w:r w:rsidRPr="006779F5">
        <w:rPr>
          <w:i w:val="0"/>
          <w:color w:val="000000" w:themeColor="text1"/>
          <w:sz w:val="20"/>
          <w:lang w:val="en-MY"/>
        </w:rPr>
        <w:t>Graduate School of Life Sciences and Systems Engineering, Kyushu Institute of Technology, Fukuoka 808-0196, Japan</w:t>
      </w:r>
    </w:p>
    <w:p w14:paraId="263A6F9A" w14:textId="77777777" w:rsidR="00EF7A4C" w:rsidRPr="006779F5" w:rsidRDefault="00EF7A4C" w:rsidP="00EF7A4C">
      <w:pPr>
        <w:pStyle w:val="AffiliationStyle"/>
        <w:spacing w:line="360" w:lineRule="auto"/>
        <w:jc w:val="both"/>
        <w:rPr>
          <w:i w:val="0"/>
          <w:iCs/>
          <w:color w:val="000000" w:themeColor="text1"/>
          <w:sz w:val="20"/>
          <w:lang w:val="en-MY"/>
        </w:rPr>
      </w:pPr>
      <w:r w:rsidRPr="006779F5">
        <w:rPr>
          <w:i w:val="0"/>
          <w:iCs/>
          <w:color w:val="000000" w:themeColor="text1"/>
          <w:sz w:val="20"/>
          <w:vertAlign w:val="superscript"/>
          <w:lang w:val="en-MY"/>
        </w:rPr>
        <w:t>9</w:t>
      </w:r>
      <w:r w:rsidRPr="006779F5">
        <w:rPr>
          <w:i w:val="0"/>
          <w:iCs/>
          <w:color w:val="000000" w:themeColor="text1"/>
          <w:sz w:val="20"/>
          <w:vertAlign w:val="superscript"/>
        </w:rPr>
        <w:t xml:space="preserve"> </w:t>
      </w:r>
      <w:r w:rsidRPr="006779F5">
        <w:rPr>
          <w:i w:val="0"/>
          <w:iCs/>
          <w:color w:val="000000" w:themeColor="text1"/>
          <w:sz w:val="20"/>
          <w:lang w:eastAsia="en-MY"/>
        </w:rPr>
        <w:t xml:space="preserve">Collaborative Research Centre for Green Materials on Environmental Technology, </w:t>
      </w:r>
      <w:r w:rsidRPr="006779F5">
        <w:rPr>
          <w:i w:val="0"/>
          <w:iCs/>
          <w:color w:val="000000" w:themeColor="text1"/>
          <w:sz w:val="20"/>
          <w:shd w:val="clear" w:color="auto" w:fill="FFFFFF"/>
        </w:rPr>
        <w:t>Kyushu Institute of Technology, Fukuoka 808-0196, Japan</w:t>
      </w:r>
      <w:r w:rsidRPr="006779F5">
        <w:rPr>
          <w:i w:val="0"/>
          <w:iCs/>
          <w:color w:val="000000" w:themeColor="text1"/>
          <w:sz w:val="20"/>
          <w:lang w:val="en-MY"/>
        </w:rPr>
        <w:t xml:space="preserve"> </w:t>
      </w:r>
    </w:p>
    <w:p w14:paraId="2AD83685" w14:textId="77777777" w:rsidR="00EF7A4C" w:rsidRPr="006779F5" w:rsidRDefault="00EF7A4C" w:rsidP="00EF7A4C">
      <w:pPr>
        <w:pStyle w:val="AffiliationStyle"/>
        <w:spacing w:line="360" w:lineRule="auto"/>
        <w:jc w:val="both"/>
        <w:rPr>
          <w:i w:val="0"/>
          <w:iCs/>
          <w:color w:val="000000" w:themeColor="text1"/>
          <w:sz w:val="20"/>
          <w:lang w:val="en-MY"/>
        </w:rPr>
      </w:pPr>
    </w:p>
    <w:p w14:paraId="43B06269" w14:textId="77777777" w:rsidR="00EF7A4C" w:rsidRPr="006779F5" w:rsidRDefault="00EF7A4C" w:rsidP="00EF7A4C">
      <w:pPr>
        <w:spacing w:after="0" w:line="360" w:lineRule="auto"/>
        <w:jc w:val="both"/>
        <w:rPr>
          <w:rFonts w:ascii="Times New Roman" w:hAnsi="Times New Roman" w:cs="Times New Roman"/>
          <w:sz w:val="20"/>
          <w:szCs w:val="20"/>
        </w:rPr>
      </w:pPr>
      <w:r w:rsidRPr="006779F5">
        <w:rPr>
          <w:rFonts w:ascii="Times New Roman" w:hAnsi="Times New Roman" w:cs="Times New Roman"/>
          <w:sz w:val="20"/>
          <w:szCs w:val="20"/>
        </w:rPr>
        <w:t xml:space="preserve">* Corresponding author, Email address: </w:t>
      </w:r>
      <w:r w:rsidRPr="006779F5">
        <w:rPr>
          <w:rFonts w:ascii="Times New Roman" w:hAnsi="Times New Roman" w:cs="Times New Roman"/>
          <w:sz w:val="20"/>
          <w:szCs w:val="20"/>
          <w:lang w:val="en-US"/>
        </w:rPr>
        <w:t>Alvin Lim Teik Zheng</w:t>
      </w:r>
      <w:r w:rsidRPr="006779F5">
        <w:rPr>
          <w:rFonts w:ascii="Times New Roman" w:hAnsi="Times New Roman" w:cs="Times New Roman"/>
          <w:sz w:val="20"/>
          <w:szCs w:val="20"/>
        </w:rPr>
        <w:t xml:space="preserve"> (</w:t>
      </w:r>
      <w:hyperlink r:id="rId4" w:history="1">
        <w:r w:rsidRPr="006779F5">
          <w:rPr>
            <w:rStyle w:val="Hyperlink"/>
            <w:rFonts w:ascii="Times New Roman" w:hAnsi="Times New Roman" w:cs="Times New Roman"/>
            <w:color w:val="auto"/>
            <w:sz w:val="20"/>
            <w:szCs w:val="20"/>
          </w:rPr>
          <w:t>alvinltz@upm.edu.my</w:t>
        </w:r>
      </w:hyperlink>
      <w:r w:rsidRPr="006779F5">
        <w:rPr>
          <w:rFonts w:ascii="Times New Roman" w:hAnsi="Times New Roman" w:cs="Times New Roman"/>
          <w:sz w:val="20"/>
          <w:szCs w:val="20"/>
        </w:rPr>
        <w:t>)</w:t>
      </w:r>
    </w:p>
    <w:p w14:paraId="60BC24AB" w14:textId="77777777" w:rsidR="00EF7A4C" w:rsidRPr="006779F5" w:rsidRDefault="00EF7A4C" w:rsidP="00EF7A4C">
      <w:pPr>
        <w:spacing w:line="360" w:lineRule="auto"/>
        <w:jc w:val="both"/>
        <w:rPr>
          <w:rFonts w:ascii="Times New Roman" w:hAnsi="Times New Roman" w:cs="Times New Roman"/>
          <w:color w:val="FF0000"/>
          <w:sz w:val="20"/>
          <w:szCs w:val="20"/>
        </w:rPr>
      </w:pPr>
    </w:p>
    <w:p w14:paraId="2CD79BC0" w14:textId="77777777" w:rsidR="00EF7A4C" w:rsidRPr="006779F5" w:rsidRDefault="00EF7A4C" w:rsidP="00EF7A4C">
      <w:pPr>
        <w:spacing w:line="360" w:lineRule="auto"/>
        <w:jc w:val="center"/>
        <w:rPr>
          <w:rFonts w:ascii="Times New Roman" w:hAnsi="Times New Roman" w:cs="Times New Roman"/>
          <w:b/>
          <w:bCs/>
          <w:color w:val="FF0000"/>
          <w:sz w:val="20"/>
          <w:szCs w:val="20"/>
        </w:rPr>
      </w:pPr>
      <w:r w:rsidRPr="006779F5">
        <w:rPr>
          <w:rFonts w:ascii="Times New Roman" w:hAnsi="Times New Roman" w:cs="Times New Roman"/>
          <w:b/>
          <w:bCs/>
          <w:color w:val="FF0000"/>
          <w:sz w:val="20"/>
          <w:szCs w:val="20"/>
        </w:rPr>
        <w:t>Supplementary Materials</w:t>
      </w:r>
    </w:p>
    <w:p w14:paraId="667ED03E" w14:textId="77777777" w:rsidR="00EF7A4C" w:rsidRPr="006779F5" w:rsidRDefault="00EF7A4C" w:rsidP="00EF7A4C">
      <w:pPr>
        <w:spacing w:line="360" w:lineRule="auto"/>
        <w:jc w:val="center"/>
        <w:rPr>
          <w:rFonts w:ascii="Times New Roman" w:hAnsi="Times New Roman" w:cs="Times New Roman"/>
          <w:color w:val="FF0000"/>
          <w:sz w:val="20"/>
          <w:szCs w:val="20"/>
        </w:rPr>
      </w:pPr>
    </w:p>
    <w:p w14:paraId="2A07BCE8" w14:textId="77777777" w:rsidR="00EF7A4C" w:rsidRPr="006779F5" w:rsidRDefault="00EF7A4C" w:rsidP="00EF7A4C">
      <w:pPr>
        <w:shd w:val="clear" w:color="auto" w:fill="FFFFFF"/>
        <w:spacing w:line="360" w:lineRule="auto"/>
        <w:jc w:val="both"/>
        <w:rPr>
          <w:rFonts w:ascii="Times New Roman" w:hAnsi="Times New Roman" w:cs="Times New Roman"/>
          <w:i/>
          <w:iCs/>
          <w:color w:val="FF0000"/>
          <w:sz w:val="20"/>
          <w:szCs w:val="20"/>
        </w:rPr>
      </w:pPr>
      <w:r w:rsidRPr="006779F5">
        <w:rPr>
          <w:rFonts w:ascii="Times New Roman" w:hAnsi="Times New Roman" w:cs="Times New Roman"/>
          <w:i/>
          <w:iCs/>
          <w:color w:val="FF0000"/>
          <w:sz w:val="20"/>
          <w:szCs w:val="20"/>
        </w:rPr>
        <w:t>2.4.1 Kinetic studies</w:t>
      </w:r>
    </w:p>
    <w:p w14:paraId="05E6D6B8"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 xml:space="preserve">To evaluate the adsorption </w:t>
      </w:r>
      <w:proofErr w:type="spellStart"/>
      <w:r w:rsidRPr="006779F5">
        <w:rPr>
          <w:rFonts w:ascii="Times New Roman" w:hAnsi="Times New Roman" w:cs="Times New Roman"/>
          <w:color w:val="FF0000"/>
          <w:sz w:val="20"/>
          <w:szCs w:val="20"/>
        </w:rPr>
        <w:t>behavior</w:t>
      </w:r>
      <w:proofErr w:type="spellEnd"/>
      <w:r w:rsidRPr="006779F5">
        <w:rPr>
          <w:rFonts w:ascii="Times New Roman" w:hAnsi="Times New Roman" w:cs="Times New Roman"/>
          <w:color w:val="FF0000"/>
          <w:sz w:val="20"/>
          <w:szCs w:val="20"/>
        </w:rPr>
        <w:t xml:space="preserve"> of methylene blue (MB), three kinetic models were applied: pseudo-first-order (PFO), pseudo-second-order (PSO), and the </w:t>
      </w:r>
      <w:proofErr w:type="spellStart"/>
      <w:r w:rsidRPr="006779F5">
        <w:rPr>
          <w:rFonts w:ascii="Times New Roman" w:hAnsi="Times New Roman" w:cs="Times New Roman"/>
          <w:color w:val="FF0000"/>
          <w:sz w:val="20"/>
          <w:szCs w:val="20"/>
        </w:rPr>
        <w:t>Elovich</w:t>
      </w:r>
      <w:proofErr w:type="spellEnd"/>
      <w:r w:rsidRPr="006779F5">
        <w:rPr>
          <w:rFonts w:ascii="Times New Roman" w:hAnsi="Times New Roman" w:cs="Times New Roman"/>
          <w:color w:val="FF0000"/>
          <w:sz w:val="20"/>
          <w:szCs w:val="20"/>
        </w:rPr>
        <w:t xml:space="preserve"> model. Each model interprets the adsorption process based on distinct kinetic assumptions. The pseudo-first-order model (PFO) suggests that the adsorption rate is directly proportional to the number of unoccupied sites, typically governed by diffusion in the solid-liquid phase. It is mathematically represented in linear form as:</w:t>
      </w:r>
    </w:p>
    <w:p w14:paraId="03C7FA6F"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The PFO model:</w:t>
      </w:r>
    </w:p>
    <w:p w14:paraId="29DF2089" w14:textId="77777777" w:rsidR="00EF7A4C" w:rsidRPr="006779F5" w:rsidRDefault="00EF7A4C" w:rsidP="00EF7A4C">
      <w:pPr>
        <w:shd w:val="clear" w:color="auto" w:fill="FFFFFF"/>
        <w:spacing w:line="360" w:lineRule="auto"/>
        <w:ind w:left="2160" w:firstLine="720"/>
        <w:jc w:val="both"/>
        <w:rPr>
          <w:rFonts w:ascii="Times New Roman" w:hAnsi="Times New Roman" w:cs="Times New Roman"/>
          <w:color w:val="FF0000"/>
          <w:sz w:val="20"/>
          <w:szCs w:val="20"/>
        </w:rPr>
      </w:pPr>
      <m:oMath>
        <m:r>
          <w:rPr>
            <w:rFonts w:ascii="Cambria Math" w:hAnsi="Cambria Math" w:cs="Times New Roman"/>
            <w:color w:val="FF0000"/>
            <w:sz w:val="20"/>
            <w:szCs w:val="20"/>
          </w:rPr>
          <m:t xml:space="preserve">In </m:t>
        </m:r>
        <m:d>
          <m:dPr>
            <m:ctrlPr>
              <w:rPr>
                <w:rFonts w:ascii="Cambria Math" w:hAnsi="Cambria Math" w:cs="Times New Roman"/>
                <w:i/>
                <w:color w:val="FF0000"/>
                <w:sz w:val="20"/>
                <w:szCs w:val="20"/>
              </w:rPr>
            </m:ctrlPr>
          </m:dPr>
          <m:e>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e</m:t>
                </m:r>
              </m:sub>
            </m:sSub>
            <m:r>
              <w:rPr>
                <w:rFonts w:ascii="Cambria Math" w:hAnsi="Cambria Math" w:cs="Times New Roman"/>
                <w:color w:val="FF0000"/>
                <w:sz w:val="20"/>
                <w:szCs w:val="20"/>
              </w:rPr>
              <m:t xml:space="preserve">-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t</m:t>
                </m:r>
              </m:sub>
            </m:sSub>
          </m:e>
        </m:d>
        <m:r>
          <w:rPr>
            <w:rFonts w:ascii="Cambria Math" w:hAnsi="Cambria Math" w:cs="Times New Roman"/>
            <w:color w:val="FF0000"/>
            <w:sz w:val="20"/>
            <w:szCs w:val="20"/>
          </w:rPr>
          <m:t xml:space="preserve">=In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e</m:t>
            </m:r>
          </m:sub>
        </m:sSub>
        <m:r>
          <w:rPr>
            <w:rFonts w:ascii="Cambria Math" w:hAnsi="Cambria Math" w:cs="Times New Roman"/>
            <w:color w:val="FF0000"/>
            <w:sz w:val="20"/>
            <w:szCs w:val="20"/>
          </w:rPr>
          <m:t xml:space="preserve">-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K</m:t>
            </m:r>
          </m:e>
          <m:sub>
            <m:r>
              <w:rPr>
                <w:rFonts w:ascii="Cambria Math" w:hAnsi="Cambria Math" w:cs="Times New Roman"/>
                <w:color w:val="FF0000"/>
                <w:sz w:val="20"/>
                <w:szCs w:val="20"/>
              </w:rPr>
              <m:t>1</m:t>
            </m:r>
          </m:sub>
        </m:sSub>
        <m:r>
          <w:rPr>
            <w:rFonts w:ascii="Cambria Math" w:hAnsi="Cambria Math" w:cs="Times New Roman"/>
            <w:color w:val="FF0000"/>
            <w:sz w:val="20"/>
            <w:szCs w:val="20"/>
          </w:rPr>
          <m:t>t</m:t>
        </m:r>
      </m:oMath>
      <w:r w:rsidRPr="006779F5">
        <w:rPr>
          <w:rFonts w:ascii="Times New Roman" w:eastAsiaTheme="minorEastAsia" w:hAnsi="Times New Roman" w:cs="Times New Roman"/>
          <w:color w:val="FF0000"/>
          <w:sz w:val="20"/>
          <w:szCs w:val="20"/>
        </w:rPr>
        <w:t xml:space="preserve">  </w:t>
      </w:r>
      <w:r w:rsidRPr="006779F5">
        <w:rPr>
          <w:rFonts w:ascii="Times New Roman" w:eastAsiaTheme="minorEastAsia" w:hAnsi="Times New Roman" w:cs="Times New Roman"/>
          <w:color w:val="FF0000"/>
          <w:sz w:val="20"/>
          <w:szCs w:val="20"/>
        </w:rPr>
        <w:tab/>
        <w:t>(3)</w:t>
      </w:r>
    </w:p>
    <w:p w14:paraId="6FEFE1B0"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The pseudo-second-order model (PSO), on the other hand, assumes that the rate-limiting step involves chemisorption, where the adsorption process is controlled by valency forces through sharing or exchange of electrons between the adsorbent and adsorbate. The linear form of the PSO model is given by:</w:t>
      </w:r>
    </w:p>
    <w:p w14:paraId="60B2066F"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lastRenderedPageBreak/>
        <w:t>The PSO model:</w:t>
      </w:r>
    </w:p>
    <w:p w14:paraId="28ADC6F0" w14:textId="77777777" w:rsidR="00EF7A4C" w:rsidRPr="006779F5" w:rsidRDefault="00000000" w:rsidP="00EF7A4C">
      <w:pPr>
        <w:shd w:val="clear" w:color="auto" w:fill="FFFFFF"/>
        <w:spacing w:before="120" w:line="360" w:lineRule="auto"/>
        <w:ind w:left="2880" w:firstLine="720"/>
        <w:jc w:val="both"/>
        <w:textAlignment w:val="center"/>
        <w:rPr>
          <w:rFonts w:ascii="Times New Roman" w:eastAsiaTheme="minorEastAsia" w:hAnsi="Times New Roman" w:cs="Times New Roman"/>
          <w:color w:val="FF0000"/>
          <w:sz w:val="20"/>
          <w:szCs w:val="20"/>
        </w:rPr>
      </w:pPr>
      <m:oMath>
        <m:f>
          <m:fPr>
            <m:ctrlPr>
              <w:rPr>
                <w:rFonts w:ascii="Cambria Math" w:hAnsi="Cambria Math" w:cs="Times New Roman"/>
                <w:i/>
                <w:color w:val="FF0000"/>
                <w:sz w:val="20"/>
                <w:szCs w:val="20"/>
              </w:rPr>
            </m:ctrlPr>
          </m:fPr>
          <m:num>
            <m:r>
              <w:rPr>
                <w:rFonts w:ascii="Cambria Math" w:hAnsi="Cambria Math" w:cs="Times New Roman"/>
                <w:color w:val="FF0000"/>
                <w:sz w:val="20"/>
                <w:szCs w:val="20"/>
              </w:rPr>
              <m:t>1</m:t>
            </m:r>
          </m:num>
          <m:den>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t</m:t>
                </m:r>
              </m:sub>
            </m:sSub>
          </m:den>
        </m:f>
        <m:r>
          <w:rPr>
            <w:rFonts w:ascii="Cambria Math" w:hAnsi="Cambria Math" w:cs="Times New Roman"/>
            <w:color w:val="FF0000"/>
            <w:sz w:val="20"/>
            <w:szCs w:val="20"/>
          </w:rPr>
          <m:t>=(</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1</m:t>
            </m:r>
          </m:num>
          <m:den>
            <m:sSubSup>
              <m:sSubSupPr>
                <m:ctrlPr>
                  <w:rPr>
                    <w:rFonts w:ascii="Cambria Math" w:hAnsi="Cambria Math" w:cs="Times New Roman"/>
                    <w:i/>
                    <w:color w:val="FF0000"/>
                    <w:sz w:val="20"/>
                    <w:szCs w:val="20"/>
                  </w:rPr>
                </m:ctrlPr>
              </m:sSubSupPr>
              <m:e>
                <m:r>
                  <w:rPr>
                    <w:rFonts w:ascii="Cambria Math" w:hAnsi="Cambria Math" w:cs="Times New Roman"/>
                    <w:color w:val="FF0000"/>
                    <w:sz w:val="20"/>
                    <w:szCs w:val="20"/>
                  </w:rPr>
                  <m:t>kQ</m:t>
                </m:r>
              </m:e>
              <m:sub>
                <m:r>
                  <w:rPr>
                    <w:rFonts w:ascii="Cambria Math" w:hAnsi="Cambria Math" w:cs="Times New Roman"/>
                    <w:color w:val="FF0000"/>
                    <w:sz w:val="20"/>
                    <w:szCs w:val="20"/>
                  </w:rPr>
                  <m:t>e</m:t>
                </m:r>
              </m:sub>
              <m:sup>
                <m:r>
                  <w:rPr>
                    <w:rFonts w:ascii="Cambria Math" w:hAnsi="Cambria Math" w:cs="Times New Roman"/>
                    <w:color w:val="FF0000"/>
                    <w:sz w:val="20"/>
                    <w:szCs w:val="20"/>
                  </w:rPr>
                  <m:t>2</m:t>
                </m:r>
              </m:sup>
            </m:sSubSup>
          </m:den>
        </m:f>
        <m:r>
          <w:rPr>
            <w:rFonts w:ascii="Cambria Math" w:hAnsi="Cambria Math" w:cs="Times New Roman"/>
            <w:color w:val="FF0000"/>
            <w:sz w:val="20"/>
            <w:szCs w:val="20"/>
          </w:rPr>
          <m:t>)</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1</m:t>
            </m:r>
          </m:num>
          <m:den>
            <m:r>
              <w:rPr>
                <w:rFonts w:ascii="Cambria Math" w:hAnsi="Cambria Math" w:cs="Times New Roman"/>
                <w:color w:val="FF0000"/>
                <w:sz w:val="20"/>
                <w:szCs w:val="20"/>
              </w:rPr>
              <m:t>t</m:t>
            </m:r>
          </m:den>
        </m:f>
        <m:r>
          <w:rPr>
            <w:rFonts w:ascii="Cambria Math" w:hAnsi="Cambria Math" w:cs="Times New Roman"/>
            <w:color w:val="FF0000"/>
            <w:sz w:val="20"/>
            <w:szCs w:val="20"/>
          </w:rPr>
          <m:t>+</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1</m:t>
            </m:r>
          </m:num>
          <m:den>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e</m:t>
                </m:r>
              </m:sub>
            </m:sSub>
          </m:den>
        </m:f>
      </m:oMath>
      <w:r w:rsidR="00EF7A4C" w:rsidRPr="006779F5">
        <w:rPr>
          <w:rFonts w:ascii="Times New Roman" w:eastAsiaTheme="minorEastAsia" w:hAnsi="Times New Roman" w:cs="Times New Roman"/>
          <w:color w:val="FF0000"/>
          <w:sz w:val="20"/>
          <w:szCs w:val="20"/>
        </w:rPr>
        <w:tab/>
        <w:t>(4)</w:t>
      </w:r>
    </w:p>
    <w:p w14:paraId="2DB5AD45"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 xml:space="preserve">The </w:t>
      </w:r>
      <w:proofErr w:type="spellStart"/>
      <w:r w:rsidRPr="006779F5">
        <w:rPr>
          <w:rFonts w:ascii="Times New Roman" w:hAnsi="Times New Roman" w:cs="Times New Roman"/>
          <w:color w:val="FF0000"/>
          <w:sz w:val="20"/>
          <w:szCs w:val="20"/>
        </w:rPr>
        <w:t>Elovich</w:t>
      </w:r>
      <w:proofErr w:type="spellEnd"/>
      <w:r w:rsidRPr="006779F5">
        <w:rPr>
          <w:rFonts w:ascii="Times New Roman" w:hAnsi="Times New Roman" w:cs="Times New Roman"/>
          <w:color w:val="FF0000"/>
          <w:sz w:val="20"/>
          <w:szCs w:val="20"/>
        </w:rPr>
        <w:t xml:space="preserve"> model is suitable for describing adsorption on highly heterogeneous surfaces. It posits that the adsorption rate decreases exponentially with increased surface coverage, indicative of a system with variable activation energies for chemisorption. The </w:t>
      </w:r>
      <w:proofErr w:type="spellStart"/>
      <w:r w:rsidRPr="006779F5">
        <w:rPr>
          <w:rFonts w:ascii="Times New Roman" w:hAnsi="Times New Roman" w:cs="Times New Roman"/>
          <w:color w:val="FF0000"/>
          <w:sz w:val="20"/>
          <w:szCs w:val="20"/>
        </w:rPr>
        <w:t>Elovich</w:t>
      </w:r>
      <w:proofErr w:type="spellEnd"/>
      <w:r w:rsidRPr="006779F5">
        <w:rPr>
          <w:rFonts w:ascii="Times New Roman" w:hAnsi="Times New Roman" w:cs="Times New Roman"/>
          <w:color w:val="FF0000"/>
          <w:sz w:val="20"/>
          <w:szCs w:val="20"/>
        </w:rPr>
        <w:t xml:space="preserve"> equation is written as:</w:t>
      </w:r>
    </w:p>
    <w:p w14:paraId="2DC4FFDE" w14:textId="77777777" w:rsidR="00EF7A4C" w:rsidRPr="006779F5" w:rsidRDefault="00000000" w:rsidP="00EF7A4C">
      <w:pPr>
        <w:pStyle w:val="ListParagraph"/>
        <w:shd w:val="clear" w:color="auto" w:fill="FFFFFF"/>
        <w:spacing w:line="360" w:lineRule="auto"/>
        <w:ind w:left="2880" w:firstLine="720"/>
        <w:jc w:val="both"/>
        <w:rPr>
          <w:rFonts w:ascii="Times New Roman" w:hAnsi="Times New Roman" w:cs="Times New Roman"/>
          <w:color w:val="FF0000"/>
          <w:sz w:val="20"/>
          <w:szCs w:val="20"/>
        </w:rPr>
      </w:pPr>
      <m:oMath>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t</m:t>
            </m:r>
          </m:sub>
        </m:sSub>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 xml:space="preserve">In </m:t>
            </m:r>
            <m:d>
              <m:dPr>
                <m:ctrlPr>
                  <w:rPr>
                    <w:rFonts w:ascii="Cambria Math" w:hAnsi="Cambria Math" w:cs="Times New Roman"/>
                    <w:i/>
                    <w:color w:val="FF0000"/>
                    <w:sz w:val="20"/>
                    <w:szCs w:val="20"/>
                  </w:rPr>
                </m:ctrlPr>
              </m:dPr>
              <m:e>
                <m:r>
                  <m:rPr>
                    <m:sty m:val="p"/>
                  </m:rPr>
                  <w:rPr>
                    <w:rStyle w:val="mi"/>
                    <w:rFonts w:ascii="Cambria Math" w:hAnsi="Cambria Math" w:cs="Times New Roman"/>
                    <w:color w:val="FF0000"/>
                    <w:sz w:val="20"/>
                    <w:szCs w:val="20"/>
                    <w:bdr w:val="none" w:sz="0" w:space="0" w:color="auto" w:frame="1"/>
                  </w:rPr>
                  <m:t>αβ</m:t>
                </m:r>
                <m:ctrlPr>
                  <w:rPr>
                    <w:rStyle w:val="mi"/>
                    <w:rFonts w:ascii="Cambria Math" w:hAnsi="Cambria Math" w:cs="Times New Roman"/>
                    <w:color w:val="FF0000"/>
                    <w:sz w:val="20"/>
                    <w:szCs w:val="20"/>
                    <w:bdr w:val="none" w:sz="0" w:space="0" w:color="auto" w:frame="1"/>
                  </w:rPr>
                </m:ctrlPr>
              </m:e>
            </m:d>
          </m:num>
          <m:den>
            <m:r>
              <m:rPr>
                <m:sty m:val="p"/>
              </m:rPr>
              <w:rPr>
                <w:rStyle w:val="mi"/>
                <w:rFonts w:ascii="Cambria Math" w:hAnsi="Cambria Math" w:cs="Times New Roman"/>
                <w:color w:val="FF0000"/>
                <w:sz w:val="20"/>
                <w:szCs w:val="20"/>
                <w:bdr w:val="none" w:sz="0" w:space="0" w:color="auto" w:frame="1"/>
              </w:rPr>
              <m:t>β</m:t>
            </m:r>
          </m:den>
        </m:f>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func>
              <m:funcPr>
                <m:ctrlPr>
                  <w:rPr>
                    <w:rFonts w:ascii="Cambria Math" w:hAnsi="Cambria Math" w:cs="Times New Roman"/>
                    <w:i/>
                    <w:color w:val="FF0000"/>
                    <w:sz w:val="20"/>
                    <w:szCs w:val="20"/>
                  </w:rPr>
                </m:ctrlPr>
              </m:funcPr>
              <m:fName>
                <m:r>
                  <m:rPr>
                    <m:sty m:val="p"/>
                  </m:rPr>
                  <w:rPr>
                    <w:rFonts w:ascii="Cambria Math" w:hAnsi="Cambria Math" w:cs="Times New Roman"/>
                    <w:color w:val="FF0000"/>
                    <w:sz w:val="20"/>
                    <w:szCs w:val="20"/>
                  </w:rPr>
                  <m:t>ln</m:t>
                </m:r>
              </m:fName>
              <m:e>
                <m:r>
                  <w:rPr>
                    <w:rFonts w:ascii="Cambria Math" w:hAnsi="Cambria Math" w:cs="Times New Roman"/>
                    <w:color w:val="FF0000"/>
                    <w:sz w:val="20"/>
                    <w:szCs w:val="20"/>
                  </w:rPr>
                  <m:t>(t)</m:t>
                </m:r>
              </m:e>
            </m:func>
          </m:num>
          <m:den>
            <m:r>
              <m:rPr>
                <m:sty m:val="p"/>
              </m:rPr>
              <w:rPr>
                <w:rStyle w:val="mi"/>
                <w:rFonts w:ascii="Cambria Math" w:hAnsi="Cambria Math" w:cs="Times New Roman"/>
                <w:color w:val="FF0000"/>
                <w:sz w:val="20"/>
                <w:szCs w:val="20"/>
                <w:bdr w:val="none" w:sz="0" w:space="0" w:color="auto" w:frame="1"/>
              </w:rPr>
              <m:t>β</m:t>
            </m:r>
          </m:den>
        </m:f>
      </m:oMath>
      <w:r w:rsidR="00EF7A4C" w:rsidRPr="006779F5">
        <w:rPr>
          <w:rFonts w:ascii="Times New Roman" w:eastAsiaTheme="minorEastAsia" w:hAnsi="Times New Roman" w:cs="Times New Roman"/>
          <w:color w:val="FF0000"/>
          <w:sz w:val="20"/>
          <w:szCs w:val="20"/>
        </w:rPr>
        <w:t xml:space="preserve">  </w:t>
      </w:r>
      <w:r w:rsidR="00EF7A4C" w:rsidRPr="006779F5">
        <w:rPr>
          <w:rFonts w:ascii="Times New Roman" w:eastAsiaTheme="minorEastAsia" w:hAnsi="Times New Roman" w:cs="Times New Roman"/>
          <w:color w:val="FF0000"/>
          <w:sz w:val="20"/>
          <w:szCs w:val="20"/>
        </w:rPr>
        <w:tab/>
        <w:t>(5)</w:t>
      </w:r>
    </w:p>
    <w:p w14:paraId="7998AC48"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where </w:t>
      </w:r>
      <w:proofErr w:type="spellStart"/>
      <w:r w:rsidRPr="006779F5">
        <w:rPr>
          <w:rStyle w:val="html-italic"/>
          <w:rFonts w:ascii="Times New Roman" w:hAnsi="Times New Roman" w:cs="Times New Roman"/>
          <w:color w:val="FF0000"/>
          <w:sz w:val="20"/>
          <w:szCs w:val="20"/>
        </w:rPr>
        <w:t>Q</w:t>
      </w:r>
      <w:r w:rsidRPr="006779F5">
        <w:rPr>
          <w:rStyle w:val="html-italic"/>
          <w:rFonts w:ascii="Times New Roman" w:hAnsi="Times New Roman" w:cs="Times New Roman"/>
          <w:color w:val="FF0000"/>
          <w:sz w:val="20"/>
          <w:szCs w:val="20"/>
          <w:vertAlign w:val="subscript"/>
        </w:rPr>
        <w:t>e</w:t>
      </w:r>
      <w:proofErr w:type="spellEnd"/>
      <w:r w:rsidRPr="006779F5">
        <w:rPr>
          <w:rFonts w:ascii="Times New Roman" w:hAnsi="Times New Roman" w:cs="Times New Roman"/>
          <w:color w:val="FF0000"/>
          <w:sz w:val="20"/>
          <w:szCs w:val="20"/>
        </w:rPr>
        <w:t> and </w:t>
      </w:r>
      <w:r w:rsidRPr="006779F5">
        <w:rPr>
          <w:rStyle w:val="html-italic"/>
          <w:rFonts w:ascii="Times New Roman" w:hAnsi="Times New Roman" w:cs="Times New Roman"/>
          <w:color w:val="FF0000"/>
          <w:sz w:val="20"/>
          <w:szCs w:val="20"/>
        </w:rPr>
        <w:t>Q</w:t>
      </w:r>
      <w:r w:rsidRPr="006779F5">
        <w:rPr>
          <w:rStyle w:val="html-italic"/>
          <w:rFonts w:ascii="Times New Roman" w:hAnsi="Times New Roman" w:cs="Times New Roman"/>
          <w:color w:val="FF0000"/>
          <w:sz w:val="20"/>
          <w:szCs w:val="20"/>
          <w:vertAlign w:val="subscript"/>
        </w:rPr>
        <w:t>t</w:t>
      </w:r>
      <w:r w:rsidRPr="006779F5">
        <w:rPr>
          <w:rFonts w:ascii="Times New Roman" w:hAnsi="Times New Roman" w:cs="Times New Roman"/>
          <w:color w:val="FF0000"/>
          <w:sz w:val="20"/>
          <w:szCs w:val="20"/>
        </w:rPr>
        <w:t> are the dye amount adsorbed at equilibrium (mg/g), </w:t>
      </w:r>
      <w:r w:rsidRPr="006779F5">
        <w:rPr>
          <w:rStyle w:val="html-italic"/>
          <w:rFonts w:ascii="Times New Roman" w:hAnsi="Times New Roman" w:cs="Times New Roman"/>
          <w:color w:val="FF0000"/>
          <w:sz w:val="20"/>
          <w:szCs w:val="20"/>
        </w:rPr>
        <w:t>k</w:t>
      </w:r>
      <w:r w:rsidRPr="006779F5">
        <w:rPr>
          <w:rFonts w:ascii="Times New Roman" w:hAnsi="Times New Roman" w:cs="Times New Roman"/>
          <w:color w:val="FF0000"/>
          <w:sz w:val="20"/>
          <w:szCs w:val="20"/>
        </w:rPr>
        <w:t> represents the time, </w:t>
      </w:r>
      <w:r w:rsidRPr="006779F5">
        <w:rPr>
          <w:rStyle w:val="html-italic"/>
          <w:rFonts w:ascii="Times New Roman" w:hAnsi="Times New Roman" w:cs="Times New Roman"/>
          <w:color w:val="FF0000"/>
          <w:sz w:val="20"/>
          <w:szCs w:val="20"/>
        </w:rPr>
        <w:t>K</w:t>
      </w:r>
      <w:r w:rsidRPr="006779F5">
        <w:rPr>
          <w:rFonts w:ascii="Times New Roman" w:hAnsi="Times New Roman" w:cs="Times New Roman"/>
          <w:color w:val="FF0000"/>
          <w:sz w:val="20"/>
          <w:szCs w:val="20"/>
          <w:vertAlign w:val="subscript"/>
        </w:rPr>
        <w:t>1</w:t>
      </w:r>
      <w:r w:rsidRPr="006779F5">
        <w:rPr>
          <w:rFonts w:ascii="Times New Roman" w:hAnsi="Times New Roman" w:cs="Times New Roman"/>
          <w:color w:val="FF0000"/>
          <w:sz w:val="20"/>
          <w:szCs w:val="20"/>
        </w:rPr>
        <w:t> (min</w:t>
      </w:r>
      <w:r w:rsidRPr="006779F5">
        <w:rPr>
          <w:rFonts w:ascii="Times New Roman" w:hAnsi="Times New Roman" w:cs="Times New Roman"/>
          <w:color w:val="FF0000"/>
          <w:sz w:val="20"/>
          <w:szCs w:val="20"/>
          <w:vertAlign w:val="superscript"/>
        </w:rPr>
        <w:t>−1</w:t>
      </w:r>
      <w:r w:rsidRPr="006779F5">
        <w:rPr>
          <w:rFonts w:ascii="Times New Roman" w:hAnsi="Times New Roman" w:cs="Times New Roman"/>
          <w:color w:val="FF0000"/>
          <w:sz w:val="20"/>
          <w:szCs w:val="20"/>
        </w:rPr>
        <w:t>) or </w:t>
      </w:r>
      <w:r w:rsidRPr="006779F5">
        <w:rPr>
          <w:rStyle w:val="html-italic"/>
          <w:rFonts w:ascii="Times New Roman" w:hAnsi="Times New Roman" w:cs="Times New Roman"/>
          <w:color w:val="FF0000"/>
          <w:sz w:val="20"/>
          <w:szCs w:val="20"/>
        </w:rPr>
        <w:t>K</w:t>
      </w:r>
      <w:r w:rsidRPr="006779F5">
        <w:rPr>
          <w:rFonts w:ascii="Times New Roman" w:hAnsi="Times New Roman" w:cs="Times New Roman"/>
          <w:color w:val="FF0000"/>
          <w:sz w:val="20"/>
          <w:szCs w:val="20"/>
          <w:vertAlign w:val="subscript"/>
        </w:rPr>
        <w:t>2</w:t>
      </w:r>
      <w:r w:rsidRPr="006779F5">
        <w:rPr>
          <w:rFonts w:ascii="Times New Roman" w:hAnsi="Times New Roman" w:cs="Times New Roman"/>
          <w:color w:val="FF0000"/>
          <w:sz w:val="20"/>
          <w:szCs w:val="20"/>
        </w:rPr>
        <w:t> (g/mg min) refers to the adsorption rate constant, </w:t>
      </w:r>
      <w:r w:rsidRPr="006779F5">
        <w:rPr>
          <w:rStyle w:val="html-italic"/>
          <w:rFonts w:ascii="Times New Roman" w:hAnsi="Times New Roman" w:cs="Times New Roman"/>
          <w:color w:val="FF0000"/>
          <w:sz w:val="20"/>
          <w:szCs w:val="20"/>
        </w:rPr>
        <w:t>α</w:t>
      </w:r>
      <w:r w:rsidRPr="006779F5">
        <w:rPr>
          <w:rFonts w:ascii="Times New Roman" w:hAnsi="Times New Roman" w:cs="Times New Roman"/>
          <w:color w:val="FF0000"/>
          <w:sz w:val="20"/>
          <w:szCs w:val="20"/>
        </w:rPr>
        <w:t> is the initial adsorption rate (mg/g) and </w:t>
      </w:r>
      <w:r w:rsidRPr="006779F5">
        <w:rPr>
          <w:rStyle w:val="html-italic"/>
          <w:rFonts w:ascii="Times New Roman" w:hAnsi="Times New Roman" w:cs="Times New Roman"/>
          <w:color w:val="FF0000"/>
          <w:sz w:val="20"/>
          <w:szCs w:val="20"/>
        </w:rPr>
        <w:t>β</w:t>
      </w:r>
      <w:r w:rsidRPr="006779F5">
        <w:rPr>
          <w:rFonts w:ascii="Times New Roman" w:hAnsi="Times New Roman" w:cs="Times New Roman"/>
          <w:color w:val="FF0000"/>
          <w:sz w:val="20"/>
          <w:szCs w:val="20"/>
        </w:rPr>
        <w:t> is the desorption coefficient (mg/g). To further elucidate the mechanism of adsorption and identify possible rate-limiting steps, the intraparticle diffusion (IPD) model proposed by Weber and Morris was employed. This model helps to assess whether the diffusion of MB molecules within the pores of the adsorbent significantly contributes to the overall adsorption process. The IPD model is expressed as:</w:t>
      </w:r>
    </w:p>
    <w:p w14:paraId="71162EAE" w14:textId="77777777" w:rsidR="00EF7A4C" w:rsidRPr="006779F5" w:rsidRDefault="00000000" w:rsidP="00EF7A4C">
      <w:pPr>
        <w:shd w:val="clear" w:color="auto" w:fill="FFFFFF"/>
        <w:spacing w:line="360" w:lineRule="auto"/>
        <w:jc w:val="center"/>
        <w:rPr>
          <w:rFonts w:ascii="Times New Roman" w:hAnsi="Times New Roman" w:cs="Times New Roman"/>
          <w:color w:val="FF0000"/>
          <w:sz w:val="20"/>
          <w:szCs w:val="20"/>
        </w:rPr>
      </w:pPr>
      <m:oMath>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t</m:t>
            </m:r>
          </m:sub>
        </m:sSub>
        <m:r>
          <w:rPr>
            <w:rFonts w:ascii="Cambria Math" w:hAnsi="Cambria Math" w:cs="Times New Roman"/>
            <w:color w:val="FF0000"/>
            <w:sz w:val="20"/>
            <w:szCs w:val="20"/>
          </w:rPr>
          <m:t xml:space="preserve">=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K</m:t>
            </m:r>
          </m:e>
          <m:sub>
            <m:r>
              <w:rPr>
                <w:rFonts w:ascii="Cambria Math" w:hAnsi="Cambria Math" w:cs="Times New Roman"/>
                <w:color w:val="FF0000"/>
                <w:sz w:val="20"/>
                <w:szCs w:val="20"/>
              </w:rPr>
              <m:t>p</m:t>
            </m:r>
          </m:sub>
        </m:sSub>
        <m:sSup>
          <m:sSupPr>
            <m:ctrlPr>
              <w:rPr>
                <w:rFonts w:ascii="Cambria Math" w:hAnsi="Cambria Math" w:cs="Times New Roman"/>
                <w:i/>
                <w:color w:val="FF0000"/>
                <w:sz w:val="20"/>
                <w:szCs w:val="20"/>
              </w:rPr>
            </m:ctrlPr>
          </m:sSupPr>
          <m:e>
            <m:r>
              <w:rPr>
                <w:rFonts w:ascii="Cambria Math" w:hAnsi="Cambria Math" w:cs="Times New Roman"/>
                <w:color w:val="FF0000"/>
                <w:sz w:val="20"/>
                <w:szCs w:val="20"/>
              </w:rPr>
              <m:t>t</m:t>
            </m:r>
          </m:e>
          <m:sup>
            <m:r>
              <w:rPr>
                <w:rFonts w:ascii="Cambria Math" w:hAnsi="Cambria Math" w:cs="Times New Roman"/>
                <w:color w:val="FF0000"/>
                <w:sz w:val="20"/>
                <w:szCs w:val="20"/>
              </w:rPr>
              <m:t>0.5</m:t>
            </m:r>
          </m:sup>
        </m:sSup>
        <m:r>
          <w:rPr>
            <w:rFonts w:ascii="Cambria Math" w:hAnsi="Cambria Math" w:cs="Times New Roman"/>
            <w:color w:val="FF0000"/>
            <w:sz w:val="20"/>
            <w:szCs w:val="20"/>
          </w:rPr>
          <m:t>+C</m:t>
        </m:r>
      </m:oMath>
      <w:r w:rsidR="00EF7A4C" w:rsidRPr="006779F5">
        <w:rPr>
          <w:rFonts w:ascii="Times New Roman" w:eastAsiaTheme="minorEastAsia" w:hAnsi="Times New Roman" w:cs="Times New Roman"/>
          <w:color w:val="FF0000"/>
          <w:sz w:val="20"/>
          <w:szCs w:val="20"/>
        </w:rPr>
        <w:t xml:space="preserve"> </w:t>
      </w:r>
      <w:r w:rsidR="00EF7A4C" w:rsidRPr="006779F5">
        <w:rPr>
          <w:rFonts w:ascii="Times New Roman" w:eastAsiaTheme="minorEastAsia" w:hAnsi="Times New Roman" w:cs="Times New Roman"/>
          <w:color w:val="FF0000"/>
          <w:sz w:val="20"/>
          <w:szCs w:val="20"/>
        </w:rPr>
        <w:tab/>
        <w:t>(6)</w:t>
      </w:r>
    </w:p>
    <w:p w14:paraId="7B09B208"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 xml:space="preserve">where </w:t>
      </w:r>
      <w:proofErr w:type="spellStart"/>
      <w:r w:rsidRPr="006779F5">
        <w:rPr>
          <w:rFonts w:ascii="Times New Roman" w:hAnsi="Times New Roman" w:cs="Times New Roman"/>
          <w:color w:val="FF0000"/>
          <w:sz w:val="20"/>
          <w:szCs w:val="20"/>
        </w:rPr>
        <w:t>K</w:t>
      </w:r>
      <w:r w:rsidRPr="006779F5">
        <w:rPr>
          <w:rFonts w:ascii="Times New Roman" w:hAnsi="Times New Roman" w:cs="Times New Roman"/>
          <w:color w:val="FF0000"/>
          <w:sz w:val="20"/>
          <w:szCs w:val="20"/>
          <w:vertAlign w:val="subscript"/>
        </w:rPr>
        <w:t>p</w:t>
      </w:r>
      <w:proofErr w:type="spellEnd"/>
      <w:r w:rsidRPr="006779F5">
        <w:rPr>
          <w:rFonts w:ascii="Times New Roman" w:hAnsi="Times New Roman" w:cs="Times New Roman"/>
          <w:color w:val="FF0000"/>
          <w:sz w:val="20"/>
          <w:szCs w:val="20"/>
        </w:rPr>
        <w:t>​ is the rate constant of the IPD kinetic model, and C denotes the thickness of the boundary layer.</w:t>
      </w:r>
    </w:p>
    <w:p w14:paraId="3DFFE19B" w14:textId="77777777" w:rsidR="00EF7A4C" w:rsidRPr="006779F5" w:rsidRDefault="00EF7A4C" w:rsidP="00EF7A4C">
      <w:pPr>
        <w:shd w:val="clear" w:color="auto" w:fill="FFFFFF"/>
        <w:spacing w:line="360" w:lineRule="auto"/>
        <w:jc w:val="both"/>
        <w:rPr>
          <w:rFonts w:ascii="Times New Roman" w:hAnsi="Times New Roman" w:cs="Times New Roman"/>
          <w:i/>
          <w:iCs/>
          <w:color w:val="FF0000"/>
          <w:sz w:val="20"/>
          <w:szCs w:val="20"/>
        </w:rPr>
      </w:pPr>
      <w:r w:rsidRPr="006779F5">
        <w:rPr>
          <w:rFonts w:ascii="Times New Roman" w:hAnsi="Times New Roman" w:cs="Times New Roman"/>
          <w:i/>
          <w:iCs/>
          <w:color w:val="FF0000"/>
          <w:sz w:val="20"/>
          <w:szCs w:val="20"/>
        </w:rPr>
        <w:t>2.4.2 Isotherm studies</w:t>
      </w:r>
    </w:p>
    <w:p w14:paraId="1C7EC529"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The maximum adsorption capacity (</w:t>
      </w:r>
      <w:proofErr w:type="spellStart"/>
      <w:r w:rsidRPr="006779F5">
        <w:rPr>
          <w:rFonts w:ascii="Times New Roman" w:hAnsi="Times New Roman" w:cs="Times New Roman"/>
          <w:color w:val="FF0000"/>
          <w:sz w:val="20"/>
          <w:szCs w:val="20"/>
        </w:rPr>
        <w:t>Q</w:t>
      </w:r>
      <w:r w:rsidRPr="006779F5">
        <w:rPr>
          <w:rFonts w:ascii="Times New Roman" w:hAnsi="Times New Roman" w:cs="Times New Roman"/>
          <w:color w:val="FF0000"/>
          <w:sz w:val="20"/>
          <w:szCs w:val="20"/>
          <w:vertAlign w:val="subscript"/>
        </w:rPr>
        <w:t>m</w:t>
      </w:r>
      <w:proofErr w:type="spellEnd"/>
      <w:r w:rsidRPr="006779F5">
        <w:rPr>
          <w:rFonts w:ascii="Times New Roman" w:hAnsi="Times New Roman" w:cs="Times New Roman"/>
          <w:color w:val="FF0000"/>
          <w:sz w:val="20"/>
          <w:szCs w:val="20"/>
        </w:rPr>
        <w:t>) was determined through equilibrium adsorption isotherms, applying three distinct models: Langmuir, Temkin, and Freundlich. Each model provides unique insights based on different assumptions about the adsorbent surface and the shape of the isotherm. The Langmuir model assumes monolayer adsorption on a homogeneous surface, where the energy of adsorption remains constant across all sites. This model suggests that once a site is filled, no further adsorption can occur at that location. The linearized form of the Langmuir isotherm is presented in Eq. (7), where K</w:t>
      </w:r>
      <w:r w:rsidRPr="006779F5">
        <w:rPr>
          <w:rFonts w:ascii="Times New Roman" w:hAnsi="Times New Roman" w:cs="Times New Roman"/>
          <w:color w:val="FF0000"/>
          <w:sz w:val="20"/>
          <w:szCs w:val="20"/>
          <w:vertAlign w:val="subscript"/>
        </w:rPr>
        <w:t>L</w:t>
      </w:r>
      <w:r w:rsidRPr="006779F5">
        <w:rPr>
          <w:rFonts w:ascii="Times New Roman" w:hAnsi="Times New Roman" w:cs="Times New Roman"/>
          <w:color w:val="FF0000"/>
          <w:sz w:val="20"/>
          <w:szCs w:val="20"/>
        </w:rPr>
        <w:t xml:space="preserve"> represents the Langmuir binding constant (L/mol), reflecting the affinity between the adsorbate and the adsorbent.</w:t>
      </w:r>
    </w:p>
    <w:p w14:paraId="465E852B" w14:textId="77777777" w:rsidR="00EF7A4C" w:rsidRPr="006779F5" w:rsidRDefault="00000000" w:rsidP="00EF7A4C">
      <w:pPr>
        <w:shd w:val="clear" w:color="auto" w:fill="FFFFFF"/>
        <w:spacing w:line="360" w:lineRule="auto"/>
        <w:jc w:val="center"/>
        <w:rPr>
          <w:rFonts w:ascii="Times New Roman" w:eastAsiaTheme="minorEastAsia" w:hAnsi="Times New Roman" w:cs="Times New Roman"/>
          <w:color w:val="FF0000"/>
          <w:sz w:val="20"/>
          <w:szCs w:val="20"/>
        </w:rPr>
      </w:pPr>
      <m:oMath>
        <m:f>
          <m:fPr>
            <m:ctrlPr>
              <w:rPr>
                <w:rFonts w:ascii="Cambria Math" w:hAnsi="Cambria Math" w:cs="Times New Roman"/>
                <w:i/>
                <w:color w:val="FF0000"/>
                <w:sz w:val="20"/>
                <w:szCs w:val="20"/>
              </w:rPr>
            </m:ctrlPr>
          </m:fPr>
          <m:num>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C</m:t>
                </m:r>
              </m:e>
              <m:sub>
                <m:r>
                  <w:rPr>
                    <w:rFonts w:ascii="Cambria Math" w:hAnsi="Cambria Math" w:cs="Times New Roman"/>
                    <w:color w:val="FF0000"/>
                    <w:sz w:val="20"/>
                    <w:szCs w:val="20"/>
                  </w:rPr>
                  <m:t>e</m:t>
                </m:r>
              </m:sub>
            </m:sSub>
          </m:num>
          <m:den>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e</m:t>
                </m:r>
              </m:sub>
            </m:sSub>
          </m:den>
        </m:f>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C</m:t>
                </m:r>
              </m:e>
              <m:sub>
                <m:r>
                  <w:rPr>
                    <w:rFonts w:ascii="Cambria Math" w:hAnsi="Cambria Math" w:cs="Times New Roman"/>
                    <w:color w:val="FF0000"/>
                    <w:sz w:val="20"/>
                    <w:szCs w:val="20"/>
                  </w:rPr>
                  <m:t>e</m:t>
                </m:r>
              </m:sub>
            </m:sSub>
          </m:num>
          <m:den>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m</m:t>
                </m:r>
              </m:sub>
            </m:sSub>
          </m:den>
        </m:f>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1</m:t>
            </m:r>
          </m:num>
          <m:den>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K</m:t>
                </m:r>
              </m:e>
              <m:sub>
                <m:r>
                  <w:rPr>
                    <w:rFonts w:ascii="Cambria Math" w:hAnsi="Cambria Math" w:cs="Times New Roman"/>
                    <w:color w:val="FF0000"/>
                    <w:sz w:val="20"/>
                    <w:szCs w:val="20"/>
                  </w:rPr>
                  <m:t>L</m:t>
                </m:r>
              </m:sub>
            </m:sSub>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m</m:t>
                </m:r>
              </m:sub>
            </m:sSub>
          </m:den>
        </m:f>
      </m:oMath>
      <w:r w:rsidR="00EF7A4C" w:rsidRPr="006779F5">
        <w:rPr>
          <w:rFonts w:ascii="Times New Roman" w:eastAsiaTheme="minorEastAsia" w:hAnsi="Times New Roman" w:cs="Times New Roman"/>
          <w:color w:val="FF0000"/>
          <w:sz w:val="20"/>
          <w:szCs w:val="20"/>
        </w:rPr>
        <w:t xml:space="preserve"> </w:t>
      </w:r>
      <w:r w:rsidR="00EF7A4C" w:rsidRPr="006779F5">
        <w:rPr>
          <w:rFonts w:ascii="Times New Roman" w:eastAsiaTheme="minorEastAsia" w:hAnsi="Times New Roman" w:cs="Times New Roman"/>
          <w:color w:val="FF0000"/>
          <w:sz w:val="20"/>
          <w:szCs w:val="20"/>
        </w:rPr>
        <w:tab/>
        <w:t>(7)</w:t>
      </w:r>
    </w:p>
    <w:p w14:paraId="3327A334"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The Freundlich equation describes the adsorption of a solute from a solution onto a solid surface, positing that the strongest binding sites are occupied first, followed by sites with decreasing energy levels. This model represents monolayer adsorption characterized by an inhomogeneous distribution of energy among active sites. The Freundlich isotherm model includes K</w:t>
      </w:r>
      <w:r w:rsidRPr="006779F5">
        <w:rPr>
          <w:rFonts w:ascii="Times New Roman" w:hAnsi="Times New Roman" w:cs="Times New Roman"/>
          <w:color w:val="FF0000"/>
          <w:sz w:val="20"/>
          <w:szCs w:val="20"/>
          <w:vertAlign w:val="subscript"/>
        </w:rPr>
        <w:t>F</w:t>
      </w:r>
      <w:r w:rsidRPr="006779F5">
        <w:rPr>
          <w:rFonts w:ascii="Times New Roman" w:hAnsi="Times New Roman" w:cs="Times New Roman"/>
          <w:color w:val="FF0000"/>
          <w:sz w:val="20"/>
          <w:szCs w:val="20"/>
        </w:rPr>
        <w:t>​ as the Freundlich constant and n, which indicates the adsorption intensity and is referred to as the heterogeneity factor. The Freundlich isotherm model is expressed in a linear form as shown in Eq. (8).</w:t>
      </w:r>
    </w:p>
    <w:p w14:paraId="12ACE0E7" w14:textId="77777777" w:rsidR="00EF7A4C" w:rsidRPr="006779F5" w:rsidRDefault="00000000" w:rsidP="00EF7A4C">
      <w:pPr>
        <w:shd w:val="clear" w:color="auto" w:fill="FFFFFF"/>
        <w:spacing w:line="360" w:lineRule="auto"/>
        <w:jc w:val="center"/>
        <w:rPr>
          <w:rFonts w:ascii="Times New Roman" w:hAnsi="Times New Roman" w:cs="Times New Roman"/>
          <w:color w:val="FF0000"/>
          <w:sz w:val="20"/>
          <w:szCs w:val="20"/>
        </w:rPr>
      </w:pPr>
      <m:oMath>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In Q</m:t>
            </m:r>
          </m:e>
          <m:sub>
            <m:r>
              <w:rPr>
                <w:rFonts w:ascii="Cambria Math" w:hAnsi="Cambria Math" w:cs="Times New Roman"/>
                <w:color w:val="FF0000"/>
                <w:sz w:val="20"/>
                <w:szCs w:val="20"/>
              </w:rPr>
              <m:t>e</m:t>
            </m:r>
          </m:sub>
        </m:sSub>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 xml:space="preserve">In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C</m:t>
                </m:r>
              </m:e>
              <m:sub>
                <m:r>
                  <w:rPr>
                    <w:rFonts w:ascii="Cambria Math" w:hAnsi="Cambria Math" w:cs="Times New Roman"/>
                    <w:color w:val="FF0000"/>
                    <w:sz w:val="20"/>
                    <w:szCs w:val="20"/>
                  </w:rPr>
                  <m:t>e</m:t>
                </m:r>
              </m:sub>
            </m:sSub>
          </m:num>
          <m:den>
            <m:r>
              <w:rPr>
                <w:rFonts w:ascii="Cambria Math" w:hAnsi="Cambria Math" w:cs="Times New Roman"/>
                <w:color w:val="FF0000"/>
                <w:sz w:val="20"/>
                <w:szCs w:val="20"/>
              </w:rPr>
              <m:t>n</m:t>
            </m:r>
          </m:den>
        </m:f>
        <m:r>
          <w:rPr>
            <w:rFonts w:ascii="Cambria Math" w:hAnsi="Cambria Math" w:cs="Times New Roman"/>
            <w:color w:val="FF0000"/>
            <w:sz w:val="20"/>
            <w:szCs w:val="20"/>
          </w:rPr>
          <m:t>-ln</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K</m:t>
            </m:r>
          </m:e>
          <m:sub>
            <m:r>
              <w:rPr>
                <w:rFonts w:ascii="Cambria Math" w:hAnsi="Cambria Math" w:cs="Times New Roman"/>
                <w:color w:val="FF0000"/>
                <w:sz w:val="20"/>
                <w:szCs w:val="20"/>
              </w:rPr>
              <m:t>F</m:t>
            </m:r>
          </m:sub>
        </m:sSub>
      </m:oMath>
      <w:r w:rsidR="00EF7A4C" w:rsidRPr="006779F5">
        <w:rPr>
          <w:rFonts w:ascii="Times New Roman" w:eastAsiaTheme="minorEastAsia" w:hAnsi="Times New Roman" w:cs="Times New Roman"/>
          <w:color w:val="FF0000"/>
          <w:sz w:val="20"/>
          <w:szCs w:val="20"/>
        </w:rPr>
        <w:tab/>
      </w:r>
      <w:r w:rsidR="00EF7A4C" w:rsidRPr="006779F5">
        <w:rPr>
          <w:rFonts w:ascii="Times New Roman" w:eastAsiaTheme="minorEastAsia" w:hAnsi="Times New Roman" w:cs="Times New Roman"/>
          <w:color w:val="FF0000"/>
          <w:sz w:val="20"/>
          <w:szCs w:val="20"/>
        </w:rPr>
        <w:tab/>
        <w:t>(8)</w:t>
      </w:r>
    </w:p>
    <w:p w14:paraId="0D3CBDAF"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The Temkin isotherm model is represented by Eq. (9). In this equation, T denotes the temperature, K</w:t>
      </w:r>
      <w:r w:rsidRPr="006779F5">
        <w:rPr>
          <w:rFonts w:ascii="Times New Roman" w:hAnsi="Times New Roman" w:cs="Times New Roman"/>
          <w:color w:val="FF0000"/>
          <w:sz w:val="20"/>
          <w:szCs w:val="20"/>
          <w:vertAlign w:val="subscript"/>
        </w:rPr>
        <w:t>T</w:t>
      </w:r>
      <w:r w:rsidRPr="006779F5">
        <w:rPr>
          <w:rFonts w:ascii="Times New Roman" w:hAnsi="Times New Roman" w:cs="Times New Roman"/>
          <w:color w:val="FF0000"/>
          <w:sz w:val="20"/>
          <w:szCs w:val="20"/>
        </w:rPr>
        <w:t>​ and b are adjustable constants, and R is the universal gas constant.</w:t>
      </w:r>
    </w:p>
    <w:p w14:paraId="6E45AC27" w14:textId="77777777" w:rsidR="00EF7A4C" w:rsidRPr="006779F5" w:rsidRDefault="00000000" w:rsidP="00EF7A4C">
      <w:pPr>
        <w:shd w:val="clear" w:color="auto" w:fill="FFFFFF"/>
        <w:spacing w:line="360" w:lineRule="auto"/>
        <w:jc w:val="center"/>
        <w:rPr>
          <w:rFonts w:ascii="Times New Roman" w:hAnsi="Times New Roman" w:cs="Times New Roman"/>
          <w:color w:val="FF0000"/>
          <w:sz w:val="20"/>
          <w:szCs w:val="20"/>
        </w:rPr>
      </w:pPr>
      <m:oMath>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Q</m:t>
            </m:r>
          </m:e>
          <m:sub>
            <m:r>
              <w:rPr>
                <w:rFonts w:ascii="Cambria Math" w:hAnsi="Cambria Math" w:cs="Times New Roman"/>
                <w:color w:val="FF0000"/>
                <w:sz w:val="20"/>
                <w:szCs w:val="20"/>
              </w:rPr>
              <m:t>e</m:t>
            </m:r>
          </m:sub>
        </m:sSub>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RT</m:t>
            </m:r>
          </m:num>
          <m:den>
            <m:r>
              <w:rPr>
                <w:rFonts w:ascii="Cambria Math" w:hAnsi="Cambria Math" w:cs="Times New Roman"/>
                <w:color w:val="FF0000"/>
                <w:sz w:val="20"/>
                <w:szCs w:val="20"/>
              </w:rPr>
              <m:t>b</m:t>
            </m:r>
          </m:den>
        </m:f>
        <m:r>
          <w:rPr>
            <w:rFonts w:ascii="Cambria Math" w:hAnsi="Cambria Math" w:cs="Times New Roman"/>
            <w:color w:val="FF0000"/>
            <w:sz w:val="20"/>
            <w:szCs w:val="20"/>
          </w:rPr>
          <m:t xml:space="preserve"> (In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C</m:t>
            </m:r>
          </m:e>
          <m:sub>
            <m:r>
              <w:rPr>
                <w:rFonts w:ascii="Cambria Math" w:hAnsi="Cambria Math" w:cs="Times New Roman"/>
                <w:color w:val="FF0000"/>
                <w:sz w:val="20"/>
                <w:szCs w:val="20"/>
              </w:rPr>
              <m:t>e</m:t>
            </m:r>
          </m:sub>
        </m:sSub>
        <m:r>
          <w:rPr>
            <w:rFonts w:ascii="Cambria Math" w:hAnsi="Cambria Math" w:cs="Times New Roman"/>
            <w:color w:val="FF0000"/>
            <w:sz w:val="20"/>
            <w:szCs w:val="20"/>
          </w:rPr>
          <m:t>+</m:t>
        </m:r>
        <m:func>
          <m:funcPr>
            <m:ctrlPr>
              <w:rPr>
                <w:rFonts w:ascii="Cambria Math" w:hAnsi="Cambria Math" w:cs="Times New Roman"/>
                <w:i/>
                <w:color w:val="FF0000"/>
                <w:sz w:val="20"/>
                <w:szCs w:val="20"/>
              </w:rPr>
            </m:ctrlPr>
          </m:funcPr>
          <m:fName>
            <m:r>
              <m:rPr>
                <m:sty m:val="p"/>
              </m:rPr>
              <w:rPr>
                <w:rFonts w:ascii="Cambria Math" w:hAnsi="Cambria Math" w:cs="Times New Roman"/>
                <w:color w:val="FF0000"/>
                <w:sz w:val="20"/>
                <w:szCs w:val="20"/>
              </w:rPr>
              <m:t>ln</m:t>
            </m:r>
          </m:fName>
          <m:e>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K</m:t>
                </m:r>
              </m:e>
              <m:sub>
                <m:r>
                  <w:rPr>
                    <w:rFonts w:ascii="Cambria Math" w:hAnsi="Cambria Math" w:cs="Times New Roman"/>
                    <w:color w:val="FF0000"/>
                    <w:sz w:val="20"/>
                    <w:szCs w:val="20"/>
                  </w:rPr>
                  <m:t>T</m:t>
                </m:r>
              </m:sub>
            </m:sSub>
          </m:e>
        </m:func>
      </m:oMath>
      <w:r w:rsidR="00EF7A4C" w:rsidRPr="006779F5">
        <w:rPr>
          <w:rFonts w:ascii="Times New Roman" w:eastAsiaTheme="minorEastAsia" w:hAnsi="Times New Roman" w:cs="Times New Roman"/>
          <w:color w:val="FF0000"/>
          <w:sz w:val="20"/>
          <w:szCs w:val="20"/>
        </w:rPr>
        <w:t xml:space="preserve">) </w:t>
      </w:r>
      <w:r w:rsidR="00EF7A4C" w:rsidRPr="006779F5">
        <w:rPr>
          <w:rFonts w:ascii="Times New Roman" w:eastAsiaTheme="minorEastAsia" w:hAnsi="Times New Roman" w:cs="Times New Roman"/>
          <w:color w:val="FF0000"/>
          <w:sz w:val="20"/>
          <w:szCs w:val="20"/>
        </w:rPr>
        <w:tab/>
        <w:t>(9)</w:t>
      </w:r>
    </w:p>
    <w:p w14:paraId="01EA3C3F"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where C</w:t>
      </w:r>
      <w:r w:rsidRPr="006779F5">
        <w:rPr>
          <w:rFonts w:ascii="Times New Roman" w:hAnsi="Times New Roman" w:cs="Times New Roman"/>
          <w:color w:val="FF0000"/>
          <w:sz w:val="20"/>
          <w:szCs w:val="20"/>
          <w:vertAlign w:val="subscript"/>
        </w:rPr>
        <w:t>e</w:t>
      </w:r>
      <w:r w:rsidRPr="006779F5">
        <w:rPr>
          <w:rFonts w:ascii="Times New Roman" w:hAnsi="Times New Roman" w:cs="Times New Roman"/>
          <w:color w:val="FF0000"/>
          <w:sz w:val="20"/>
          <w:szCs w:val="20"/>
        </w:rPr>
        <w:t>​ is the equilibrium concentration of the dye solution (mg/L). K</w:t>
      </w:r>
      <w:r w:rsidRPr="006779F5">
        <w:rPr>
          <w:rFonts w:ascii="Times New Roman" w:hAnsi="Times New Roman" w:cs="Times New Roman"/>
          <w:color w:val="FF0000"/>
          <w:sz w:val="20"/>
          <w:szCs w:val="20"/>
          <w:vertAlign w:val="subscript"/>
        </w:rPr>
        <w:t>T</w:t>
      </w:r>
      <w:r w:rsidRPr="006779F5">
        <w:rPr>
          <w:rFonts w:ascii="Times New Roman" w:hAnsi="Times New Roman" w:cs="Times New Roman"/>
          <w:color w:val="FF0000"/>
          <w:sz w:val="20"/>
          <w:szCs w:val="20"/>
        </w:rPr>
        <w:t>​ is the equilibrium binding constant (L/mol) associated with maximum binding energy. B relates to the heat of adsorption (J/mol), R and T represents the universal gas constant (8.314 J/K·mol), and absolute temperature (K), respectively.</w:t>
      </w:r>
    </w:p>
    <w:p w14:paraId="1215FBE8" w14:textId="77777777" w:rsidR="00EF7A4C" w:rsidRPr="006779F5" w:rsidRDefault="00EF7A4C" w:rsidP="00EF7A4C">
      <w:pPr>
        <w:shd w:val="clear" w:color="auto" w:fill="FFFFFF"/>
        <w:spacing w:line="360" w:lineRule="auto"/>
        <w:jc w:val="both"/>
        <w:rPr>
          <w:rFonts w:ascii="Times New Roman" w:hAnsi="Times New Roman" w:cs="Times New Roman"/>
          <w:i/>
          <w:iCs/>
          <w:color w:val="FF0000"/>
          <w:sz w:val="20"/>
          <w:szCs w:val="20"/>
        </w:rPr>
      </w:pPr>
      <w:r w:rsidRPr="006779F5">
        <w:rPr>
          <w:rFonts w:ascii="Times New Roman" w:hAnsi="Times New Roman" w:cs="Times New Roman"/>
          <w:i/>
          <w:iCs/>
          <w:color w:val="FF0000"/>
          <w:sz w:val="20"/>
          <w:szCs w:val="20"/>
        </w:rPr>
        <w:t>2.4.3 Thermodynamic studies</w:t>
      </w:r>
    </w:p>
    <w:p w14:paraId="706D9D8A"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 xml:space="preserve">A thermodynamic study was conducted to evaluate the effect of temperature on the adsorption of MB onto DW and to assess the nature and feasibility of the reaction. Adsorption experiments were carried out at three temperatures: 298.15 K, 308.15 K, and 318.15 K, with an initial adsorbate concentration of 10 mg/L. To </w:t>
      </w:r>
      <w:proofErr w:type="spellStart"/>
      <w:r w:rsidRPr="006779F5">
        <w:rPr>
          <w:rFonts w:ascii="Times New Roman" w:hAnsi="Times New Roman" w:cs="Times New Roman"/>
          <w:color w:val="FF0000"/>
          <w:sz w:val="20"/>
          <w:szCs w:val="20"/>
        </w:rPr>
        <w:t>analyze</w:t>
      </w:r>
      <w:proofErr w:type="spellEnd"/>
      <w:r w:rsidRPr="006779F5">
        <w:rPr>
          <w:rFonts w:ascii="Times New Roman" w:hAnsi="Times New Roman" w:cs="Times New Roman"/>
          <w:color w:val="FF0000"/>
          <w:sz w:val="20"/>
          <w:szCs w:val="20"/>
        </w:rPr>
        <w:t xml:space="preserve"> the </w:t>
      </w:r>
      <w:proofErr w:type="spellStart"/>
      <w:r w:rsidRPr="006779F5">
        <w:rPr>
          <w:rFonts w:ascii="Times New Roman" w:hAnsi="Times New Roman" w:cs="Times New Roman"/>
          <w:color w:val="FF0000"/>
          <w:sz w:val="20"/>
          <w:szCs w:val="20"/>
        </w:rPr>
        <w:t>thermodyanmic</w:t>
      </w:r>
      <w:proofErr w:type="spellEnd"/>
      <w:r w:rsidRPr="006779F5">
        <w:rPr>
          <w:rFonts w:ascii="Times New Roman" w:hAnsi="Times New Roman" w:cs="Times New Roman"/>
          <w:color w:val="FF0000"/>
          <w:sz w:val="20"/>
          <w:szCs w:val="20"/>
        </w:rPr>
        <w:t xml:space="preserve"> parameters, a plot of ln </w:t>
      </w:r>
      <w:proofErr w:type="spellStart"/>
      <w:r w:rsidRPr="006779F5">
        <w:rPr>
          <w:rFonts w:ascii="Times New Roman" w:hAnsi="Times New Roman" w:cs="Times New Roman"/>
          <w:color w:val="FF0000"/>
          <w:sz w:val="20"/>
          <w:szCs w:val="20"/>
        </w:rPr>
        <w:t>K</w:t>
      </w:r>
      <w:r w:rsidRPr="006779F5">
        <w:rPr>
          <w:rFonts w:ascii="Times New Roman" w:hAnsi="Times New Roman" w:cs="Times New Roman"/>
          <w:color w:val="FF0000"/>
          <w:sz w:val="20"/>
          <w:szCs w:val="20"/>
          <w:vertAlign w:val="subscript"/>
        </w:rPr>
        <w:t>q</w:t>
      </w:r>
      <w:proofErr w:type="spellEnd"/>
      <w:r w:rsidRPr="006779F5">
        <w:rPr>
          <w:rFonts w:ascii="Times New Roman" w:hAnsi="Times New Roman" w:cs="Times New Roman"/>
          <w:color w:val="FF0000"/>
          <w:sz w:val="20"/>
          <w:szCs w:val="20"/>
        </w:rPr>
        <w:t xml:space="preserve"> against 1/T (where T represents the absolute temperature in Kelvin) was constructed. Using the Van’t Hoff equation (Eq. 10), the standard enthalpy change (ΔH°) and standard entropy change (ΔS°) were calculated, providing insights into the adsorption process and its dependence on temperature.</w:t>
      </w:r>
    </w:p>
    <w:p w14:paraId="3841B90F" w14:textId="77777777" w:rsidR="00EF7A4C" w:rsidRPr="006779F5" w:rsidRDefault="00EF7A4C" w:rsidP="00EF7A4C">
      <w:pPr>
        <w:shd w:val="clear" w:color="auto" w:fill="FFFFFF"/>
        <w:spacing w:line="360" w:lineRule="auto"/>
        <w:jc w:val="center"/>
        <w:rPr>
          <w:rFonts w:ascii="Times New Roman" w:hAnsi="Times New Roman" w:cs="Times New Roman"/>
          <w:color w:val="FF0000"/>
          <w:sz w:val="20"/>
          <w:szCs w:val="20"/>
        </w:rPr>
      </w:pPr>
      <m:oMath>
        <m:r>
          <w:rPr>
            <w:rFonts w:ascii="Cambria Math" w:hAnsi="Cambria Math" w:cs="Times New Roman"/>
            <w:color w:val="FF0000"/>
            <w:sz w:val="20"/>
            <w:szCs w:val="20"/>
          </w:rPr>
          <m:t xml:space="preserve">In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K</m:t>
            </m:r>
          </m:e>
          <m:sub>
            <m:r>
              <w:rPr>
                <w:rFonts w:ascii="Cambria Math" w:hAnsi="Cambria Math" w:cs="Times New Roman"/>
                <w:color w:val="FF0000"/>
                <w:sz w:val="20"/>
                <w:szCs w:val="20"/>
              </w:rPr>
              <m:t>q</m:t>
            </m:r>
          </m:sub>
        </m:sSub>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ΔS</m:t>
            </m:r>
          </m:num>
          <m:den>
            <m:r>
              <w:rPr>
                <w:rFonts w:ascii="Cambria Math" w:hAnsi="Cambria Math" w:cs="Times New Roman"/>
                <w:color w:val="FF0000"/>
                <w:sz w:val="20"/>
                <w:szCs w:val="20"/>
              </w:rPr>
              <m:t>R</m:t>
            </m:r>
          </m:den>
        </m:f>
        <m:r>
          <w:rPr>
            <w:rFonts w:ascii="Cambria Math" w:hAnsi="Cambria Math" w:cs="Times New Roman"/>
            <w:color w:val="FF0000"/>
            <w:sz w:val="20"/>
            <w:szCs w:val="20"/>
          </w:rPr>
          <m:t xml:space="preserve">- </m:t>
        </m:r>
        <m:f>
          <m:fPr>
            <m:ctrlPr>
              <w:rPr>
                <w:rFonts w:ascii="Cambria Math" w:hAnsi="Cambria Math" w:cs="Times New Roman"/>
                <w:i/>
                <w:color w:val="FF0000"/>
                <w:sz w:val="20"/>
                <w:szCs w:val="20"/>
              </w:rPr>
            </m:ctrlPr>
          </m:fPr>
          <m:num>
            <m:r>
              <w:rPr>
                <w:rFonts w:ascii="Cambria Math" w:hAnsi="Cambria Math" w:cs="Times New Roman"/>
                <w:color w:val="FF0000"/>
                <w:sz w:val="20"/>
                <w:szCs w:val="20"/>
              </w:rPr>
              <m:t>ΔH</m:t>
            </m:r>
          </m:num>
          <m:den>
            <m:r>
              <w:rPr>
                <w:rFonts w:ascii="Cambria Math" w:hAnsi="Cambria Math" w:cs="Times New Roman"/>
                <w:color w:val="FF0000"/>
                <w:sz w:val="20"/>
                <w:szCs w:val="20"/>
              </w:rPr>
              <m:t>RT</m:t>
            </m:r>
          </m:den>
        </m:f>
      </m:oMath>
      <w:r w:rsidRPr="006779F5">
        <w:rPr>
          <w:rFonts w:ascii="Times New Roman" w:eastAsiaTheme="minorEastAsia" w:hAnsi="Times New Roman" w:cs="Times New Roman"/>
          <w:color w:val="FF0000"/>
          <w:sz w:val="20"/>
          <w:szCs w:val="20"/>
        </w:rPr>
        <w:t xml:space="preserve"> </w:t>
      </w:r>
      <w:r w:rsidRPr="006779F5">
        <w:rPr>
          <w:rFonts w:ascii="Times New Roman" w:eastAsiaTheme="minorEastAsia" w:hAnsi="Times New Roman" w:cs="Times New Roman"/>
          <w:color w:val="FF0000"/>
          <w:sz w:val="20"/>
          <w:szCs w:val="20"/>
        </w:rPr>
        <w:tab/>
      </w:r>
      <w:r w:rsidRPr="006779F5">
        <w:rPr>
          <w:rFonts w:ascii="Times New Roman" w:eastAsiaTheme="minorEastAsia" w:hAnsi="Times New Roman" w:cs="Times New Roman"/>
          <w:color w:val="FF0000"/>
          <w:sz w:val="20"/>
          <w:szCs w:val="20"/>
        </w:rPr>
        <w:tab/>
        <w:t>(10)</w:t>
      </w:r>
    </w:p>
    <w:p w14:paraId="4C654D17"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whereas ∆G was obtained using the following Eq. (11):</w:t>
      </w:r>
    </w:p>
    <w:p w14:paraId="654B409F" w14:textId="77777777" w:rsidR="00EF7A4C" w:rsidRPr="006779F5" w:rsidRDefault="00EF7A4C" w:rsidP="00EF7A4C">
      <w:pPr>
        <w:shd w:val="clear" w:color="auto" w:fill="FFFFFF"/>
        <w:spacing w:line="360" w:lineRule="auto"/>
        <w:jc w:val="center"/>
        <w:rPr>
          <w:rFonts w:ascii="Times New Roman" w:hAnsi="Times New Roman" w:cs="Times New Roman"/>
          <w:color w:val="FF0000"/>
          <w:sz w:val="20"/>
          <w:szCs w:val="20"/>
        </w:rPr>
      </w:pPr>
      <m:oMath>
        <m:r>
          <w:rPr>
            <w:rFonts w:ascii="Cambria Math" w:hAnsi="Cambria Math" w:cs="Times New Roman"/>
            <w:color w:val="FF0000"/>
            <w:sz w:val="20"/>
            <w:szCs w:val="20"/>
          </w:rPr>
          <m:t xml:space="preserve">ΔG= -RT In </m:t>
        </m:r>
        <m:sSub>
          <m:sSubPr>
            <m:ctrlPr>
              <w:rPr>
                <w:rFonts w:ascii="Cambria Math" w:hAnsi="Cambria Math" w:cs="Times New Roman"/>
                <w:i/>
                <w:color w:val="FF0000"/>
                <w:sz w:val="20"/>
                <w:szCs w:val="20"/>
              </w:rPr>
            </m:ctrlPr>
          </m:sSubPr>
          <m:e>
            <m:r>
              <w:rPr>
                <w:rFonts w:ascii="Cambria Math" w:hAnsi="Cambria Math" w:cs="Times New Roman"/>
                <w:color w:val="FF0000"/>
                <w:sz w:val="20"/>
                <w:szCs w:val="20"/>
              </w:rPr>
              <m:t>K</m:t>
            </m:r>
          </m:e>
          <m:sub>
            <m:r>
              <w:rPr>
                <w:rFonts w:ascii="Cambria Math" w:hAnsi="Cambria Math" w:cs="Times New Roman"/>
                <w:color w:val="FF0000"/>
                <w:sz w:val="20"/>
                <w:szCs w:val="20"/>
              </w:rPr>
              <m:t>q</m:t>
            </m:r>
          </m:sub>
        </m:sSub>
      </m:oMath>
      <w:r w:rsidRPr="006779F5">
        <w:rPr>
          <w:rFonts w:ascii="Times New Roman" w:eastAsiaTheme="minorEastAsia" w:hAnsi="Times New Roman" w:cs="Times New Roman"/>
          <w:color w:val="FF0000"/>
          <w:sz w:val="20"/>
          <w:szCs w:val="20"/>
        </w:rPr>
        <w:t xml:space="preserve"> </w:t>
      </w:r>
      <w:r w:rsidRPr="006779F5">
        <w:rPr>
          <w:rFonts w:ascii="Times New Roman" w:eastAsiaTheme="minorEastAsia" w:hAnsi="Times New Roman" w:cs="Times New Roman"/>
          <w:color w:val="FF0000"/>
          <w:sz w:val="20"/>
          <w:szCs w:val="20"/>
        </w:rPr>
        <w:tab/>
        <w:t>(11)</w:t>
      </w:r>
    </w:p>
    <w:p w14:paraId="12FB08BA" w14:textId="77777777" w:rsidR="00EF7A4C" w:rsidRPr="006779F5" w:rsidRDefault="00EF7A4C" w:rsidP="00EF7A4C">
      <w:pPr>
        <w:shd w:val="clear" w:color="auto" w:fill="FFFFFF"/>
        <w:spacing w:line="360" w:lineRule="auto"/>
        <w:jc w:val="both"/>
        <w:rPr>
          <w:rFonts w:ascii="Times New Roman" w:hAnsi="Times New Roman" w:cs="Times New Roman"/>
          <w:color w:val="FF0000"/>
          <w:sz w:val="20"/>
          <w:szCs w:val="20"/>
        </w:rPr>
      </w:pPr>
      <w:r w:rsidRPr="006779F5">
        <w:rPr>
          <w:rFonts w:ascii="Times New Roman" w:hAnsi="Times New Roman" w:cs="Times New Roman"/>
          <w:color w:val="FF0000"/>
          <w:sz w:val="20"/>
          <w:szCs w:val="20"/>
        </w:rPr>
        <w:t xml:space="preserve">where </w:t>
      </w:r>
      <w:proofErr w:type="spellStart"/>
      <w:r w:rsidRPr="006779F5">
        <w:rPr>
          <w:rFonts w:ascii="Times New Roman" w:hAnsi="Times New Roman" w:cs="Times New Roman"/>
          <w:color w:val="FF0000"/>
          <w:sz w:val="20"/>
          <w:szCs w:val="20"/>
        </w:rPr>
        <w:t>K</w:t>
      </w:r>
      <w:r w:rsidRPr="006779F5">
        <w:rPr>
          <w:rFonts w:ascii="Times New Roman" w:hAnsi="Times New Roman" w:cs="Times New Roman"/>
          <w:color w:val="FF0000"/>
          <w:sz w:val="20"/>
          <w:szCs w:val="20"/>
          <w:vertAlign w:val="subscript"/>
        </w:rPr>
        <w:t>q</w:t>
      </w:r>
      <w:proofErr w:type="spellEnd"/>
      <w:r w:rsidRPr="006779F5">
        <w:rPr>
          <w:rFonts w:ascii="Times New Roman" w:hAnsi="Times New Roman" w:cs="Times New Roman"/>
          <w:color w:val="FF0000"/>
          <w:sz w:val="20"/>
          <w:szCs w:val="20"/>
        </w:rPr>
        <w:t>​ is the thermodynamic equilibrium constant, calculated as the ratio of the adsorbate (MB) concentration on the surface of the adsorbent to the concentration of MB remaining in the residual solution.</w:t>
      </w:r>
    </w:p>
    <w:p w14:paraId="438A8FCD" w14:textId="77777777" w:rsidR="00EF7A4C" w:rsidRPr="006779F5" w:rsidRDefault="00EF7A4C" w:rsidP="00EF7A4C">
      <w:pPr>
        <w:spacing w:line="360" w:lineRule="auto"/>
        <w:jc w:val="both"/>
        <w:rPr>
          <w:rFonts w:ascii="Times New Roman" w:hAnsi="Times New Roman" w:cs="Times New Roman"/>
          <w:color w:val="FF0000"/>
          <w:sz w:val="20"/>
          <w:szCs w:val="20"/>
        </w:rPr>
      </w:pPr>
    </w:p>
    <w:p w14:paraId="3AD7B176" w14:textId="77777777" w:rsidR="008B6B28" w:rsidRDefault="008B6B28"/>
    <w:sectPr w:rsidR="008B6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4C"/>
    <w:rsid w:val="003228FB"/>
    <w:rsid w:val="00580471"/>
    <w:rsid w:val="00740D32"/>
    <w:rsid w:val="007F16BE"/>
    <w:rsid w:val="008B6B28"/>
    <w:rsid w:val="009334B3"/>
    <w:rsid w:val="00960D68"/>
    <w:rsid w:val="00EF7A4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386E"/>
  <w15:chartTrackingRefBased/>
  <w15:docId w15:val="{7B0640B3-4E92-4CDC-885B-3BE2E1E1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A4C"/>
  </w:style>
  <w:style w:type="paragraph" w:styleId="Heading1">
    <w:name w:val="heading 1"/>
    <w:basedOn w:val="Normal"/>
    <w:next w:val="Normal"/>
    <w:link w:val="Heading1Char"/>
    <w:uiPriority w:val="9"/>
    <w:qFormat/>
    <w:rsid w:val="00EF7A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7A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7A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7A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7A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7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7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7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7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A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7A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7A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7A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7A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7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7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7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7A4C"/>
    <w:rPr>
      <w:rFonts w:eastAsiaTheme="majorEastAsia" w:cstheme="majorBidi"/>
      <w:color w:val="272727" w:themeColor="text1" w:themeTint="D8"/>
    </w:rPr>
  </w:style>
  <w:style w:type="paragraph" w:styleId="Title">
    <w:name w:val="Title"/>
    <w:basedOn w:val="Normal"/>
    <w:next w:val="Normal"/>
    <w:link w:val="TitleChar"/>
    <w:uiPriority w:val="10"/>
    <w:qFormat/>
    <w:rsid w:val="00EF7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7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7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7A4C"/>
    <w:pPr>
      <w:spacing w:before="160"/>
      <w:jc w:val="center"/>
    </w:pPr>
    <w:rPr>
      <w:i/>
      <w:iCs/>
      <w:color w:val="404040" w:themeColor="text1" w:themeTint="BF"/>
    </w:rPr>
  </w:style>
  <w:style w:type="character" w:customStyle="1" w:styleId="QuoteChar">
    <w:name w:val="Quote Char"/>
    <w:basedOn w:val="DefaultParagraphFont"/>
    <w:link w:val="Quote"/>
    <w:uiPriority w:val="29"/>
    <w:rsid w:val="00EF7A4C"/>
    <w:rPr>
      <w:i/>
      <w:iCs/>
      <w:color w:val="404040" w:themeColor="text1" w:themeTint="BF"/>
    </w:rPr>
  </w:style>
  <w:style w:type="paragraph" w:styleId="ListParagraph">
    <w:name w:val="List Paragraph"/>
    <w:basedOn w:val="Normal"/>
    <w:uiPriority w:val="34"/>
    <w:qFormat/>
    <w:rsid w:val="00EF7A4C"/>
    <w:pPr>
      <w:ind w:left="720"/>
      <w:contextualSpacing/>
    </w:pPr>
  </w:style>
  <w:style w:type="character" w:styleId="IntenseEmphasis">
    <w:name w:val="Intense Emphasis"/>
    <w:basedOn w:val="DefaultParagraphFont"/>
    <w:uiPriority w:val="21"/>
    <w:qFormat/>
    <w:rsid w:val="00EF7A4C"/>
    <w:rPr>
      <w:i/>
      <w:iCs/>
      <w:color w:val="2F5496" w:themeColor="accent1" w:themeShade="BF"/>
    </w:rPr>
  </w:style>
  <w:style w:type="paragraph" w:styleId="IntenseQuote">
    <w:name w:val="Intense Quote"/>
    <w:basedOn w:val="Normal"/>
    <w:next w:val="Normal"/>
    <w:link w:val="IntenseQuoteChar"/>
    <w:uiPriority w:val="30"/>
    <w:qFormat/>
    <w:rsid w:val="00EF7A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7A4C"/>
    <w:rPr>
      <w:i/>
      <w:iCs/>
      <w:color w:val="2F5496" w:themeColor="accent1" w:themeShade="BF"/>
    </w:rPr>
  </w:style>
  <w:style w:type="character" w:styleId="IntenseReference">
    <w:name w:val="Intense Reference"/>
    <w:basedOn w:val="DefaultParagraphFont"/>
    <w:uiPriority w:val="32"/>
    <w:qFormat/>
    <w:rsid w:val="00EF7A4C"/>
    <w:rPr>
      <w:b/>
      <w:bCs/>
      <w:smallCaps/>
      <w:color w:val="2F5496" w:themeColor="accent1" w:themeShade="BF"/>
      <w:spacing w:val="5"/>
    </w:rPr>
  </w:style>
  <w:style w:type="paragraph" w:customStyle="1" w:styleId="AffiliationStyle">
    <w:name w:val="AffiliationStyle"/>
    <w:basedOn w:val="Normal"/>
    <w:rsid w:val="00EF7A4C"/>
    <w:pPr>
      <w:overflowPunct w:val="0"/>
      <w:autoSpaceDE w:val="0"/>
      <w:autoSpaceDN w:val="0"/>
      <w:adjustRightInd w:val="0"/>
      <w:spacing w:after="0" w:line="480" w:lineRule="auto"/>
      <w:jc w:val="center"/>
      <w:textAlignment w:val="baseline"/>
    </w:pPr>
    <w:rPr>
      <w:rFonts w:ascii="Times New Roman" w:eastAsia="Times New Roman" w:hAnsi="Times New Roman" w:cs="Times New Roman"/>
      <w:i/>
      <w:kern w:val="0"/>
      <w:sz w:val="24"/>
      <w:szCs w:val="20"/>
      <w:lang w:val="en-GB"/>
      <w14:ligatures w14:val="none"/>
    </w:rPr>
  </w:style>
  <w:style w:type="character" w:styleId="Hyperlink">
    <w:name w:val="Hyperlink"/>
    <w:uiPriority w:val="99"/>
    <w:unhideWhenUsed/>
    <w:rsid w:val="00EF7A4C"/>
    <w:rPr>
      <w:color w:val="0563C1"/>
      <w:u w:val="single"/>
    </w:rPr>
  </w:style>
  <w:style w:type="character" w:customStyle="1" w:styleId="html-italic">
    <w:name w:val="html-italic"/>
    <w:basedOn w:val="DefaultParagraphFont"/>
    <w:rsid w:val="00EF7A4C"/>
  </w:style>
  <w:style w:type="character" w:customStyle="1" w:styleId="mi">
    <w:name w:val="mi"/>
    <w:basedOn w:val="DefaultParagraphFont"/>
    <w:rsid w:val="00EF7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vinltz@upm.edu.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 Zheng</dc:creator>
  <cp:keywords/>
  <dc:description/>
  <cp:lastModifiedBy>Alvin Zheng</cp:lastModifiedBy>
  <cp:revision>3</cp:revision>
  <dcterms:created xsi:type="dcterms:W3CDTF">2025-03-26T07:19:00Z</dcterms:created>
  <dcterms:modified xsi:type="dcterms:W3CDTF">2025-11-30T06:25:00Z</dcterms:modified>
</cp:coreProperties>
</file>