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28849" w14:textId="77777777" w:rsidR="00A26225" w:rsidRPr="000353E5" w:rsidRDefault="00682C79" w:rsidP="000353E5">
      <w:pPr>
        <w:spacing w:after="0" w:line="240" w:lineRule="auto"/>
        <w:rPr>
          <w:sz w:val="20"/>
          <w:szCs w:val="20"/>
        </w:rPr>
      </w:pPr>
      <w:r w:rsidRPr="000353E5">
        <w:rPr>
          <w:noProof/>
          <w:sz w:val="20"/>
          <w:szCs w:val="20"/>
        </w:rPr>
        <w:drawing>
          <wp:inline distT="0" distB="0" distL="0" distR="0" wp14:anchorId="3E2421E5" wp14:editId="17981281">
            <wp:extent cx="5943600" cy="5477510"/>
            <wp:effectExtent l="0" t="0" r="0" b="8890"/>
            <wp:docPr id="92152934" name="Picture 9" descr="A graph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2934" name="Picture 9" descr="A graph of different number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5477510"/>
                    </a:xfrm>
                    <a:prstGeom prst="rect">
                      <a:avLst/>
                    </a:prstGeom>
                  </pic:spPr>
                </pic:pic>
              </a:graphicData>
            </a:graphic>
          </wp:inline>
        </w:drawing>
      </w:r>
    </w:p>
    <w:p w14:paraId="6E3AE674" w14:textId="77777777" w:rsidR="00A26225" w:rsidRPr="000353E5" w:rsidRDefault="00A26225" w:rsidP="000353E5">
      <w:pPr>
        <w:spacing w:after="0" w:line="240" w:lineRule="auto"/>
        <w:rPr>
          <w:rFonts w:ascii="Times New Roman" w:hAnsi="Times New Roman" w:cs="Times New Roman"/>
          <w:color w:val="000000" w:themeColor="text1"/>
          <w:sz w:val="20"/>
          <w:szCs w:val="20"/>
        </w:rPr>
      </w:pPr>
      <w:r w:rsidRPr="000353E5">
        <w:rPr>
          <w:rFonts w:ascii="Times New Roman" w:hAnsi="Times New Roman" w:cs="Times New Roman"/>
          <w:b/>
          <w:color w:val="000000" w:themeColor="text1"/>
          <w:sz w:val="20"/>
          <w:szCs w:val="20"/>
        </w:rPr>
        <w:t xml:space="preserve">Supplementary Fig. 1A. </w:t>
      </w:r>
      <w:r w:rsidRPr="000353E5">
        <w:rPr>
          <w:rFonts w:ascii="Times New Roman" w:hAnsi="Times New Roman" w:cs="Times New Roman"/>
          <w:color w:val="000000" w:themeColor="text1"/>
          <w:sz w:val="20"/>
          <w:szCs w:val="20"/>
        </w:rPr>
        <w:t xml:space="preserve">Histopathological comparison between PDAC organoids derived from the surgical resection and the original tissue. </w:t>
      </w:r>
      <w:r w:rsidRPr="000353E5">
        <w:rPr>
          <w:rFonts w:ascii="Times New Roman" w:hAnsi="Times New Roman" w:cs="Times New Roman"/>
          <w:b/>
          <w:color w:val="000000" w:themeColor="text1"/>
          <w:sz w:val="20"/>
          <w:szCs w:val="20"/>
        </w:rPr>
        <w:t xml:space="preserve">1B. </w:t>
      </w:r>
      <w:r w:rsidRPr="000353E5">
        <w:rPr>
          <w:rFonts w:ascii="Times New Roman" w:hAnsi="Times New Roman" w:cs="Times New Roman"/>
          <w:color w:val="000000" w:themeColor="text1"/>
          <w:sz w:val="20"/>
          <w:szCs w:val="20"/>
        </w:rPr>
        <w:t xml:space="preserve">Histopathological comparison between PDAC organoids derived from the fine needle aspiration biopsy and the original tissues. The size of scale bar is indicated in each </w:t>
      </w:r>
      <w:proofErr w:type="gramStart"/>
      <w:r w:rsidRPr="000353E5">
        <w:rPr>
          <w:rFonts w:ascii="Times New Roman" w:hAnsi="Times New Roman" w:cs="Times New Roman"/>
          <w:color w:val="000000" w:themeColor="text1"/>
          <w:sz w:val="20"/>
          <w:szCs w:val="20"/>
        </w:rPr>
        <w:t>slides</w:t>
      </w:r>
      <w:proofErr w:type="gramEnd"/>
      <w:r w:rsidRPr="000353E5">
        <w:rPr>
          <w:rFonts w:ascii="Times New Roman" w:hAnsi="Times New Roman" w:cs="Times New Roman"/>
          <w:color w:val="000000" w:themeColor="text1"/>
          <w:sz w:val="20"/>
          <w:szCs w:val="20"/>
        </w:rPr>
        <w:t>.</w:t>
      </w:r>
    </w:p>
    <w:p w14:paraId="5860214D" w14:textId="612BF3F5" w:rsidR="00A26225" w:rsidRPr="000353E5" w:rsidRDefault="00682C79" w:rsidP="000353E5">
      <w:pPr>
        <w:spacing w:after="0" w:line="240" w:lineRule="auto"/>
        <w:rPr>
          <w:sz w:val="20"/>
          <w:szCs w:val="20"/>
        </w:rPr>
      </w:pPr>
      <w:r w:rsidRPr="000353E5">
        <w:rPr>
          <w:noProof/>
          <w:sz w:val="20"/>
          <w:szCs w:val="20"/>
        </w:rPr>
        <w:lastRenderedPageBreak/>
        <w:drawing>
          <wp:inline distT="0" distB="0" distL="0" distR="0" wp14:anchorId="39C3EB4C" wp14:editId="74297662">
            <wp:extent cx="5500953" cy="6952593"/>
            <wp:effectExtent l="0" t="0" r="5080" b="1270"/>
            <wp:docPr id="835300322" name="Picture 10"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00322" name="Picture 10" descr="A collage of images of cell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02031" cy="6953956"/>
                    </a:xfrm>
                    <a:prstGeom prst="rect">
                      <a:avLst/>
                    </a:prstGeom>
                  </pic:spPr>
                </pic:pic>
              </a:graphicData>
            </a:graphic>
          </wp:inline>
        </w:drawing>
      </w:r>
    </w:p>
    <w:p w14:paraId="152D263A" w14:textId="08DE6C36" w:rsidR="00A26225" w:rsidRPr="000353E5" w:rsidRDefault="00A26225" w:rsidP="000353E5">
      <w:pPr>
        <w:spacing w:after="0" w:line="240" w:lineRule="auto"/>
        <w:rPr>
          <w:sz w:val="20"/>
          <w:szCs w:val="20"/>
        </w:rPr>
      </w:pPr>
      <w:r w:rsidRPr="000353E5">
        <w:rPr>
          <w:rFonts w:ascii="Times New Roman" w:eastAsia="HYSinMyeongJo-Medium" w:hAnsi="Times New Roman" w:cs="Times New Roman"/>
          <w:b/>
          <w:color w:val="FF0000"/>
          <w:sz w:val="20"/>
          <w:szCs w:val="20"/>
        </w:rPr>
        <w:t>Supplementary Fig.2.</w:t>
      </w:r>
      <w:r w:rsidRPr="000353E5">
        <w:rPr>
          <w:rFonts w:ascii="Times New Roman" w:eastAsia="HYSinMyeongJo-Medium" w:hAnsi="Times New Roman" w:cs="Times New Roman"/>
          <w:color w:val="FF0000"/>
          <w:sz w:val="20"/>
          <w:szCs w:val="20"/>
        </w:rPr>
        <w:t xml:space="preserve"> The intensity of each color channel was analyzed. </w:t>
      </w:r>
      <w:r w:rsidRPr="000353E5">
        <w:rPr>
          <w:rFonts w:ascii="Times New Roman" w:eastAsia="HYSinMyeongJo-Medium" w:hAnsi="Times New Roman" w:cs="Times New Roman"/>
          <w:b/>
          <w:color w:val="FF0000"/>
          <w:sz w:val="20"/>
          <w:szCs w:val="20"/>
        </w:rPr>
        <w:t>2A.</w:t>
      </w:r>
      <w:r w:rsidRPr="000353E5">
        <w:rPr>
          <w:rFonts w:ascii="Times New Roman" w:eastAsia="HYSinMyeongJo-Medium" w:hAnsi="Times New Roman" w:cs="Times New Roman"/>
          <w:color w:val="FF0000"/>
          <w:sz w:val="20"/>
          <w:szCs w:val="20"/>
        </w:rPr>
        <w:t xml:space="preserve"> The overall intensity of E-cadherin was normalized by dividing the intensity of E-cadherin expression (green channel) by the intensity of DAPI expression (blue channel). </w:t>
      </w:r>
      <w:r w:rsidRPr="000353E5">
        <w:rPr>
          <w:rFonts w:ascii="Times New Roman" w:eastAsia="HYSinMyeongJo-Medium" w:hAnsi="Times New Roman" w:cs="Times New Roman"/>
          <w:b/>
          <w:color w:val="FF0000"/>
          <w:sz w:val="20"/>
          <w:szCs w:val="20"/>
        </w:rPr>
        <w:t>2B.</w:t>
      </w:r>
      <w:r w:rsidRPr="000353E5">
        <w:rPr>
          <w:rFonts w:ascii="Times New Roman" w:eastAsia="HYSinMyeongJo-Medium" w:hAnsi="Times New Roman" w:cs="Times New Roman"/>
          <w:color w:val="FF0000"/>
          <w:sz w:val="20"/>
          <w:szCs w:val="20"/>
        </w:rPr>
        <w:t xml:space="preserve"> The overall intensity of KI-67 was normalized by dividing the intensity of KI-67 expression (green channel) by the intensity of DAPI expression (blue channel).</w:t>
      </w:r>
    </w:p>
    <w:p w14:paraId="56B8EEE4" w14:textId="5F804EE9" w:rsidR="00682C79" w:rsidRPr="000353E5" w:rsidRDefault="00682C79" w:rsidP="000353E5">
      <w:pPr>
        <w:spacing w:after="0" w:line="240" w:lineRule="auto"/>
        <w:rPr>
          <w:sz w:val="20"/>
          <w:szCs w:val="20"/>
        </w:rPr>
      </w:pPr>
      <w:r w:rsidRPr="000353E5">
        <w:rPr>
          <w:noProof/>
          <w:sz w:val="20"/>
          <w:szCs w:val="20"/>
        </w:rPr>
        <w:lastRenderedPageBreak/>
        <w:drawing>
          <wp:inline distT="0" distB="0" distL="0" distR="0" wp14:anchorId="533255D2" wp14:editId="1103F135">
            <wp:extent cx="5943600" cy="4272915"/>
            <wp:effectExtent l="0" t="0" r="0" b="0"/>
            <wp:docPr id="1423110146" name="Picture 11"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10146" name="Picture 11" descr="A diagram of a diagram of a diagram&#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272915"/>
                    </a:xfrm>
                    <a:prstGeom prst="rect">
                      <a:avLst/>
                    </a:prstGeom>
                  </pic:spPr>
                </pic:pic>
              </a:graphicData>
            </a:graphic>
          </wp:inline>
        </w:drawing>
      </w:r>
    </w:p>
    <w:p w14:paraId="34D16A5F" w14:textId="758B43DA" w:rsidR="00A26225" w:rsidRPr="000353E5" w:rsidRDefault="00A26225" w:rsidP="000353E5">
      <w:pPr>
        <w:spacing w:after="0" w:line="240" w:lineRule="auto"/>
        <w:rPr>
          <w:rFonts w:ascii="Times New Roman" w:hAnsi="Times New Roman" w:cs="Times New Roman"/>
          <w:color w:val="0070C0"/>
          <w:sz w:val="20"/>
          <w:szCs w:val="20"/>
        </w:rPr>
      </w:pPr>
      <w:r w:rsidRPr="000353E5">
        <w:rPr>
          <w:rFonts w:ascii="Times New Roman" w:eastAsia="HYSinMyeongJo-Medium" w:hAnsi="Times New Roman" w:cs="Times New Roman"/>
          <w:b/>
          <w:color w:val="000000" w:themeColor="text1"/>
          <w:sz w:val="20"/>
          <w:szCs w:val="20"/>
        </w:rPr>
        <w:t>Supplementary Fig. 3A</w:t>
      </w:r>
      <w:r w:rsidRPr="000353E5">
        <w:rPr>
          <w:rFonts w:ascii="Times New Roman" w:hAnsi="Times New Roman" w:cs="Times New Roman"/>
          <w:b/>
          <w:color w:val="000000" w:themeColor="text1"/>
          <w:sz w:val="20"/>
          <w:szCs w:val="20"/>
        </w:rPr>
        <w:t xml:space="preserve">. </w:t>
      </w:r>
      <w:r w:rsidRPr="000353E5">
        <w:rPr>
          <w:rFonts w:ascii="Times New Roman" w:hAnsi="Times New Roman" w:cs="Times New Roman"/>
          <w:color w:val="000000" w:themeColor="text1"/>
          <w:sz w:val="20"/>
          <w:szCs w:val="20"/>
        </w:rPr>
        <w:t xml:space="preserve">The organoids retain majority of mutations in the original tumor tissues. Mutations were designated with shared, tissue-only and organoid only. Each mutation type was marked with representative colors. </w:t>
      </w:r>
      <w:r w:rsidRPr="000353E5">
        <w:rPr>
          <w:rFonts w:ascii="Times New Roman" w:hAnsi="Times New Roman" w:cs="Times New Roman"/>
          <w:b/>
          <w:color w:val="0070C0"/>
          <w:sz w:val="20"/>
          <w:szCs w:val="20"/>
        </w:rPr>
        <w:t>3B.</w:t>
      </w:r>
      <w:r w:rsidRPr="000353E5">
        <w:rPr>
          <w:rFonts w:ascii="Times New Roman" w:hAnsi="Times New Roman" w:cs="Times New Roman"/>
          <w:color w:val="0070C0"/>
          <w:sz w:val="20"/>
          <w:szCs w:val="20"/>
        </w:rPr>
        <w:t xml:space="preserve"> Linear regression of variant allele frequency (VAF) of mutations within the tissue and organoid pairs was drawn. The Pearson correlation coefficient (R) with </w:t>
      </w:r>
      <w:r w:rsidRPr="000353E5">
        <w:rPr>
          <w:rFonts w:ascii="Times New Roman" w:hAnsi="Times New Roman" w:cs="Times New Roman"/>
          <w:i/>
          <w:color w:val="0070C0"/>
          <w:sz w:val="20"/>
          <w:szCs w:val="20"/>
        </w:rPr>
        <w:t>p</w:t>
      </w:r>
      <w:r w:rsidRPr="000353E5">
        <w:rPr>
          <w:rFonts w:ascii="Times New Roman" w:hAnsi="Times New Roman" w:cs="Times New Roman"/>
          <w:color w:val="0070C0"/>
          <w:sz w:val="20"/>
          <w:szCs w:val="20"/>
        </w:rPr>
        <w:t xml:space="preserve"> value is designated above. </w:t>
      </w:r>
      <w:r w:rsidRPr="000353E5">
        <w:rPr>
          <w:rFonts w:ascii="Times New Roman" w:hAnsi="Times New Roman" w:cs="Times New Roman"/>
          <w:b/>
          <w:color w:val="0070C0"/>
          <w:sz w:val="20"/>
          <w:szCs w:val="20"/>
        </w:rPr>
        <w:t>3C.</w:t>
      </w:r>
      <w:r w:rsidRPr="000353E5">
        <w:rPr>
          <w:rFonts w:ascii="Times New Roman" w:hAnsi="Times New Roman" w:cs="Times New Roman"/>
          <w:color w:val="0070C0"/>
          <w:sz w:val="20"/>
          <w:szCs w:val="20"/>
        </w:rPr>
        <w:t xml:space="preserve"> Local regression visualizing the dynamic pattern of variant allele frequencies (VAFs) between organoids and tissues. The Pearson correlation coefficient (R) with </w:t>
      </w:r>
      <w:r w:rsidRPr="000353E5">
        <w:rPr>
          <w:rFonts w:ascii="Times New Roman" w:hAnsi="Times New Roman" w:cs="Times New Roman"/>
          <w:i/>
          <w:color w:val="0070C0"/>
          <w:sz w:val="20"/>
          <w:szCs w:val="20"/>
        </w:rPr>
        <w:t>p</w:t>
      </w:r>
      <w:r w:rsidRPr="000353E5">
        <w:rPr>
          <w:rFonts w:ascii="Times New Roman" w:hAnsi="Times New Roman" w:cs="Times New Roman"/>
          <w:color w:val="0070C0"/>
          <w:sz w:val="20"/>
          <w:szCs w:val="20"/>
        </w:rPr>
        <w:t xml:space="preserve"> value is designated above.</w:t>
      </w:r>
    </w:p>
    <w:p w14:paraId="7AB7017F" w14:textId="1B509696" w:rsidR="00A26225" w:rsidRPr="000353E5" w:rsidRDefault="00A26225" w:rsidP="000353E5">
      <w:pPr>
        <w:spacing w:after="0" w:line="240" w:lineRule="auto"/>
        <w:rPr>
          <w:rFonts w:ascii="Times New Roman" w:hAnsi="Times New Roman" w:cs="Times New Roman"/>
          <w:color w:val="0070C0"/>
          <w:sz w:val="20"/>
          <w:szCs w:val="20"/>
        </w:rPr>
      </w:pPr>
    </w:p>
    <w:p w14:paraId="2E6B9066" w14:textId="77777777" w:rsidR="00A26225" w:rsidRPr="000353E5" w:rsidRDefault="00682C79" w:rsidP="000353E5">
      <w:pPr>
        <w:spacing w:after="0" w:line="240" w:lineRule="auto"/>
        <w:rPr>
          <w:sz w:val="20"/>
          <w:szCs w:val="20"/>
        </w:rPr>
      </w:pPr>
      <w:r w:rsidRPr="000353E5">
        <w:rPr>
          <w:noProof/>
          <w:sz w:val="20"/>
          <w:szCs w:val="20"/>
        </w:rPr>
        <w:drawing>
          <wp:inline distT="0" distB="0" distL="0" distR="0" wp14:anchorId="5532F405" wp14:editId="182CFD73">
            <wp:extent cx="5943600" cy="2011680"/>
            <wp:effectExtent l="0" t="0" r="0" b="7620"/>
            <wp:docPr id="1934852629" name="Picture 1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52629" name="Picture 12" descr="A diagram of a graph&#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011680"/>
                    </a:xfrm>
                    <a:prstGeom prst="rect">
                      <a:avLst/>
                    </a:prstGeom>
                  </pic:spPr>
                </pic:pic>
              </a:graphicData>
            </a:graphic>
          </wp:inline>
        </w:drawing>
      </w:r>
    </w:p>
    <w:p w14:paraId="5668FE13" w14:textId="77777777" w:rsidR="00A26225" w:rsidRPr="000353E5" w:rsidRDefault="00A26225" w:rsidP="000353E5">
      <w:pPr>
        <w:spacing w:after="0" w:line="240" w:lineRule="auto"/>
        <w:rPr>
          <w:rFonts w:ascii="Times New Roman" w:eastAsia="BatangChe" w:hAnsi="Times New Roman" w:cs="Times New Roman"/>
          <w:color w:val="000000" w:themeColor="text1"/>
          <w:kern w:val="0"/>
          <w:sz w:val="20"/>
          <w:szCs w:val="20"/>
        </w:rPr>
      </w:pPr>
      <w:r w:rsidRPr="000353E5">
        <w:rPr>
          <w:rFonts w:ascii="Times New Roman" w:eastAsia="BatangChe" w:hAnsi="Times New Roman" w:cs="Times New Roman"/>
          <w:b/>
          <w:color w:val="000000" w:themeColor="text1"/>
          <w:kern w:val="0"/>
          <w:sz w:val="20"/>
          <w:szCs w:val="20"/>
        </w:rPr>
        <w:t xml:space="preserve">Supplementary Fig. 4A. </w:t>
      </w:r>
      <w:r w:rsidRPr="000353E5">
        <w:rPr>
          <w:rFonts w:ascii="Times New Roman" w:eastAsia="BatangChe" w:hAnsi="Times New Roman" w:cs="Times New Roman"/>
          <w:color w:val="0070C0"/>
          <w:kern w:val="0"/>
          <w:sz w:val="20"/>
          <w:szCs w:val="20"/>
        </w:rPr>
        <w:t xml:space="preserve">Sixteen indel mutation types for both metastatic potential (MP) and non-metastatic potential (NMP) groups. The top facets display the types of indels, starting with C and T deletions, followed by C and T insertions, then multi-base deletions and insertions, and deletions associated with microhomology. The x-axis at the bottom indicates the number of repeat units. Each mutation type was specified with representative colors. </w:t>
      </w:r>
      <w:r w:rsidRPr="000353E5">
        <w:rPr>
          <w:rFonts w:ascii="Times New Roman" w:eastAsia="BatangChe" w:hAnsi="Times New Roman" w:cs="Times New Roman"/>
          <w:b/>
          <w:color w:val="000000" w:themeColor="text1"/>
          <w:kern w:val="0"/>
          <w:sz w:val="20"/>
          <w:szCs w:val="20"/>
        </w:rPr>
        <w:t>4B.</w:t>
      </w:r>
      <w:r w:rsidRPr="000353E5">
        <w:rPr>
          <w:rFonts w:ascii="Times New Roman" w:eastAsia="BatangChe" w:hAnsi="Times New Roman" w:cs="Times New Roman"/>
          <w:color w:val="000000" w:themeColor="text1"/>
          <w:kern w:val="0"/>
          <w:sz w:val="20"/>
          <w:szCs w:val="20"/>
        </w:rPr>
        <w:t xml:space="preserve"> Mutational signature extracted from the relative point mutation types of our PDAC cohort revealed two characteristic signatures.</w:t>
      </w:r>
    </w:p>
    <w:p w14:paraId="255A9EE0" w14:textId="77777777" w:rsidR="00A26225" w:rsidRPr="000353E5" w:rsidRDefault="00682C79" w:rsidP="000353E5">
      <w:pPr>
        <w:spacing w:after="0" w:line="240" w:lineRule="auto"/>
        <w:rPr>
          <w:sz w:val="20"/>
          <w:szCs w:val="20"/>
        </w:rPr>
      </w:pPr>
      <w:r w:rsidRPr="000353E5">
        <w:rPr>
          <w:noProof/>
          <w:sz w:val="20"/>
          <w:szCs w:val="20"/>
        </w:rPr>
        <w:lastRenderedPageBreak/>
        <w:drawing>
          <wp:inline distT="0" distB="0" distL="0" distR="0" wp14:anchorId="6DE85AE6" wp14:editId="2931BCEC">
            <wp:extent cx="4933507" cy="7409694"/>
            <wp:effectExtent l="0" t="0" r="635" b="1270"/>
            <wp:docPr id="40067177" name="Picture 13" descr="A graph of different colore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7177" name="Picture 13" descr="A graph of different colored shape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7916" cy="7416316"/>
                    </a:xfrm>
                    <a:prstGeom prst="rect">
                      <a:avLst/>
                    </a:prstGeom>
                  </pic:spPr>
                </pic:pic>
              </a:graphicData>
            </a:graphic>
          </wp:inline>
        </w:drawing>
      </w:r>
    </w:p>
    <w:p w14:paraId="77364F79" w14:textId="25BB070E" w:rsidR="00A26225" w:rsidRPr="000353E5" w:rsidRDefault="00A26225" w:rsidP="000353E5">
      <w:pPr>
        <w:spacing w:after="0" w:line="240" w:lineRule="auto"/>
        <w:rPr>
          <w:sz w:val="20"/>
          <w:szCs w:val="20"/>
        </w:rPr>
      </w:pPr>
      <w:r w:rsidRPr="000353E5">
        <w:rPr>
          <w:rFonts w:ascii="Times New Roman" w:eastAsia="HYSinMyeongJo-Medium" w:hAnsi="Times New Roman" w:cs="Times New Roman" w:hint="eastAsia"/>
          <w:b/>
          <w:color w:val="0070C0"/>
          <w:sz w:val="20"/>
          <w:szCs w:val="20"/>
        </w:rPr>
        <w:t>Supplementary Fig. 5</w:t>
      </w:r>
      <w:r w:rsidRPr="000353E5">
        <w:rPr>
          <w:rFonts w:ascii="Times New Roman" w:eastAsia="HYSinMyeongJo-Medium" w:hAnsi="Times New Roman" w:cs="Times New Roman"/>
          <w:b/>
          <w:color w:val="0070C0"/>
          <w:sz w:val="20"/>
          <w:szCs w:val="20"/>
        </w:rPr>
        <w:t xml:space="preserve">. </w:t>
      </w:r>
      <w:r w:rsidRPr="000353E5">
        <w:rPr>
          <w:rFonts w:ascii="Times New Roman" w:hAnsi="Times New Roman" w:cs="Times New Roman"/>
          <w:color w:val="0070C0"/>
          <w:sz w:val="20"/>
          <w:szCs w:val="20"/>
        </w:rPr>
        <w:t>The overall survival is compared between low TPM group (Blue) and high TPM group (Red) for LINC00520 (</w:t>
      </w:r>
      <w:r w:rsidRPr="000353E5">
        <w:rPr>
          <w:rFonts w:ascii="Times New Roman" w:hAnsi="Times New Roman" w:cs="Times New Roman"/>
          <w:b/>
          <w:color w:val="0070C0"/>
          <w:sz w:val="20"/>
          <w:szCs w:val="20"/>
        </w:rPr>
        <w:t>A</w:t>
      </w:r>
      <w:r w:rsidRPr="000353E5">
        <w:rPr>
          <w:rFonts w:ascii="Times New Roman" w:hAnsi="Times New Roman" w:cs="Times New Roman"/>
          <w:color w:val="0070C0"/>
          <w:sz w:val="20"/>
          <w:szCs w:val="20"/>
        </w:rPr>
        <w:t>), ALDH3A1 (</w:t>
      </w:r>
      <w:r w:rsidRPr="000353E5">
        <w:rPr>
          <w:rFonts w:ascii="Times New Roman" w:hAnsi="Times New Roman" w:cs="Times New Roman"/>
          <w:b/>
          <w:color w:val="0070C0"/>
          <w:sz w:val="20"/>
          <w:szCs w:val="20"/>
        </w:rPr>
        <w:t>B</w:t>
      </w:r>
      <w:r w:rsidRPr="000353E5">
        <w:rPr>
          <w:rFonts w:ascii="Times New Roman" w:hAnsi="Times New Roman" w:cs="Times New Roman"/>
          <w:color w:val="0070C0"/>
          <w:sz w:val="20"/>
          <w:szCs w:val="20"/>
        </w:rPr>
        <w:t>), and PDZK1 (</w:t>
      </w:r>
      <w:r w:rsidRPr="000353E5">
        <w:rPr>
          <w:rFonts w:ascii="Times New Roman" w:hAnsi="Times New Roman" w:cs="Times New Roman"/>
          <w:b/>
          <w:color w:val="0070C0"/>
          <w:sz w:val="20"/>
          <w:szCs w:val="20"/>
        </w:rPr>
        <w:t>C</w:t>
      </w:r>
      <w:r w:rsidRPr="000353E5">
        <w:rPr>
          <w:rFonts w:ascii="Times New Roman" w:hAnsi="Times New Roman" w:cs="Times New Roman"/>
          <w:color w:val="0070C0"/>
          <w:sz w:val="20"/>
          <w:szCs w:val="20"/>
        </w:rPr>
        <w:t xml:space="preserve">) using TCGA-PAAD cohort. The hazard ratio with corresponding </w:t>
      </w:r>
      <w:r w:rsidRPr="000353E5">
        <w:rPr>
          <w:rFonts w:ascii="Times New Roman" w:hAnsi="Times New Roman" w:cs="Times New Roman"/>
          <w:i/>
          <w:color w:val="0070C0"/>
          <w:sz w:val="20"/>
          <w:szCs w:val="20"/>
        </w:rPr>
        <w:t>p</w:t>
      </w:r>
      <w:r w:rsidRPr="000353E5">
        <w:rPr>
          <w:rFonts w:ascii="Times New Roman" w:hAnsi="Times New Roman" w:cs="Times New Roman"/>
          <w:color w:val="0070C0"/>
          <w:sz w:val="20"/>
          <w:szCs w:val="20"/>
        </w:rPr>
        <w:t>-values were indicated top right.</w:t>
      </w:r>
    </w:p>
    <w:p w14:paraId="56092BAD" w14:textId="77777777" w:rsidR="00A26225" w:rsidRPr="000353E5" w:rsidRDefault="00682C79" w:rsidP="000353E5">
      <w:pPr>
        <w:spacing w:after="0" w:line="240" w:lineRule="auto"/>
        <w:rPr>
          <w:sz w:val="20"/>
          <w:szCs w:val="20"/>
        </w:rPr>
      </w:pPr>
      <w:r w:rsidRPr="000353E5">
        <w:rPr>
          <w:noProof/>
          <w:sz w:val="20"/>
          <w:szCs w:val="20"/>
        </w:rPr>
        <w:lastRenderedPageBreak/>
        <w:drawing>
          <wp:inline distT="0" distB="0" distL="0" distR="0" wp14:anchorId="0BFFB8DA" wp14:editId="2F9A062F">
            <wp:extent cx="4991896" cy="7002379"/>
            <wp:effectExtent l="0" t="0" r="0" b="8255"/>
            <wp:docPr id="609890254" name="Picture 1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890254" name="Picture 14" descr="A screenshot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14889" cy="7034632"/>
                    </a:xfrm>
                    <a:prstGeom prst="rect">
                      <a:avLst/>
                    </a:prstGeom>
                  </pic:spPr>
                </pic:pic>
              </a:graphicData>
            </a:graphic>
          </wp:inline>
        </w:drawing>
      </w:r>
    </w:p>
    <w:p w14:paraId="0B1A2636" w14:textId="77777777" w:rsidR="00A26225" w:rsidRPr="000353E5" w:rsidRDefault="00A26225" w:rsidP="000353E5">
      <w:pPr>
        <w:spacing w:after="0" w:line="240" w:lineRule="auto"/>
        <w:rPr>
          <w:rFonts w:ascii="Times New Roman" w:eastAsia="BatangChe" w:hAnsi="Times New Roman" w:cs="Times New Roman"/>
          <w:color w:val="000000" w:themeColor="text1"/>
          <w:kern w:val="0"/>
          <w:sz w:val="20"/>
          <w:szCs w:val="20"/>
        </w:rPr>
      </w:pPr>
      <w:r w:rsidRPr="000353E5">
        <w:rPr>
          <w:rFonts w:ascii="Times New Roman" w:eastAsia="HYSinMyeongJo-Medium" w:hAnsi="Times New Roman" w:cs="Times New Roman" w:hint="eastAsia"/>
          <w:b/>
          <w:color w:val="000000" w:themeColor="text1"/>
          <w:sz w:val="20"/>
          <w:szCs w:val="20"/>
        </w:rPr>
        <w:t>Supplementary Fig. 6A.</w:t>
      </w:r>
      <w:r w:rsidRPr="000353E5">
        <w:rPr>
          <w:rFonts w:ascii="Times New Roman" w:eastAsia="HYSinMyeongJo-Medium" w:hAnsi="Times New Roman" w:cs="Times New Roman" w:hint="eastAsia"/>
          <w:color w:val="000000" w:themeColor="text1"/>
          <w:sz w:val="20"/>
          <w:szCs w:val="20"/>
        </w:rPr>
        <w:t xml:space="preserve"> </w:t>
      </w:r>
      <w:r w:rsidRPr="000353E5">
        <w:rPr>
          <w:rFonts w:ascii="Times New Roman" w:eastAsia="HYSinMyeongJo-Medium" w:hAnsi="Times New Roman" w:cs="Times New Roman"/>
          <w:color w:val="000000" w:themeColor="text1"/>
          <w:sz w:val="20"/>
          <w:szCs w:val="20"/>
        </w:rPr>
        <w:t>G</w:t>
      </w:r>
      <w:r w:rsidRPr="000353E5">
        <w:rPr>
          <w:rFonts w:ascii="Times New Roman" w:eastAsia="BatangChe" w:hAnsi="Times New Roman" w:cs="Times New Roman"/>
          <w:color w:val="000000" w:themeColor="text1"/>
          <w:kern w:val="0"/>
          <w:sz w:val="20"/>
          <w:szCs w:val="20"/>
        </w:rPr>
        <w:t xml:space="preserve">ene-drug interaction analysis using Wilcoxon rank sum test. Each dot indicated a pair of gene and drug. The size of the dot is proportional to the number of gene-drug set. When the mutational event was correlated to increased AUC values, the mutation was designated as resistant and colored in red. If the mutation was associated with decreased AUC values, it was assigned as sensitive and colored in blue. The absolute log fold change of AUC value &gt; 0.2 and p &lt;0.1 were considered as significant. </w:t>
      </w:r>
      <w:r w:rsidRPr="000353E5">
        <w:rPr>
          <w:rFonts w:ascii="Times New Roman" w:eastAsia="BatangChe" w:hAnsi="Times New Roman" w:cs="Times New Roman"/>
          <w:b/>
          <w:color w:val="000000" w:themeColor="text1"/>
          <w:kern w:val="0"/>
          <w:sz w:val="20"/>
          <w:szCs w:val="20"/>
        </w:rPr>
        <w:t xml:space="preserve">6B. </w:t>
      </w:r>
      <w:proofErr w:type="gramStart"/>
      <w:r w:rsidRPr="000353E5">
        <w:rPr>
          <w:rFonts w:ascii="Times New Roman" w:eastAsia="BatangChe" w:hAnsi="Times New Roman" w:cs="Times New Roman"/>
          <w:color w:val="000000" w:themeColor="text1"/>
          <w:kern w:val="0"/>
          <w:sz w:val="20"/>
          <w:szCs w:val="20"/>
        </w:rPr>
        <w:t>Multi-omics</w:t>
      </w:r>
      <w:proofErr w:type="gramEnd"/>
      <w:r w:rsidRPr="000353E5">
        <w:rPr>
          <w:rFonts w:ascii="Times New Roman" w:eastAsia="BatangChe" w:hAnsi="Times New Roman" w:cs="Times New Roman"/>
          <w:color w:val="000000" w:themeColor="text1"/>
          <w:kern w:val="0"/>
          <w:sz w:val="20"/>
          <w:szCs w:val="20"/>
        </w:rPr>
        <w:t xml:space="preserve"> analysis identified multiple correlations (R &gt; 0.77). Each block was marked with representative colors. </w:t>
      </w:r>
      <w:r w:rsidRPr="000353E5">
        <w:rPr>
          <w:rFonts w:ascii="Times New Roman" w:eastAsia="BatangChe" w:hAnsi="Times New Roman" w:cs="Times New Roman"/>
          <w:b/>
          <w:color w:val="000000" w:themeColor="text1"/>
          <w:kern w:val="0"/>
          <w:sz w:val="20"/>
          <w:szCs w:val="20"/>
        </w:rPr>
        <w:t xml:space="preserve">6C. </w:t>
      </w:r>
      <w:proofErr w:type="gramStart"/>
      <w:r w:rsidRPr="000353E5">
        <w:rPr>
          <w:rFonts w:ascii="Times New Roman" w:eastAsia="BatangChe" w:hAnsi="Times New Roman" w:cs="Times New Roman"/>
          <w:color w:val="000000" w:themeColor="text1"/>
          <w:kern w:val="0"/>
          <w:sz w:val="20"/>
          <w:szCs w:val="20"/>
        </w:rPr>
        <w:t>Principle</w:t>
      </w:r>
      <w:proofErr w:type="gramEnd"/>
      <w:r w:rsidRPr="000353E5">
        <w:rPr>
          <w:rFonts w:ascii="Times New Roman" w:eastAsia="BatangChe" w:hAnsi="Times New Roman" w:cs="Times New Roman"/>
          <w:color w:val="000000" w:themeColor="text1"/>
          <w:kern w:val="0"/>
          <w:sz w:val="20"/>
          <w:szCs w:val="20"/>
        </w:rPr>
        <w:t xml:space="preserve"> analysis indicated the scattered pattern of each factor on two components. Each block was marked with representative colors.</w:t>
      </w:r>
    </w:p>
    <w:p w14:paraId="1FB86C71" w14:textId="77777777" w:rsidR="00A26225" w:rsidRPr="000353E5" w:rsidRDefault="00A26225" w:rsidP="000353E5">
      <w:pPr>
        <w:spacing w:after="0" w:line="240" w:lineRule="auto"/>
        <w:rPr>
          <w:sz w:val="20"/>
          <w:szCs w:val="20"/>
        </w:rPr>
      </w:pPr>
    </w:p>
    <w:p w14:paraId="443B9BEB" w14:textId="77777777" w:rsidR="000353E5" w:rsidRDefault="00682C79" w:rsidP="000353E5">
      <w:pPr>
        <w:spacing w:after="0" w:line="240" w:lineRule="auto"/>
        <w:rPr>
          <w:rFonts w:ascii="Times New Roman" w:hAnsi="Times New Roman" w:cs="Times New Roman"/>
          <w:color w:val="000000" w:themeColor="text1"/>
          <w:sz w:val="20"/>
          <w:szCs w:val="20"/>
        </w:rPr>
      </w:pPr>
      <w:r w:rsidRPr="000353E5">
        <w:rPr>
          <w:noProof/>
          <w:sz w:val="20"/>
          <w:szCs w:val="20"/>
        </w:rPr>
        <w:lastRenderedPageBreak/>
        <w:drawing>
          <wp:inline distT="0" distB="0" distL="0" distR="0" wp14:anchorId="18C4AD7A" wp14:editId="70E22B0A">
            <wp:extent cx="6529751" cy="7187609"/>
            <wp:effectExtent l="0" t="0" r="4445" b="0"/>
            <wp:docPr id="827543318" name="Picture 1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43318" name="Picture 15"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36291" cy="7194808"/>
                    </a:xfrm>
                    <a:prstGeom prst="rect">
                      <a:avLst/>
                    </a:prstGeom>
                  </pic:spPr>
                </pic:pic>
              </a:graphicData>
            </a:graphic>
          </wp:inline>
        </w:drawing>
      </w:r>
      <w:r w:rsidR="00A26225" w:rsidRPr="000353E5">
        <w:rPr>
          <w:rFonts w:ascii="Times New Roman" w:hAnsi="Times New Roman" w:cs="Times New Roman" w:hint="eastAsia"/>
          <w:b/>
          <w:color w:val="000000" w:themeColor="text1"/>
          <w:sz w:val="20"/>
          <w:szCs w:val="20"/>
        </w:rPr>
        <w:t xml:space="preserve">Supplementary Fig. 7A. </w:t>
      </w:r>
      <w:r w:rsidR="00A26225" w:rsidRPr="000353E5">
        <w:rPr>
          <w:rFonts w:ascii="Times New Roman" w:hAnsi="Times New Roman" w:cs="Times New Roman"/>
          <w:color w:val="000000" w:themeColor="text1"/>
          <w:sz w:val="20"/>
          <w:szCs w:val="20"/>
        </w:rPr>
        <w:t xml:space="preserve">Contribution of each block on component 1 is depicted in accordance with their metastatic potency. </w:t>
      </w:r>
      <w:r w:rsidR="00A26225" w:rsidRPr="000353E5">
        <w:rPr>
          <w:rFonts w:ascii="Times New Roman" w:hAnsi="Times New Roman" w:cs="Times New Roman"/>
          <w:b/>
          <w:color w:val="000000" w:themeColor="text1"/>
          <w:sz w:val="20"/>
          <w:szCs w:val="20"/>
        </w:rPr>
        <w:t xml:space="preserve">7B. </w:t>
      </w:r>
      <w:r w:rsidR="00A26225" w:rsidRPr="000353E5">
        <w:rPr>
          <w:rFonts w:ascii="Times New Roman" w:hAnsi="Times New Roman" w:cs="Times New Roman"/>
          <w:color w:val="000000" w:themeColor="text1"/>
          <w:sz w:val="20"/>
          <w:szCs w:val="20"/>
        </w:rPr>
        <w:t>Contribution of each block on component 2 is depicted in accordance with their metastatic potency.</w:t>
      </w:r>
    </w:p>
    <w:p w14:paraId="5D5849D6" w14:textId="0527001A" w:rsidR="00A26225" w:rsidRPr="000353E5" w:rsidRDefault="00682C79" w:rsidP="000353E5">
      <w:pPr>
        <w:spacing w:after="0" w:line="240" w:lineRule="auto"/>
        <w:rPr>
          <w:rFonts w:ascii="Times New Roman" w:hAnsi="Times New Roman" w:cs="Times New Roman"/>
          <w:color w:val="000000" w:themeColor="text1"/>
          <w:sz w:val="20"/>
          <w:szCs w:val="20"/>
        </w:rPr>
      </w:pPr>
      <w:r w:rsidRPr="000353E5">
        <w:rPr>
          <w:noProof/>
          <w:sz w:val="20"/>
          <w:szCs w:val="20"/>
        </w:rPr>
        <w:lastRenderedPageBreak/>
        <w:drawing>
          <wp:inline distT="0" distB="0" distL="0" distR="0" wp14:anchorId="66B00AF9" wp14:editId="57073CB3">
            <wp:extent cx="4970780" cy="8229600"/>
            <wp:effectExtent l="0" t="0" r="1270" b="0"/>
            <wp:docPr id="1703909516" name="Picture 16"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909516" name="Picture 16" descr="A close-up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70780" cy="8229600"/>
                    </a:xfrm>
                    <a:prstGeom prst="rect">
                      <a:avLst/>
                    </a:prstGeom>
                  </pic:spPr>
                </pic:pic>
              </a:graphicData>
            </a:graphic>
          </wp:inline>
        </w:drawing>
      </w:r>
    </w:p>
    <w:p w14:paraId="14BAD3BC" w14:textId="1FCE1BF0" w:rsidR="00A26225" w:rsidRPr="000353E5" w:rsidRDefault="00A26225" w:rsidP="000353E5">
      <w:pPr>
        <w:spacing w:after="0" w:line="240" w:lineRule="auto"/>
        <w:rPr>
          <w:rFonts w:ascii="Times New Roman" w:hAnsi="Times New Roman" w:cs="Times New Roman"/>
          <w:color w:val="000000" w:themeColor="text1"/>
          <w:sz w:val="20"/>
          <w:szCs w:val="20"/>
        </w:rPr>
      </w:pPr>
      <w:r w:rsidRPr="000353E5">
        <w:rPr>
          <w:rFonts w:ascii="Times New Roman" w:hAnsi="Times New Roman" w:cs="Times New Roman"/>
          <w:b/>
          <w:color w:val="0070C0"/>
          <w:sz w:val="20"/>
          <w:szCs w:val="20"/>
        </w:rPr>
        <w:t>Supplementary Fig. 8.</w:t>
      </w:r>
      <w:r w:rsidRPr="000353E5">
        <w:rPr>
          <w:rFonts w:ascii="Times New Roman" w:hAnsi="Times New Roman" w:cs="Times New Roman"/>
          <w:color w:val="0070C0"/>
          <w:sz w:val="20"/>
          <w:szCs w:val="20"/>
        </w:rPr>
        <w:t xml:space="preserve"> The invasion ability was compared between MP (metastatic potential) and NMP (non-metastatic potential) organoids. MP organoids exhibited higher invasiveness (</w:t>
      </w:r>
      <w:r w:rsidRPr="000353E5">
        <w:rPr>
          <w:rFonts w:ascii="Times New Roman" w:hAnsi="Times New Roman" w:cs="Times New Roman"/>
          <w:b/>
          <w:color w:val="0070C0"/>
          <w:sz w:val="20"/>
          <w:szCs w:val="20"/>
        </w:rPr>
        <w:t>A</w:t>
      </w:r>
      <w:r w:rsidRPr="000353E5">
        <w:rPr>
          <w:rFonts w:ascii="Times New Roman" w:hAnsi="Times New Roman" w:cs="Times New Roman"/>
          <w:color w:val="0070C0"/>
          <w:sz w:val="20"/>
          <w:szCs w:val="20"/>
        </w:rPr>
        <w:t>) compared to NMP organoids (</w:t>
      </w:r>
      <w:r w:rsidRPr="000353E5">
        <w:rPr>
          <w:rFonts w:ascii="Times New Roman" w:hAnsi="Times New Roman" w:cs="Times New Roman"/>
          <w:b/>
          <w:color w:val="0070C0"/>
          <w:sz w:val="20"/>
          <w:szCs w:val="20"/>
        </w:rPr>
        <w:t>B</w:t>
      </w:r>
      <w:r w:rsidRPr="000353E5">
        <w:rPr>
          <w:rFonts w:ascii="Times New Roman" w:hAnsi="Times New Roman" w:cs="Times New Roman"/>
          <w:color w:val="0070C0"/>
          <w:sz w:val="20"/>
          <w:szCs w:val="20"/>
        </w:rPr>
        <w:t xml:space="preserve">). The scale bar represents 250 </w:t>
      </w:r>
      <w:proofErr w:type="spellStart"/>
      <w:r w:rsidRPr="000353E5">
        <w:rPr>
          <w:rFonts w:ascii="Times New Roman" w:hAnsi="Times New Roman" w:cs="Times New Roman"/>
          <w:color w:val="0070C0"/>
          <w:sz w:val="20"/>
          <w:szCs w:val="20"/>
        </w:rPr>
        <w:t>μm</w:t>
      </w:r>
      <w:proofErr w:type="spellEnd"/>
      <w:r w:rsidRPr="000353E5">
        <w:rPr>
          <w:rFonts w:ascii="Times New Roman" w:hAnsi="Times New Roman" w:cs="Times New Roman"/>
          <w:color w:val="0070C0"/>
          <w:sz w:val="20"/>
          <w:szCs w:val="20"/>
        </w:rPr>
        <w:t xml:space="preserve">. </w:t>
      </w:r>
      <w:r w:rsidRPr="000353E5">
        <w:rPr>
          <w:rFonts w:ascii="Times New Roman" w:hAnsi="Times New Roman" w:cs="Times New Roman"/>
          <w:b/>
          <w:color w:val="0070C0"/>
          <w:sz w:val="20"/>
          <w:szCs w:val="20"/>
        </w:rPr>
        <w:t xml:space="preserve">8C. </w:t>
      </w:r>
      <w:r w:rsidRPr="000353E5">
        <w:rPr>
          <w:rFonts w:ascii="Times New Roman" w:hAnsi="Times New Roman" w:cs="Times New Roman"/>
          <w:color w:val="0070C0"/>
          <w:sz w:val="20"/>
          <w:szCs w:val="20"/>
        </w:rPr>
        <w:t xml:space="preserve">Bar graph showed two MP organoids (SNU-4458-TO and SNU-4461-TO) </w:t>
      </w:r>
      <w:r w:rsidRPr="000353E5">
        <w:rPr>
          <w:rFonts w:ascii="Times New Roman" w:hAnsi="Times New Roman" w:cs="Times New Roman"/>
          <w:color w:val="0070C0"/>
          <w:sz w:val="20"/>
          <w:szCs w:val="20"/>
        </w:rPr>
        <w:lastRenderedPageBreak/>
        <w:t xml:space="preserve">invaded the invasion matrix significantly, while the other organoids showed lesser invasion. A P value &lt; 0.05 was considered statistically significant (**, P &lt; 0.01; *, P &lt; 0.05; ns, P &gt; 0.05). </w:t>
      </w:r>
      <w:r w:rsidRPr="000353E5">
        <w:rPr>
          <w:rFonts w:ascii="Times New Roman" w:hAnsi="Times New Roman" w:cs="Times New Roman"/>
          <w:b/>
          <w:color w:val="0070C0"/>
          <w:sz w:val="20"/>
          <w:szCs w:val="20"/>
        </w:rPr>
        <w:t xml:space="preserve">8D. </w:t>
      </w:r>
      <w:r w:rsidRPr="000353E5">
        <w:rPr>
          <w:rFonts w:ascii="Times New Roman" w:hAnsi="Times New Roman" w:cs="Times New Roman"/>
          <w:color w:val="0070C0"/>
          <w:sz w:val="20"/>
          <w:szCs w:val="20"/>
        </w:rPr>
        <w:t>Line graph exhibited that the proliferation rate of MP and NMP organoids was rarely different. The growth rate of SNU-4458-TO (MP, high cell proliferation rate) and SNU-5577-TO (NMP, low cell proliferation rate) 96 hours after initial seeding was compared, and there was no significant difference (ns, P &gt; 0.05). (Purple; metastatic, Yellow; non-metastatic).</w:t>
      </w:r>
    </w:p>
    <w:p w14:paraId="6628A6EE" w14:textId="597AF6BB" w:rsidR="00197549" w:rsidRPr="000353E5" w:rsidRDefault="00682C79" w:rsidP="000353E5">
      <w:pPr>
        <w:spacing w:after="0" w:line="240" w:lineRule="auto"/>
        <w:rPr>
          <w:sz w:val="20"/>
          <w:szCs w:val="20"/>
        </w:rPr>
      </w:pPr>
      <w:r w:rsidRPr="000353E5">
        <w:rPr>
          <w:noProof/>
          <w:sz w:val="20"/>
          <w:szCs w:val="20"/>
        </w:rPr>
        <w:drawing>
          <wp:inline distT="0" distB="0" distL="0" distR="0" wp14:anchorId="561A311C" wp14:editId="277F3B00">
            <wp:extent cx="5943600" cy="7113270"/>
            <wp:effectExtent l="0" t="0" r="0" b="0"/>
            <wp:docPr id="10686782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78233" name="Picture 10686782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113270"/>
                    </a:xfrm>
                    <a:prstGeom prst="rect">
                      <a:avLst/>
                    </a:prstGeom>
                  </pic:spPr>
                </pic:pic>
              </a:graphicData>
            </a:graphic>
          </wp:inline>
        </w:drawing>
      </w:r>
    </w:p>
    <w:p w14:paraId="00F410D8" w14:textId="04642AFA" w:rsidR="00A26225" w:rsidRPr="000353E5" w:rsidRDefault="00A26225" w:rsidP="000353E5">
      <w:pPr>
        <w:spacing w:after="0" w:line="240" w:lineRule="auto"/>
        <w:rPr>
          <w:sz w:val="20"/>
          <w:szCs w:val="20"/>
        </w:rPr>
      </w:pPr>
      <w:r w:rsidRPr="000353E5">
        <w:rPr>
          <w:rFonts w:ascii="Times New Roman" w:hAnsi="Times New Roman" w:cs="Times New Roman"/>
          <w:b/>
          <w:color w:val="0070C0"/>
          <w:sz w:val="20"/>
          <w:szCs w:val="20"/>
        </w:rPr>
        <w:t>Supplementary Fig. 9.</w:t>
      </w:r>
      <w:r w:rsidRPr="000353E5">
        <w:rPr>
          <w:rFonts w:ascii="Times New Roman" w:hAnsi="Times New Roman" w:cs="Times New Roman"/>
          <w:color w:val="0070C0"/>
          <w:sz w:val="20"/>
          <w:szCs w:val="20"/>
        </w:rPr>
        <w:t xml:space="preserve"> Expressional patterns of Vimentin (red channel) and E-cadherin (green channel) correlated with metastatic potential </w:t>
      </w:r>
      <w:r w:rsidRPr="000353E5">
        <w:rPr>
          <w:rFonts w:ascii="Times New Roman" w:hAnsi="Times New Roman" w:cs="Times New Roman"/>
          <w:b/>
          <w:color w:val="0070C0"/>
          <w:sz w:val="20"/>
          <w:szCs w:val="20"/>
        </w:rPr>
        <w:t>(A)</w:t>
      </w:r>
      <w:r w:rsidRPr="000353E5">
        <w:rPr>
          <w:rFonts w:ascii="Times New Roman" w:hAnsi="Times New Roman" w:cs="Times New Roman"/>
          <w:color w:val="0070C0"/>
          <w:sz w:val="20"/>
          <w:szCs w:val="20"/>
        </w:rPr>
        <w:t xml:space="preserve"> and non-metastatic potential </w:t>
      </w:r>
      <w:r w:rsidRPr="000353E5">
        <w:rPr>
          <w:rFonts w:ascii="Times New Roman" w:hAnsi="Times New Roman" w:cs="Times New Roman"/>
          <w:b/>
          <w:color w:val="0070C0"/>
          <w:sz w:val="20"/>
          <w:szCs w:val="20"/>
        </w:rPr>
        <w:t>(B)</w:t>
      </w:r>
      <w:r w:rsidRPr="000353E5">
        <w:rPr>
          <w:rFonts w:ascii="Times New Roman" w:hAnsi="Times New Roman" w:cs="Times New Roman"/>
          <w:color w:val="0070C0"/>
          <w:sz w:val="20"/>
          <w:szCs w:val="20"/>
        </w:rPr>
        <w:t xml:space="preserve"> are shown. The intensity of each signal is represented by a colored line graph. The scale bar is indicated at the bottom left side of the image. </w:t>
      </w:r>
      <w:r w:rsidRPr="000353E5">
        <w:rPr>
          <w:rFonts w:ascii="Times New Roman" w:hAnsi="Times New Roman" w:cs="Times New Roman"/>
          <w:b/>
          <w:color w:val="0070C0"/>
          <w:sz w:val="20"/>
          <w:szCs w:val="20"/>
        </w:rPr>
        <w:t>9C.</w:t>
      </w:r>
      <w:r w:rsidRPr="000353E5">
        <w:rPr>
          <w:rFonts w:ascii="Times New Roman" w:hAnsi="Times New Roman" w:cs="Times New Roman"/>
          <w:color w:val="0070C0"/>
          <w:sz w:val="20"/>
          <w:szCs w:val="20"/>
        </w:rPr>
        <w:t xml:space="preserve"> The overall intensity of Vimentin (red channel) and E-cadherin (green channel) expression was normalized by dividing by the intensity of DAPI expression (blue channel).</w:t>
      </w:r>
    </w:p>
    <w:sectPr w:rsidR="00A26225" w:rsidRPr="000353E5" w:rsidSect="00326AFB">
      <w:pgSz w:w="12240" w:h="15840"/>
      <w:pgMar w:top="14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YSinMyeongJo-Medium">
    <w:altName w:val="Batang"/>
    <w:charset w:val="81"/>
    <w:family w:val="roman"/>
    <w:pitch w:val="variable"/>
    <w:sig w:usb0="900002A7" w:usb1="29D77CF9" w:usb2="00000010" w:usb3="00000000" w:csb0="00080000" w:csb1="00000000"/>
  </w:font>
  <w:font w:name="BatangChe">
    <w:altName w:val="바탕체"/>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C79"/>
    <w:rsid w:val="000353E5"/>
    <w:rsid w:val="00197549"/>
    <w:rsid w:val="002D67D5"/>
    <w:rsid w:val="00326AFB"/>
    <w:rsid w:val="0037573B"/>
    <w:rsid w:val="00682C79"/>
    <w:rsid w:val="00A26225"/>
    <w:rsid w:val="00AA1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FF074"/>
  <w15:chartTrackingRefBased/>
  <w15:docId w15:val="{D2AF3B8C-CE0D-46EA-8ECF-7CCCF60D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680</Words>
  <Characters>3879</Characters>
  <Application>Microsoft Office Word</Application>
  <DocSecurity>0</DocSecurity>
  <Lines>32</Lines>
  <Paragraphs>9</Paragraphs>
  <ScaleCrop>false</ScaleCrop>
  <Company>Springer Nature</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Jayshree Uchappa Soli</dc:creator>
  <cp:keywords/>
  <dc:description/>
  <cp:lastModifiedBy>Jayshree Uchappa Soli</cp:lastModifiedBy>
  <cp:revision>6</cp:revision>
  <dcterms:created xsi:type="dcterms:W3CDTF">2024-03-20T05:15:00Z</dcterms:created>
  <dcterms:modified xsi:type="dcterms:W3CDTF">2024-03-20T05:22:00Z</dcterms:modified>
</cp:coreProperties>
</file>