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E1C86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Supporting Information</w:t>
      </w:r>
    </w:p>
    <w:p w14:paraId="5F49C9B7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3CC08F3">
      <w:pPr>
        <w:jc w:val="center"/>
        <w:rPr>
          <w:rFonts w:hint="eastAsia" w:ascii="TimesNewRomanPS-BoldMT" w:hAnsi="TimesNewRomanPS-BoldMT" w:eastAsia="宋体" w:cs="TimesNewRomanPS-BoldMT"/>
          <w:sz w:val="24"/>
          <w:szCs w:val="24"/>
        </w:rPr>
      </w:pP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val="en-US" w:eastAsia="zh-CN"/>
        </w:rPr>
        <w:t>GMPS inhibits the proliferation and migration of non-small cell lung cancer via the regulation of the DNMT 1 / SERPINB2 axis</w:t>
      </w:r>
    </w:p>
    <w:p w14:paraId="095BBCF3">
      <w:pPr>
        <w:jc w:val="center"/>
        <w:rPr>
          <w:rFonts w:ascii="宋体" w:hAnsi="宋体" w:eastAsia="宋体" w:cs="宋体"/>
          <w:sz w:val="30"/>
          <w:szCs w:val="30"/>
        </w:rPr>
      </w:pPr>
    </w:p>
    <w:p w14:paraId="6269D27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1CFA065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E193022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538D197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7C2996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6DB0A7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B1C7907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7DD827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2836B9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A890172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A072D9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E7203E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02A5ECF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B89361F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3936F30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0D924FF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25924F7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4843A83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6B4CE0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3738007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23841F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78E51A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10A2B3D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51BF57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8025E3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651FC51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8C6E9D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5CA6393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02B8DB7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0019D1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2D3D82E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F297D9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8481E67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9BE2092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D8823C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E21C6D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5AF80A2">
      <w:pPr>
        <w:pStyle w:val="2"/>
        <w:rPr>
          <w:rFonts w:ascii="Times New Roman" w:hAnsi="Times New Roman"/>
          <w:sz w:val="24"/>
        </w:rPr>
      </w:pPr>
      <w:r>
        <w:rPr>
          <w:rFonts w:ascii="Times New Roman" w:hAnsi="Times New Roman" w:eastAsia="宋体"/>
          <w:b/>
          <w:bCs/>
          <w:sz w:val="24"/>
        </w:rPr>
        <w:t>Table S1</w:t>
      </w:r>
      <w:r>
        <w:rPr>
          <w:rFonts w:ascii="Times New Roman" w:hAnsi="Times New Roman" w:eastAsia="宋体"/>
          <w:sz w:val="24"/>
        </w:rPr>
        <w:t>. List of genes and primers used for analysis.</w:t>
      </w:r>
    </w:p>
    <w:tbl>
      <w:tblPr>
        <w:tblStyle w:val="3"/>
        <w:tblpPr w:leftFromText="180" w:rightFromText="180" w:vertAnchor="text" w:horzAnchor="page" w:tblpX="1918" w:tblpY="153"/>
        <w:tblOverlap w:val="never"/>
        <w:tblW w:w="4751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8"/>
        <w:gridCol w:w="3950"/>
        <w:gridCol w:w="1560"/>
      </w:tblGrid>
      <w:tr w14:paraId="4DAFBB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6A980D7">
            <w:pPr>
              <w:widowControl/>
              <w:spacing w:line="240" w:lineRule="auto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Genes</w:t>
            </w:r>
          </w:p>
        </w:tc>
        <w:tc>
          <w:tcPr>
            <w:tcW w:w="2438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4EDF283">
            <w:pPr>
              <w:widowControl/>
              <w:spacing w:line="240" w:lineRule="auto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Primer sequences</w:t>
            </w:r>
          </w:p>
          <w:p w14:paraId="366282D0">
            <w:pPr>
              <w:widowControl/>
              <w:spacing w:line="240" w:lineRule="auto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(5’-3’)</w:t>
            </w:r>
          </w:p>
        </w:tc>
        <w:tc>
          <w:tcPr>
            <w:tcW w:w="963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46D8B2D">
            <w:pPr>
              <w:widowControl/>
              <w:spacing w:line="240" w:lineRule="auto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Product size (bp)</w:t>
            </w:r>
          </w:p>
        </w:tc>
      </w:tr>
      <w:tr w14:paraId="57E2EA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tcBorders>
              <w:top w:val="single" w:color="auto" w:sz="8" w:space="0"/>
            </w:tcBorders>
            <w:noWrap/>
            <w:vAlign w:val="center"/>
          </w:tcPr>
          <w:p w14:paraId="7DBC117C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 xml:space="preserve">SERPINB2 </w:t>
            </w:r>
          </w:p>
          <w:p w14:paraId="426D9C79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instrText xml:space="preserve"> HYPERLINK "http://www.ncbi.nlm.nih.gov/entrez/query.fcgi?cmd=Search&amp;db=Nucleotide&amp;term=NM_001143818" \t "https://pga.mgh.harvard.edu/cgi-bin/primerbank/_blank" </w:instrTex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NM_001143818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tcBorders>
              <w:top w:val="single" w:color="auto" w:sz="8" w:space="0"/>
            </w:tcBorders>
            <w:noWrap/>
            <w:vAlign w:val="center"/>
          </w:tcPr>
          <w:p w14:paraId="1DBE5C5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GAGGAGCATTGCCCGTCAG</w:t>
            </w:r>
          </w:p>
        </w:tc>
        <w:tc>
          <w:tcPr>
            <w:tcW w:w="963" w:type="pct"/>
            <w:vMerge w:val="restart"/>
            <w:tcBorders>
              <w:top w:val="single" w:color="auto" w:sz="8" w:space="0"/>
            </w:tcBorders>
            <w:vAlign w:val="center"/>
          </w:tcPr>
          <w:p w14:paraId="34734CB8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146</w:t>
            </w:r>
          </w:p>
        </w:tc>
      </w:tr>
      <w:tr w14:paraId="45EB9F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noWrap/>
            <w:vAlign w:val="center"/>
          </w:tcPr>
          <w:p w14:paraId="2DAFC2CA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noWrap/>
            <w:vAlign w:val="center"/>
          </w:tcPr>
          <w:p w14:paraId="0F111B07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GTTGTAGTGCAAGAAATGCTGGT</w:t>
            </w:r>
          </w:p>
        </w:tc>
        <w:tc>
          <w:tcPr>
            <w:tcW w:w="963" w:type="pct"/>
            <w:vMerge w:val="continue"/>
            <w:vAlign w:val="center"/>
          </w:tcPr>
          <w:p w14:paraId="5BDF1E7E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6FDA2A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4F60A045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 xml:space="preserve">ACTB </w:t>
            </w:r>
          </w:p>
          <w:p w14:paraId="5E021C3F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instrText xml:space="preserve"> HYPERLINK "http://www.ncbi.nlm.nih.gov/entrez/query.fcgi?cmd=Search&amp;db=Nucleotide&amp;term=NM_001101" \t "https://pga.mgh.harvard.edu/cgi-bin/primerbank/_blank" </w:instrTex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NM_001101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3CF24893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ACAGAGCCTCGCCTTTGCC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304D1DDA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250</w:t>
            </w:r>
          </w:p>
        </w:tc>
      </w:tr>
      <w:tr w14:paraId="2CC96C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1E2C25FD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7B643024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GATATCATCATCCATGGTGAGCTGG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50D74AA9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2E05A7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6171F369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>PCNA</w:t>
            </w:r>
          </w:p>
          <w:p w14:paraId="747A7BB8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NM_002592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17BEDA6B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TCTTCCCTTACGCAAGTCTCAG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29A8DF23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109</w:t>
            </w:r>
          </w:p>
        </w:tc>
      </w:tr>
      <w:tr w14:paraId="0EDF2E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6619E00B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74E5FAFB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CTTGAGTGCCTCCAACACC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147B3B3F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1E231E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6DD8EFC0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>Ki67</w:t>
            </w:r>
          </w:p>
          <w:p w14:paraId="5CF198D2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instrText xml:space="preserve"> HYPERLINK "http://www.ncbi.nlm.nih.gov/entrez/query.fcgi?cmd=Search&amp;db=Nucleotide&amp;term=NM_002417" \t "https://pga.mgh.harvard.edu/cgi-bin/primerbank/_blank" </w:instrTex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NM_002417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70F9BD0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CTTTGGGTGCGACTTGACGA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51492C83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209</w:t>
            </w:r>
          </w:p>
        </w:tc>
      </w:tr>
      <w:tr w14:paraId="2AD127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0652C09C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46EB248B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ACAACTCTTCCACTGGGACG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7E91A67A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716AA9E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0646DA67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 xml:space="preserve">SERPINB10 </w:t>
            </w:r>
          </w:p>
          <w:p w14:paraId="58E94686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NM_005024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3E27F08A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TCAACTCTTCAGCCACAATCTCT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378DA34E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tr w14:paraId="177BAB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15CEDCA6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293285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AGAGTCCATTGAGGAAACCTTGT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7C906441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5DFCDF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61D1C378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>SRPX</w:t>
            </w:r>
          </w:p>
          <w:p w14:paraId="0E93D89D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instrText xml:space="preserve"> HYPERLINK "http://www.ncbi.nlm.nih.gov/entrez/query.fcgi?cmd=Search&amp;db=Nucleotide&amp;term=NM_001170750" \t "https://pga.mgh.harvard.edu/cgi-bin/primerbank/_blank" </w:instrTex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NM_001170750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233F2474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TCCCTTGGTCTCTTCGGTCT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50F738FA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41</w:t>
            </w:r>
          </w:p>
        </w:tc>
      </w:tr>
      <w:tr w14:paraId="224241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6CD8057A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6C357ECF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ACCACGGGGTATCTGGGAA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681F07B9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7C969E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5F065BE0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>MNS1</w:t>
            </w:r>
          </w:p>
          <w:p w14:paraId="0A250532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instrText xml:space="preserve"> HYPERLINK "http://www.ncbi.nlm.nih.gov/entrez/query.fcgi?cmd=Search&amp;db=Nucleotide&amp;term=NM_018365" \t "https://pga.mgh.harvard.edu/cgi-bin/primerbank/_blank" </w:instrTex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NM_018365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74E760D1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AGCTCCACCGTTGCCAAG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6812091C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93</w:t>
            </w:r>
          </w:p>
        </w:tc>
      </w:tr>
      <w:tr w14:paraId="5DC3C4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6BCA4499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6E2620B3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TTCTCCTTTTGGAACCCATCTT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0FDB601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5CE4693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6F725576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>FAM171A1</w:t>
            </w:r>
          </w:p>
          <w:p w14:paraId="293434DA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instrText xml:space="preserve"> HYPERLINK "http://www.ncbi.nlm.nih.gov/entrez/query.fcgi?cmd=Search&amp;db=Nucleotide&amp;term=NM_001010924" \t "https://pga.mgh.harvard.edu/cgi-bin/primerbank/_blank" </w:instrTex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NM_001010924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2A53061A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GGTTTGACCAGAAGCTGGGA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7CF5FCDE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102</w:t>
            </w:r>
          </w:p>
        </w:tc>
      </w:tr>
      <w:tr w14:paraId="0F36CF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5CE65E4F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1DB517B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TGTGTTACAACGGGACCTGG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57EBDC1F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  <w:tr w14:paraId="77FAA9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restart"/>
            <w:shd w:val="clear" w:color="000000" w:fill="FFFFFF"/>
            <w:vAlign w:val="center"/>
          </w:tcPr>
          <w:p w14:paraId="3980B648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  <w:t>GMPS</w:t>
            </w:r>
          </w:p>
          <w:p w14:paraId="3EE5922E">
            <w:pPr>
              <w:widowControl/>
              <w:jc w:val="center"/>
              <w:textAlignment w:val="center"/>
              <w:rPr>
                <w:rFonts w:hint="eastAsia" w:eastAsia="Georgia"/>
                <w:i/>
                <w:iCs/>
                <w:color w:val="2E2E2E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instrText xml:space="preserve"> HYPERLINK "http://www.ncbi.nlm.nih.gov/entrez/query.fcgi?cmd=Search&amp;db=Nucleotide&amp;term=NM_003875" \t "https://pga.mgh.harvard.edu/cgi-bin/primerbank/_blank" </w:instrText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NM_003875</w:t>
            </w:r>
            <w:r>
              <w:rPr>
                <w:rFonts w:hint="default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eastAsia="Georgia"/>
                <w:i w:val="0"/>
                <w:iCs w:val="0"/>
                <w:color w:val="2E2E2E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38" w:type="pct"/>
            <w:shd w:val="clear" w:color="000000" w:fill="FFFFFF"/>
            <w:vAlign w:val="center"/>
          </w:tcPr>
          <w:p w14:paraId="1F489806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</w:t>
            </w:r>
            <w:r>
              <w:rPr>
                <w:rFonts w:hint="eastAsia"/>
                <w:kern w:val="0"/>
                <w:sz w:val="18"/>
                <w:szCs w:val="18"/>
              </w:rPr>
              <w:t>TCAGGGAGTCTGGGTATGCT</w:t>
            </w:r>
          </w:p>
        </w:tc>
        <w:tc>
          <w:tcPr>
            <w:tcW w:w="963" w:type="pct"/>
            <w:vMerge w:val="restart"/>
            <w:shd w:val="clear" w:color="000000" w:fill="FFFFFF"/>
            <w:vAlign w:val="center"/>
          </w:tcPr>
          <w:p w14:paraId="7004B159">
            <w:pPr>
              <w:widowControl/>
              <w:spacing w:line="240" w:lineRule="auto"/>
              <w:jc w:val="left"/>
              <w:rPr>
                <w:rFonts w:hint="default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</w:tr>
      <w:tr w14:paraId="1E271E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97" w:type="pct"/>
            <w:vMerge w:val="continue"/>
            <w:shd w:val="clear" w:color="000000" w:fill="FFFFFF"/>
            <w:vAlign w:val="center"/>
          </w:tcPr>
          <w:p w14:paraId="19AA080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2438" w:type="pct"/>
            <w:shd w:val="clear" w:color="000000" w:fill="FFFFFF"/>
            <w:vAlign w:val="center"/>
          </w:tcPr>
          <w:p w14:paraId="48FAAD4E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</w:t>
            </w:r>
            <w:r>
              <w:rPr>
                <w:rFonts w:hint="eastAsia"/>
                <w:kern w:val="0"/>
                <w:sz w:val="18"/>
                <w:szCs w:val="18"/>
              </w:rPr>
              <w:t>AGGCTGCTTTTGAAGTGGGT</w:t>
            </w:r>
          </w:p>
        </w:tc>
        <w:tc>
          <w:tcPr>
            <w:tcW w:w="963" w:type="pct"/>
            <w:vMerge w:val="continue"/>
            <w:shd w:val="clear" w:color="000000" w:fill="FFFFFF"/>
            <w:vAlign w:val="center"/>
          </w:tcPr>
          <w:p w14:paraId="20FDD3D2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</w:tr>
    </w:tbl>
    <w:p w14:paraId="6591CACC">
      <w:pP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A4BF8D7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drawing>
          <wp:inline distT="0" distB="0" distL="114300" distR="114300">
            <wp:extent cx="5273040" cy="5990590"/>
            <wp:effectExtent l="0" t="0" r="3810" b="10160"/>
            <wp:docPr id="10" name="图片 10" descr="Figure 1s-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1s-ai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99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t>Figure S1. GMPS expression was used for lung cancer single-cell data analysis.</w:t>
      </w:r>
    </w:p>
    <w:p w14:paraId="7EEBDA68">
      <w:pPr>
        <w:numPr>
          <w:ilvl w:val="0"/>
          <w:numId w:val="1"/>
        </w:numPr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UMAP displays subclusters of lung cancer samples including normal and tumor tissues.</w:t>
      </w:r>
    </w:p>
    <w:p w14:paraId="3C3E2CD5">
      <w:pPr>
        <w:numPr>
          <w:ilvl w:val="0"/>
          <w:numId w:val="1"/>
        </w:numPr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Expression of GPMS in each cell subset on normal and tumor tissues.</w:t>
      </w:r>
    </w:p>
    <w:p w14:paraId="6ECD4829">
      <w:pPr>
        <w:numPr>
          <w:ilvl w:val="0"/>
          <w:numId w:val="1"/>
        </w:numPr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D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oxplot Analysis of GPMS expression in each subset.</w:t>
      </w:r>
    </w:p>
    <w:p w14:paraId="690C4332">
      <w:pPr>
        <w:numPr>
          <w:ilvl w:val="0"/>
          <w:numId w:val="1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KEGG analysis of related signaling pathways upregulated in tumor tissues.</w:t>
      </w:r>
    </w:p>
    <w:p w14:paraId="4270EAFC">
      <w:pPr>
        <w:spacing w:line="24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   </w:t>
      </w:r>
    </w:p>
    <w:p w14:paraId="11695733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262254C9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00ECEDFC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3C451156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39CBF143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78B1E03D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07389094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40B6CE71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drawing>
          <wp:inline distT="0" distB="0" distL="114300" distR="114300">
            <wp:extent cx="5274310" cy="4250055"/>
            <wp:effectExtent l="0" t="0" r="0" b="0"/>
            <wp:docPr id="3" name="图片 3" descr="Figure 1s-1-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1s-1-ai"/>
                    <pic:cNvPicPr>
                      <a:picLocks noChangeAspect="1"/>
                    </pic:cNvPicPr>
                  </pic:nvPicPr>
                  <pic:blipFill>
                    <a:blip r:embed="rId5"/>
                    <a:srcRect b="5129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17775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t>Figure S2. GMPS expression and localisation in cell lines.</w:t>
      </w:r>
    </w:p>
    <w:p w14:paraId="075E9F5F">
      <w:pPr>
        <w:numPr>
          <w:ilvl w:val="0"/>
          <w:numId w:val="2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Detection of mRNA expression of GMPS in multiple non-small cell lung cancer cells using RT-qPCR.</w:t>
      </w:r>
    </w:p>
    <w:p w14:paraId="03524E5B">
      <w:pPr>
        <w:numPr>
          <w:ilvl w:val="0"/>
          <w:numId w:val="2"/>
        </w:numPr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Protein expression levels of GMPS in multiple non-small cell lung cancer cell lines. </w:t>
      </w:r>
    </w:p>
    <w:p w14:paraId="55DCCBE3">
      <w:pPr>
        <w:numPr>
          <w:ilvl w:val="0"/>
          <w:numId w:val="2"/>
        </w:numPr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Cellular immunofluorescence reveals major localisation of GMPS in PC-9 and SK-MES-1 cell lines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.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**, p&lt;0.01; ****, p&lt;0.0001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</w:t>
      </w:r>
    </w:p>
    <w:p w14:paraId="06B25337">
      <w:pPr>
        <w:numPr>
          <w:ilvl w:val="0"/>
          <w:numId w:val="2"/>
        </w:numPr>
        <w:spacing w:line="24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Survival analysis of lung squamous cell carcinoma in the TCGA database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.  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4745990" cy="4036695"/>
            <wp:effectExtent l="0" t="0" r="16510" b="1905"/>
            <wp:docPr id="2" name="图片 2" descr="Figure 2s-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2s-a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5990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F8BD1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5123AD87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t>Figure S3. Construction of GMPS overexpression and knockdown cell lines.</w:t>
      </w:r>
    </w:p>
    <w:p w14:paraId="43ACCFB0">
      <w:pPr>
        <w:numPr>
          <w:ilvl w:val="0"/>
          <w:numId w:val="3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Knockdown efficiency of GMPS in SK-MES-1 and PC-9 detected by RT-qPCR .</w:t>
      </w:r>
    </w:p>
    <w:p w14:paraId="6FEFA797">
      <w:pPr>
        <w:numPr>
          <w:ilvl w:val="0"/>
          <w:numId w:val="3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Western blot detection of GMPS stable knockdown of intracellular GMPS protein expression in SK-MES-1 and PC-9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</w:t>
      </w:r>
    </w:p>
    <w:p w14:paraId="094CDD28">
      <w:pPr>
        <w:numPr>
          <w:ilvl w:val="0"/>
          <w:numId w:val="3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mRNA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e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fficiency of RT-qPCR for GMPS overexpression in SK-MES-1 and H1299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.</w:t>
      </w:r>
    </w:p>
    <w:p w14:paraId="27FE1A85">
      <w:pPr>
        <w:numPr>
          <w:ilvl w:val="0"/>
          <w:numId w:val="3"/>
        </w:numPr>
        <w:spacing w:line="24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Western blot detection of GMPS in SK-MES-1 and H1299 protein overexpression efficiency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.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*, p&lt;0.05; ****, p&lt;0.0001.</w:t>
      </w:r>
    </w:p>
    <w:p w14:paraId="7DF620C9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3781425" cy="4208780"/>
            <wp:effectExtent l="0" t="0" r="9525" b="1270"/>
            <wp:docPr id="4" name="图片 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未标题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6C3C9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59D05783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t>Figure S4. Overexpression of GMPS promotes tumour proliferation .</w:t>
      </w:r>
    </w:p>
    <w:p w14:paraId="1B20791E">
      <w:pPr>
        <w:numPr>
          <w:ilvl w:val="0"/>
          <w:numId w:val="4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Transwell assay to verify the effect of GMPS overexpression on the migratory ability of SK-MES-1 and H1299 cells .</w:t>
      </w:r>
    </w:p>
    <w:p w14:paraId="5D1D66E8">
      <w:pPr>
        <w:numPr>
          <w:ilvl w:val="0"/>
          <w:numId w:val="4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RT-qPCR for mRNA expression of Ki67 and PCNA in H1299 overexpressing cell lines. **, p&lt;0.01; ***, p&lt;0.001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</w:t>
      </w:r>
    </w:p>
    <w:p w14:paraId="1A2071CB">
      <w:pPr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4018280" cy="3291840"/>
            <wp:effectExtent l="0" t="0" r="1270" b="3810"/>
            <wp:docPr id="5" name="图片 5" descr="Figure 4s-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4s-a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828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28D30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2277F8B8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t>Figure S5. DOX-induced GMPS stable knockdown cell model construction .</w:t>
      </w:r>
    </w:p>
    <w:p w14:paraId="2C5A3646">
      <w:pPr>
        <w:numPr>
          <w:ilvl w:val="0"/>
          <w:numId w:val="5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Different concentrations of DOX induced knockdown efficiency of GMPS in SK-MES-1.</w:t>
      </w:r>
    </w:p>
    <w:p w14:paraId="60D9A052">
      <w:pPr>
        <w:numPr>
          <w:ilvl w:val="0"/>
          <w:numId w:val="5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Microscopic observation of cell growth after addition of DOX induced GMPS knockdown in GMPS conditionally induced knockdown cell model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 scale：</w:t>
      </w:r>
      <w:r>
        <w:rPr>
          <w:rFonts w:ascii="TimesNewRomanPSMT" w:hAnsi="TimesNewRomanPSMT" w:eastAsia="TimesNewRomanPSMT" w:cs="TimesNewRomanPSMT"/>
          <w:b w:val="0"/>
          <w:bCs w:val="0"/>
          <w:i w:val="0"/>
          <w:iCs w:val="0"/>
          <w:color w:val="000000"/>
          <w:sz w:val="21"/>
          <w:szCs w:val="21"/>
        </w:rPr>
        <w:t>100µm</w:t>
      </w:r>
      <w:r>
        <w:rPr>
          <w:rFonts w:hint="eastAsia" w:ascii="TimesNewRomanPSMT" w:hAnsi="TimesNewRomanPSMT" w:eastAsia="宋体" w:cs="TimesNewRomanPSMT"/>
          <w:b w:val="0"/>
          <w:bCs w:val="0"/>
          <w:i w:val="0"/>
          <w:iCs w:val="0"/>
          <w:color w:val="000000"/>
          <w:sz w:val="21"/>
          <w:szCs w:val="21"/>
          <w:lang w:val="en-US" w:eastAsia="zh-CN"/>
        </w:rPr>
        <w:t xml:space="preserve"> .</w:t>
      </w:r>
      <w:r>
        <w:rPr>
          <w:rFonts w:ascii="宋体" w:hAnsi="宋体" w:eastAsia="宋体" w:cs="宋体"/>
          <w:sz w:val="21"/>
          <w:szCs w:val="21"/>
        </w:rPr>
        <w:t xml:space="preserve"> </w:t>
      </w:r>
    </w:p>
    <w:p w14:paraId="5704FF45">
      <w:pPr>
        <w:numPr>
          <w:ilvl w:val="0"/>
          <w:numId w:val="5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CCK8 to detect the proliferative capacity of wild-type SK-MES-1 under the action of DOX on wild-type SK-MES-1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 ns: no signification .</w:t>
      </w:r>
    </w:p>
    <w:p w14:paraId="5408E67D">
      <w:pPr>
        <w:numPr>
          <w:ilvl w:val="0"/>
          <w:numId w:val="0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39CB88A8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9865" cy="3892550"/>
            <wp:effectExtent l="0" t="0" r="6985" b="12700"/>
            <wp:docPr id="8" name="图片 8" descr="Figure 5s-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5s-ai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EAE66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</w:p>
    <w:p w14:paraId="0E0FD7BF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t>Figure S6. RNA-seq sequencing analysis of SK-MES-1 cells in control and GMPS knockdown groups .</w:t>
      </w:r>
    </w:p>
    <w:p w14:paraId="6C2CD5EA">
      <w:pPr>
        <w:numPr>
          <w:ilvl w:val="0"/>
          <w:numId w:val="6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Bar graph of differentially expressed genes, red represents significantly up-regulated genes; blue represents significantly down-regulated genes .</w:t>
      </w:r>
    </w:p>
    <w:p w14:paraId="11B5421B">
      <w:pPr>
        <w:numPr>
          <w:ilvl w:val="0"/>
          <w:numId w:val="0"/>
        </w:numPr>
        <w:spacing w:line="240" w:lineRule="auto"/>
        <w:ind w:left="0" w:leftChars="0" w:firstLine="0" w:firstLineChars="0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(B)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Clustering analysis of differentially expressed genes after knockdown of GMPS, clustering by RPKM values, red indicates highly expressed genes, blue indicates lowly expressed genes</w:t>
      </w:r>
      <w:r>
        <w:rPr>
          <w:rFonts w:hint="eastAsia" w:ascii="TimesNewRomanPSMT" w:hAnsi="TimesNewRomanPSMT" w:eastAsia="宋体" w:cs="TimesNewRomanPSMT"/>
          <w:b w:val="0"/>
          <w:bCs w:val="0"/>
          <w:i w:val="0"/>
          <w:iCs w:val="0"/>
          <w:color w:val="000000"/>
          <w:sz w:val="21"/>
          <w:szCs w:val="21"/>
          <w:lang w:val="en-US" w:eastAsia="zh-CN"/>
        </w:rPr>
        <w:t xml:space="preserve"> .</w:t>
      </w:r>
      <w:r>
        <w:rPr>
          <w:rFonts w:ascii="宋体" w:hAnsi="宋体" w:eastAsia="宋体" w:cs="宋体"/>
          <w:sz w:val="21"/>
          <w:szCs w:val="21"/>
        </w:rPr>
        <w:t xml:space="preserve"> </w:t>
      </w:r>
    </w:p>
    <w:p w14:paraId="5D2E0D41">
      <w:pPr>
        <w:numPr>
          <w:ilvl w:val="0"/>
          <w:numId w:val="0"/>
        </w:numPr>
        <w:spacing w:line="240" w:lineRule="auto"/>
        <w:ind w:left="0" w:leftChars="0" w:firstLine="0" w:firstLineChars="0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(C)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GO enrichment analysis of genes whose knockdown of GMPS resulted in significant downregulation of transcript levels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.</w:t>
      </w:r>
    </w:p>
    <w:p w14:paraId="13B21A24">
      <w:pPr>
        <w:numPr>
          <w:ilvl w:val="0"/>
          <w:numId w:val="0"/>
        </w:numPr>
        <w:spacing w:line="240" w:lineRule="auto"/>
        <w:ind w:leftChars="0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(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D-F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 xml:space="preserve"> GSEA enrichment analysis of RNA-seq sequencing data after knockdown of GMPS .</w:t>
      </w:r>
    </w:p>
    <w:p w14:paraId="04E022F4">
      <w:pPr>
        <w:numPr>
          <w:ilvl w:val="0"/>
          <w:numId w:val="0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2E0FEFEE">
      <w:pPr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06365" cy="6506210"/>
            <wp:effectExtent l="0" t="0" r="13335" b="8890"/>
            <wp:docPr id="6" name="图片 6" descr="Figure 7s-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7s-a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6365" cy="650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7AC03">
      <w:p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color w:val="C00000"/>
          <w:sz w:val="21"/>
          <w:szCs w:val="21"/>
          <w:lang w:val="en-US" w:eastAsia="zh-CN"/>
        </w:rPr>
        <w:t>Figure S7. Detection of uPA expression after GMPS knockdown .</w:t>
      </w:r>
    </w:p>
    <w:p w14:paraId="4885C0D8">
      <w:pPr>
        <w:numPr>
          <w:ilvl w:val="0"/>
          <w:numId w:val="7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Westren blot for GMPS knockdown and control SERPINB2 and uPA protein expression expression levels .</w:t>
      </w:r>
    </w:p>
    <w:p w14:paraId="02428132">
      <w:pPr>
        <w:numPr>
          <w:ilvl w:val="0"/>
          <w:numId w:val="7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GraphPad Prism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10 Statistical analysis of protein grey values in Measurement A</w:t>
      </w:r>
      <w:r>
        <w:rPr>
          <w:rFonts w:hint="eastAsia" w:ascii="TimesNewRomanPSMT" w:hAnsi="TimesNewRomanPSMT" w:eastAsia="宋体" w:cs="TimesNewRomanPSMT"/>
          <w:b w:val="0"/>
          <w:bCs w:val="0"/>
          <w:i w:val="0"/>
          <w:iCs w:val="0"/>
          <w:color w:val="000000"/>
          <w:sz w:val="21"/>
          <w:szCs w:val="21"/>
          <w:lang w:val="en-US" w:eastAsia="zh-CN"/>
        </w:rPr>
        <w:t xml:space="preserve"> .</w:t>
      </w:r>
      <w:r>
        <w:rPr>
          <w:rFonts w:ascii="宋体" w:hAnsi="宋体" w:eastAsia="宋体" w:cs="宋体"/>
          <w:sz w:val="21"/>
          <w:szCs w:val="21"/>
        </w:rPr>
        <w:t xml:space="preserve"> </w:t>
      </w:r>
    </w:p>
    <w:p w14:paraId="519DB48B">
      <w:pPr>
        <w:numPr>
          <w:ilvl w:val="0"/>
          <w:numId w:val="7"/>
        </w:numPr>
        <w:spacing w:line="240" w:lineRule="auto"/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Westren blot detection of protein expression after GMPS knockdown and RNA interference with S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E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RPINB2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.</w:t>
      </w:r>
    </w:p>
    <w:p w14:paraId="67DBF83F">
      <w:pPr>
        <w:numPr>
          <w:ilvl w:val="0"/>
          <w:numId w:val="7"/>
        </w:numPr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GraphPad Prism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10 Statistical analysis of protein grey values in Measurement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C .*, p&lt;0.05; **, p&lt;0.01; ***, p&lt;0.001; ****, p&lt;0.0001 .</w:t>
      </w:r>
    </w:p>
    <w:p w14:paraId="15CD348E">
      <w:pPr>
        <w:numPr>
          <w:ilvl w:val="0"/>
          <w:numId w:val="7"/>
        </w:numPr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Methylation status of the SERPINB2 promoter in GMPS knockdown and controls at four sites .</w:t>
      </w:r>
    </w:p>
    <w:p w14:paraId="1E9BBFF9">
      <w:pPr>
        <w:numPr>
          <w:ilvl w:val="0"/>
          <w:numId w:val="7"/>
        </w:numPr>
        <w:spacing w:line="240" w:lineRule="auto"/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Style w:val="7"/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Mean values of methylation status comparisons of SERPINB2 promoters 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YaHei-Bold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90D32"/>
    <w:multiLevelType w:val="singleLevel"/>
    <w:tmpl w:val="82590D32"/>
    <w:lvl w:ilvl="0" w:tentative="0">
      <w:start w:val="1"/>
      <w:numFmt w:val="upperLetter"/>
      <w:suff w:val="space"/>
      <w:lvlText w:val="(%1)"/>
      <w:lvlJc w:val="left"/>
      <w:rPr>
        <w:rFonts w:hint="default"/>
        <w:b w:val="0"/>
        <w:bCs w:val="0"/>
        <w:sz w:val="21"/>
        <w:szCs w:val="21"/>
      </w:rPr>
    </w:lvl>
  </w:abstractNum>
  <w:abstractNum w:abstractNumId="1">
    <w:nsid w:val="8DE9321B"/>
    <w:multiLevelType w:val="singleLevel"/>
    <w:tmpl w:val="8DE9321B"/>
    <w:lvl w:ilvl="0" w:tentative="0">
      <w:start w:val="1"/>
      <w:numFmt w:val="upperLetter"/>
      <w:suff w:val="space"/>
      <w:lvlText w:val="(%1)"/>
      <w:lvlJc w:val="left"/>
      <w:rPr>
        <w:rFonts w:hint="default"/>
        <w:b w:val="0"/>
        <w:bCs w:val="0"/>
        <w:sz w:val="21"/>
        <w:szCs w:val="21"/>
      </w:rPr>
    </w:lvl>
  </w:abstractNum>
  <w:abstractNum w:abstractNumId="2">
    <w:nsid w:val="B7EBC52C"/>
    <w:multiLevelType w:val="singleLevel"/>
    <w:tmpl w:val="B7EBC52C"/>
    <w:lvl w:ilvl="0" w:tentative="0">
      <w:start w:val="1"/>
      <w:numFmt w:val="upperLetter"/>
      <w:suff w:val="space"/>
      <w:lvlText w:val="(%1)"/>
      <w:lvlJc w:val="left"/>
      <w:rPr>
        <w:rFonts w:hint="default"/>
        <w:b w:val="0"/>
        <w:bCs w:val="0"/>
        <w:sz w:val="21"/>
        <w:szCs w:val="21"/>
      </w:rPr>
    </w:lvl>
  </w:abstractNum>
  <w:abstractNum w:abstractNumId="3">
    <w:nsid w:val="C1F60B44"/>
    <w:multiLevelType w:val="singleLevel"/>
    <w:tmpl w:val="C1F60B44"/>
    <w:lvl w:ilvl="0" w:tentative="0">
      <w:start w:val="1"/>
      <w:numFmt w:val="upperLetter"/>
      <w:suff w:val="space"/>
      <w:lvlText w:val="(%1)"/>
      <w:lvlJc w:val="left"/>
      <w:rPr>
        <w:rFonts w:hint="default"/>
        <w:b w:val="0"/>
        <w:bCs w:val="0"/>
        <w:sz w:val="21"/>
        <w:szCs w:val="21"/>
      </w:rPr>
    </w:lvl>
  </w:abstractNum>
  <w:abstractNum w:abstractNumId="4">
    <w:nsid w:val="E0EDE455"/>
    <w:multiLevelType w:val="singleLevel"/>
    <w:tmpl w:val="E0EDE455"/>
    <w:lvl w:ilvl="0" w:tentative="0">
      <w:start w:val="1"/>
      <w:numFmt w:val="upperLetter"/>
      <w:suff w:val="space"/>
      <w:lvlText w:val="(%1)"/>
      <w:lvlJc w:val="left"/>
      <w:rPr>
        <w:rFonts w:hint="default"/>
        <w:b w:val="0"/>
        <w:bCs w:val="0"/>
        <w:sz w:val="21"/>
        <w:szCs w:val="21"/>
      </w:rPr>
    </w:lvl>
  </w:abstractNum>
  <w:abstractNum w:abstractNumId="5">
    <w:nsid w:val="E1E9576E"/>
    <w:multiLevelType w:val="singleLevel"/>
    <w:tmpl w:val="E1E9576E"/>
    <w:lvl w:ilvl="0" w:tentative="0">
      <w:start w:val="1"/>
      <w:numFmt w:val="upperLetter"/>
      <w:suff w:val="space"/>
      <w:lvlText w:val="(%1)"/>
      <w:lvlJc w:val="left"/>
      <w:rPr>
        <w:rFonts w:hint="default"/>
        <w:b w:val="0"/>
        <w:bCs w:val="0"/>
        <w:sz w:val="21"/>
        <w:szCs w:val="21"/>
      </w:rPr>
    </w:lvl>
  </w:abstractNum>
  <w:abstractNum w:abstractNumId="6">
    <w:nsid w:val="5999945D"/>
    <w:multiLevelType w:val="singleLevel"/>
    <w:tmpl w:val="5999945D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mZjEzZDVjZjg0MTI4MjRkY2E5ZWJiMWJiYTA5ZDgifQ=="/>
  </w:docVars>
  <w:rsids>
    <w:rsidRoot w:val="22437695"/>
    <w:rsid w:val="179A45C5"/>
    <w:rsid w:val="198168B8"/>
    <w:rsid w:val="19AA7C2E"/>
    <w:rsid w:val="1B07138C"/>
    <w:rsid w:val="204D5FEA"/>
    <w:rsid w:val="22437695"/>
    <w:rsid w:val="28613C54"/>
    <w:rsid w:val="2E9C51EB"/>
    <w:rsid w:val="436871B6"/>
    <w:rsid w:val="49E414B8"/>
    <w:rsid w:val="5C841E70"/>
    <w:rsid w:val="67AA1713"/>
    <w:rsid w:val="687E35FE"/>
    <w:rsid w:val="6EE87D9B"/>
    <w:rsid w:val="72D93C56"/>
    <w:rsid w:val="73C06E9D"/>
    <w:rsid w:val="7C5E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Arial" w:hAnsi="Arial" w:eastAsia="黑体" w:cs="Times New Roman"/>
      <w:sz w:val="20"/>
      <w:szCs w:val="24"/>
      <w14:ligatures w14:val="none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style21"/>
    <w:basedOn w:val="4"/>
    <w:qFormat/>
    <w:uiPriority w:val="0"/>
    <w:rPr>
      <w:rFonts w:hint="default" w:ascii="TimesNewRomanPS-BoldMT" w:hAnsi="TimesNewRomanPS-BoldMT"/>
      <w:b/>
      <w:bCs/>
      <w:color w:val="000000"/>
      <w:sz w:val="32"/>
      <w:szCs w:val="32"/>
    </w:rPr>
  </w:style>
  <w:style w:type="character" w:customStyle="1" w:styleId="7">
    <w:name w:val="fontstyle01"/>
    <w:basedOn w:val="4"/>
    <w:qFormat/>
    <w:uiPriority w:val="0"/>
    <w:rPr>
      <w:rFonts w:hint="default" w:ascii="MicrosoftYaHei-Bold" w:hAnsi="MicrosoftYaHei-Bold"/>
      <w:b/>
      <w:bCs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571</Words>
  <Characters>3567</Characters>
  <Lines>0</Lines>
  <Paragraphs>0</Paragraphs>
  <TotalTime>1</TotalTime>
  <ScaleCrop>false</ScaleCrop>
  <LinksUpToDate>false</LinksUpToDate>
  <CharactersWithSpaces>9418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2024-08-15T02:23:00Z</dcterms:created>
  <dc:creator>木槿鸢尾</dc:creator>
  <cp:lastModifiedBy>小水滴</cp:lastModifiedBy>
  <dcterms:modified xsi:type="dcterms:W3CDTF">2025-04-07T07:48:26Z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AAC17C62F34C4B0E9333CC4A153CCADF_11</vt:lpwstr>
  </property>
  <property fmtid="{D5CDD505-2E9C-101B-9397-08002B2CF9AE}" pid="4" name="KSOTemplateDocerSaveRecord">
    <vt:lpwstr>eyJoZGlkIjoiMTBmYzljOWM5Mzc1MGExZjlkOTA2MjE5MjY0MmRhZGIiLCJ1c2VySWQiOiIxOTc3Nzk1NDYifQ==</vt:lpwstr>
  </property>
</Properties>
</file>