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5AD74" w14:textId="455F2C9F" w:rsidR="00F719FC" w:rsidRPr="00C616C7" w:rsidRDefault="00F719FC" w:rsidP="00F719FC">
      <w:pPr>
        <w:pStyle w:val="Heading2"/>
        <w:spacing w:before="120" w:after="240" w:line="276" w:lineRule="auto"/>
        <w:rPr>
          <w:rFonts w:ascii="Times New Roman" w:hAnsi="Times New Roman" w:cs="Times New Roman"/>
          <w:sz w:val="24"/>
          <w:szCs w:val="24"/>
        </w:rPr>
      </w:pPr>
      <w:r w:rsidRPr="00C616C7">
        <w:rPr>
          <w:rFonts w:ascii="Times New Roman" w:hAnsi="Times New Roman" w:cs="Times New Roman" w:hint="eastAsia"/>
          <w:sz w:val="24"/>
          <w:szCs w:val="24"/>
        </w:rPr>
        <w:t>S</w:t>
      </w:r>
      <w:r w:rsidRPr="00C616C7">
        <w:rPr>
          <w:rFonts w:ascii="Times New Roman" w:hAnsi="Times New Roman" w:cs="Times New Roman"/>
          <w:sz w:val="24"/>
          <w:szCs w:val="24"/>
        </w:rPr>
        <w:t xml:space="preserve">upplementary </w:t>
      </w:r>
      <w:r w:rsidR="00E85EAF">
        <w:rPr>
          <w:rFonts w:ascii="Times New Roman" w:hAnsi="Times New Roman" w:cs="Times New Roman" w:hint="eastAsia"/>
          <w:sz w:val="24"/>
          <w:szCs w:val="24"/>
        </w:rPr>
        <w:t>Information</w:t>
      </w:r>
    </w:p>
    <w:p w14:paraId="14ABF969" w14:textId="77777777" w:rsidR="00F719FC" w:rsidRPr="009073D5" w:rsidRDefault="00F719FC" w:rsidP="00F719FC">
      <w:pPr>
        <w:spacing w:afterLines="50" w:after="156" w:line="276" w:lineRule="auto"/>
        <w:rPr>
          <w:rFonts w:ascii="Times New Roman" w:hAnsi="Times New Roman" w:cs="Times New Roman"/>
          <w:b/>
          <w:bCs/>
          <w:szCs w:val="21"/>
        </w:rPr>
      </w:pPr>
      <w:r w:rsidRPr="009073D5">
        <w:rPr>
          <w:rFonts w:ascii="Times New Roman" w:hAnsi="Times New Roman" w:cs="Times New Roman"/>
          <w:b/>
          <w:bCs/>
          <w:szCs w:val="21"/>
        </w:rPr>
        <w:t>Table S1 Full listing of the study eligibility criteria</w:t>
      </w:r>
    </w:p>
    <w:tbl>
      <w:tblPr>
        <w:tblStyle w:val="PlainTable4"/>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36"/>
      </w:tblGrid>
      <w:tr w:rsidR="00F719FC" w:rsidRPr="002F79ED" w14:paraId="257B3430" w14:textId="77777777" w:rsidTr="00A753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shd w:val="clear" w:color="auto" w:fill="D9D9D9" w:themeFill="background1" w:themeFillShade="D9"/>
          </w:tcPr>
          <w:p w14:paraId="248BE274" w14:textId="77777777" w:rsidR="00F719FC" w:rsidRPr="002F79ED" w:rsidRDefault="00F719FC" w:rsidP="00A7530C">
            <w:pPr>
              <w:spacing w:before="120"/>
              <w:jc w:val="left"/>
              <w:rPr>
                <w:b w:val="0"/>
                <w:bCs w:val="0"/>
                <w:color w:val="000000"/>
                <w:sz w:val="18"/>
                <w:szCs w:val="18"/>
                <w:lang w:val="en-US"/>
              </w:rPr>
            </w:pPr>
            <w:r w:rsidRPr="002F79ED">
              <w:rPr>
                <w:sz w:val="18"/>
                <w:szCs w:val="18"/>
                <w:lang w:val="en-US"/>
              </w:rPr>
              <w:t xml:space="preserve">Inclusion: </w:t>
            </w:r>
            <w:r w:rsidRPr="002F79ED">
              <w:rPr>
                <w:b w:val="0"/>
                <w:bCs w:val="0"/>
                <w:sz w:val="18"/>
                <w:szCs w:val="18"/>
                <w:lang w:val="en-US"/>
              </w:rPr>
              <w:t>Patients must have met all of these criteria to be enrolled in the study</w:t>
            </w:r>
          </w:p>
        </w:tc>
      </w:tr>
      <w:tr w:rsidR="00F719FC" w:rsidRPr="002F79ED" w14:paraId="492867B8" w14:textId="77777777" w:rsidTr="00A753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028DEA2F" w14:textId="77777777" w:rsidR="00F719FC" w:rsidRPr="002F79ED" w:rsidRDefault="00F719FC" w:rsidP="00F719FC">
            <w:pPr>
              <w:pStyle w:val="ListParagraph"/>
              <w:widowControl/>
              <w:numPr>
                <w:ilvl w:val="0"/>
                <w:numId w:val="2"/>
              </w:numPr>
              <w:spacing w:line="340" w:lineRule="exact"/>
              <w:ind w:left="357" w:firstLineChars="0" w:hanging="357"/>
              <w:contextualSpacing/>
              <w:jc w:val="left"/>
              <w:rPr>
                <w:b w:val="0"/>
                <w:bCs w:val="0"/>
                <w:sz w:val="18"/>
                <w:szCs w:val="18"/>
              </w:rPr>
            </w:pPr>
            <w:r w:rsidRPr="002F79ED">
              <w:rPr>
                <w:b w:val="0"/>
                <w:bCs w:val="0"/>
                <w:sz w:val="18"/>
                <w:szCs w:val="18"/>
              </w:rPr>
              <w:t>Have fully understood and voluntarily signed the informed consent;</w:t>
            </w:r>
          </w:p>
          <w:p w14:paraId="195DD143" w14:textId="77777777" w:rsidR="00F719FC" w:rsidRPr="002F79ED" w:rsidRDefault="00F719FC" w:rsidP="00F719FC">
            <w:pPr>
              <w:pStyle w:val="ListParagraph"/>
              <w:widowControl/>
              <w:numPr>
                <w:ilvl w:val="0"/>
                <w:numId w:val="2"/>
              </w:numPr>
              <w:spacing w:line="340" w:lineRule="exact"/>
              <w:ind w:left="357" w:firstLineChars="0" w:hanging="357"/>
              <w:contextualSpacing/>
              <w:jc w:val="left"/>
              <w:rPr>
                <w:b w:val="0"/>
                <w:bCs w:val="0"/>
                <w:sz w:val="18"/>
                <w:szCs w:val="18"/>
              </w:rPr>
            </w:pPr>
            <w:r w:rsidRPr="002F79ED">
              <w:rPr>
                <w:b w:val="0"/>
                <w:bCs w:val="0"/>
                <w:sz w:val="18"/>
                <w:szCs w:val="18"/>
              </w:rPr>
              <w:t>Aged 18–75 years (inclusive);</w:t>
            </w:r>
          </w:p>
          <w:p w14:paraId="3F31B60F" w14:textId="77777777" w:rsidR="00F719FC" w:rsidRPr="002F79ED" w:rsidRDefault="00F719FC" w:rsidP="00F719FC">
            <w:pPr>
              <w:pStyle w:val="ListParagraph"/>
              <w:widowControl/>
              <w:numPr>
                <w:ilvl w:val="0"/>
                <w:numId w:val="2"/>
              </w:numPr>
              <w:spacing w:line="340" w:lineRule="exact"/>
              <w:ind w:left="357" w:firstLineChars="0" w:hanging="357"/>
              <w:contextualSpacing/>
              <w:jc w:val="left"/>
              <w:rPr>
                <w:b w:val="0"/>
                <w:bCs w:val="0"/>
                <w:sz w:val="18"/>
                <w:szCs w:val="18"/>
              </w:rPr>
            </w:pPr>
            <w:r w:rsidRPr="002F79ED">
              <w:rPr>
                <w:b w:val="0"/>
                <w:bCs w:val="0"/>
                <w:sz w:val="18"/>
                <w:szCs w:val="18"/>
              </w:rPr>
              <w:t>ECOG performance status of 0 or 1;</w:t>
            </w:r>
          </w:p>
          <w:p w14:paraId="71222933" w14:textId="77777777" w:rsidR="00F719FC" w:rsidRPr="00296D6D" w:rsidRDefault="00F719FC" w:rsidP="00F719FC">
            <w:pPr>
              <w:pStyle w:val="ListParagraph"/>
              <w:widowControl/>
              <w:numPr>
                <w:ilvl w:val="0"/>
                <w:numId w:val="2"/>
              </w:numPr>
              <w:spacing w:line="340" w:lineRule="exact"/>
              <w:ind w:left="357" w:firstLineChars="0" w:hanging="357"/>
              <w:contextualSpacing/>
              <w:jc w:val="left"/>
              <w:rPr>
                <w:sz w:val="18"/>
                <w:szCs w:val="18"/>
              </w:rPr>
            </w:pPr>
            <w:r w:rsidRPr="002F79ED">
              <w:rPr>
                <w:b w:val="0"/>
                <w:bCs w:val="0"/>
                <w:sz w:val="18"/>
                <w:szCs w:val="18"/>
              </w:rPr>
              <w:t xml:space="preserve">Patients with histologically or cytologically confirmed unresectable or metastatic advanced GC/GEJC, </w:t>
            </w:r>
            <w:r w:rsidRPr="00296D6D">
              <w:rPr>
                <w:b w:val="0"/>
                <w:bCs w:val="0"/>
                <w:sz w:val="18"/>
                <w:szCs w:val="18"/>
              </w:rPr>
              <w:t>who have failed standard first-line chemotherapy (containing fluorouracil and platinum), with or without an anti-PD-1 antibody;</w:t>
            </w:r>
            <w:r>
              <w:rPr>
                <w:sz w:val="18"/>
                <w:szCs w:val="18"/>
              </w:rPr>
              <w:t xml:space="preserve"> </w:t>
            </w:r>
          </w:p>
          <w:p w14:paraId="46937BDE" w14:textId="77777777" w:rsidR="00F719FC" w:rsidRPr="002F79ED" w:rsidRDefault="00F719FC" w:rsidP="00F719FC">
            <w:pPr>
              <w:pStyle w:val="ListParagraph"/>
              <w:widowControl/>
              <w:numPr>
                <w:ilvl w:val="0"/>
                <w:numId w:val="2"/>
              </w:numPr>
              <w:spacing w:line="340" w:lineRule="exact"/>
              <w:ind w:left="357" w:firstLineChars="0" w:hanging="357"/>
              <w:contextualSpacing/>
              <w:jc w:val="left"/>
              <w:rPr>
                <w:b w:val="0"/>
                <w:bCs w:val="0"/>
                <w:sz w:val="18"/>
                <w:szCs w:val="18"/>
              </w:rPr>
            </w:pPr>
            <w:r w:rsidRPr="002F79ED">
              <w:rPr>
                <w:b w:val="0"/>
                <w:bCs w:val="0"/>
                <w:sz w:val="18"/>
                <w:szCs w:val="18"/>
              </w:rPr>
              <w:t xml:space="preserve">Definite measurable lesions meeting the requirements of RECIST 1.1; if the lesion treated with previous local therapy (radiotherapy, ablation, vascular intervention, etc.) is the only lesion, there must be </w:t>
            </w:r>
            <w:r>
              <w:rPr>
                <w:b w:val="0"/>
                <w:bCs w:val="0"/>
                <w:sz w:val="18"/>
                <w:szCs w:val="18"/>
              </w:rPr>
              <w:t>clear</w:t>
            </w:r>
            <w:r w:rsidRPr="002F79ED">
              <w:rPr>
                <w:b w:val="0"/>
                <w:bCs w:val="0"/>
                <w:sz w:val="18"/>
                <w:szCs w:val="18"/>
              </w:rPr>
              <w:t xml:space="preserve"> evidence of </w:t>
            </w:r>
            <w:r>
              <w:rPr>
                <w:b w:val="0"/>
                <w:bCs w:val="0"/>
                <w:sz w:val="18"/>
                <w:szCs w:val="18"/>
              </w:rPr>
              <w:t>radiological</w:t>
            </w:r>
            <w:r w:rsidRPr="002F79ED">
              <w:rPr>
                <w:b w:val="0"/>
                <w:bCs w:val="0"/>
                <w:sz w:val="18"/>
                <w:szCs w:val="18"/>
              </w:rPr>
              <w:t xml:space="preserve"> progression for this lesion;</w:t>
            </w:r>
          </w:p>
          <w:p w14:paraId="2303D4AF" w14:textId="77777777" w:rsidR="00F719FC" w:rsidRPr="002F79ED" w:rsidRDefault="00F719FC" w:rsidP="00F719FC">
            <w:pPr>
              <w:pStyle w:val="ListParagraph"/>
              <w:widowControl/>
              <w:numPr>
                <w:ilvl w:val="0"/>
                <w:numId w:val="2"/>
              </w:numPr>
              <w:spacing w:line="340" w:lineRule="exact"/>
              <w:ind w:left="357" w:firstLineChars="0" w:hanging="357"/>
              <w:contextualSpacing/>
              <w:jc w:val="left"/>
              <w:rPr>
                <w:b w:val="0"/>
                <w:bCs w:val="0"/>
                <w:sz w:val="18"/>
                <w:szCs w:val="18"/>
              </w:rPr>
            </w:pPr>
            <w:r w:rsidRPr="002F79ED">
              <w:rPr>
                <w:b w:val="0"/>
                <w:bCs w:val="0"/>
                <w:sz w:val="18"/>
                <w:szCs w:val="18"/>
              </w:rPr>
              <w:t>Life expectancy ≥</w:t>
            </w:r>
            <w:r>
              <w:rPr>
                <w:b w:val="0"/>
                <w:bCs w:val="0"/>
                <w:sz w:val="18"/>
                <w:szCs w:val="18"/>
              </w:rPr>
              <w:t>6</w:t>
            </w:r>
            <w:r w:rsidRPr="002F79ED">
              <w:rPr>
                <w:b w:val="0"/>
                <w:bCs w:val="0"/>
                <w:sz w:val="18"/>
                <w:szCs w:val="18"/>
              </w:rPr>
              <w:t xml:space="preserve"> </w:t>
            </w:r>
            <w:r>
              <w:rPr>
                <w:b w:val="0"/>
                <w:bCs w:val="0"/>
                <w:sz w:val="18"/>
                <w:szCs w:val="18"/>
              </w:rPr>
              <w:t>month</w:t>
            </w:r>
            <w:r w:rsidRPr="002F79ED">
              <w:rPr>
                <w:b w:val="0"/>
                <w:bCs w:val="0"/>
                <w:sz w:val="18"/>
                <w:szCs w:val="18"/>
              </w:rPr>
              <w:t>s;</w:t>
            </w:r>
          </w:p>
          <w:p w14:paraId="6502F9AA" w14:textId="77777777" w:rsidR="00F719FC" w:rsidRPr="002F79ED" w:rsidRDefault="00F719FC" w:rsidP="00F719FC">
            <w:pPr>
              <w:pStyle w:val="ListParagraph"/>
              <w:widowControl/>
              <w:numPr>
                <w:ilvl w:val="0"/>
                <w:numId w:val="2"/>
              </w:numPr>
              <w:spacing w:line="340" w:lineRule="exact"/>
              <w:ind w:left="357" w:firstLineChars="0" w:hanging="357"/>
              <w:contextualSpacing/>
              <w:jc w:val="left"/>
              <w:rPr>
                <w:b w:val="0"/>
                <w:bCs w:val="0"/>
                <w:sz w:val="18"/>
                <w:szCs w:val="18"/>
              </w:rPr>
            </w:pPr>
            <w:r w:rsidRPr="002F79ED">
              <w:rPr>
                <w:b w:val="0"/>
                <w:bCs w:val="0"/>
                <w:sz w:val="18"/>
                <w:szCs w:val="18"/>
              </w:rPr>
              <w:t>Adequate bone marrow, liver and kidney organ function, laboratory tests within 7 days prior to the first dose meeting the following requirements:</w:t>
            </w:r>
          </w:p>
          <w:p w14:paraId="3E30E286" w14:textId="77777777" w:rsidR="00F719FC" w:rsidRPr="002F79ED" w:rsidRDefault="00F719FC" w:rsidP="00F719FC">
            <w:pPr>
              <w:pStyle w:val="ListParagraph"/>
              <w:widowControl/>
              <w:numPr>
                <w:ilvl w:val="0"/>
                <w:numId w:val="1"/>
              </w:numPr>
              <w:spacing w:line="340" w:lineRule="exact"/>
              <w:ind w:firstLineChars="0"/>
              <w:contextualSpacing/>
              <w:jc w:val="left"/>
              <w:rPr>
                <w:b w:val="0"/>
                <w:bCs w:val="0"/>
                <w:sz w:val="18"/>
                <w:szCs w:val="18"/>
              </w:rPr>
            </w:pPr>
            <w:r w:rsidRPr="002F79ED">
              <w:rPr>
                <w:b w:val="0"/>
                <w:bCs w:val="0"/>
                <w:sz w:val="18"/>
                <w:szCs w:val="18"/>
              </w:rPr>
              <w:t>ANC ≥1.5×10</w:t>
            </w:r>
            <w:r w:rsidRPr="002F79ED">
              <w:rPr>
                <w:b w:val="0"/>
                <w:bCs w:val="0"/>
                <w:sz w:val="18"/>
                <w:szCs w:val="18"/>
                <w:vertAlign w:val="superscript"/>
              </w:rPr>
              <w:t>9</w:t>
            </w:r>
            <w:r w:rsidRPr="002F79ED">
              <w:rPr>
                <w:b w:val="0"/>
                <w:bCs w:val="0"/>
                <w:sz w:val="18"/>
                <w:szCs w:val="18"/>
              </w:rPr>
              <w:t>/L, platelets ≥100×10</w:t>
            </w:r>
            <w:r w:rsidRPr="002F79ED">
              <w:rPr>
                <w:b w:val="0"/>
                <w:bCs w:val="0"/>
                <w:sz w:val="18"/>
                <w:szCs w:val="18"/>
                <w:vertAlign w:val="superscript"/>
              </w:rPr>
              <w:t>9</w:t>
            </w:r>
            <w:r w:rsidRPr="002F79ED">
              <w:rPr>
                <w:b w:val="0"/>
                <w:bCs w:val="0"/>
                <w:sz w:val="18"/>
                <w:szCs w:val="18"/>
              </w:rPr>
              <w:t>/L and hemoglobin ≥</w:t>
            </w:r>
            <w:r>
              <w:rPr>
                <w:b w:val="0"/>
                <w:bCs w:val="0"/>
                <w:sz w:val="18"/>
                <w:szCs w:val="18"/>
              </w:rPr>
              <w:t>8</w:t>
            </w:r>
            <w:r w:rsidRPr="002F79ED">
              <w:rPr>
                <w:b w:val="0"/>
                <w:bCs w:val="0"/>
                <w:sz w:val="18"/>
                <w:szCs w:val="18"/>
              </w:rPr>
              <w:t>0 g/L;</w:t>
            </w:r>
          </w:p>
          <w:p w14:paraId="746EFA81" w14:textId="77777777" w:rsidR="00F719FC" w:rsidRPr="002F79ED" w:rsidRDefault="00F719FC" w:rsidP="00F719FC">
            <w:pPr>
              <w:pStyle w:val="ListParagraph"/>
              <w:widowControl/>
              <w:numPr>
                <w:ilvl w:val="0"/>
                <w:numId w:val="1"/>
              </w:numPr>
              <w:spacing w:line="340" w:lineRule="exact"/>
              <w:ind w:firstLineChars="0"/>
              <w:contextualSpacing/>
              <w:jc w:val="left"/>
              <w:rPr>
                <w:b w:val="0"/>
                <w:bCs w:val="0"/>
                <w:sz w:val="18"/>
                <w:szCs w:val="18"/>
              </w:rPr>
            </w:pPr>
            <w:r w:rsidRPr="002F79ED">
              <w:rPr>
                <w:b w:val="0"/>
                <w:bCs w:val="0"/>
                <w:sz w:val="18"/>
                <w:szCs w:val="18"/>
              </w:rPr>
              <w:t>Serum total bilirubin ≤1.5×ULN;</w:t>
            </w:r>
          </w:p>
          <w:p w14:paraId="608D202C" w14:textId="77777777" w:rsidR="00F719FC" w:rsidRPr="002F79ED" w:rsidRDefault="00F719FC" w:rsidP="00F719FC">
            <w:pPr>
              <w:pStyle w:val="ListParagraph"/>
              <w:widowControl/>
              <w:numPr>
                <w:ilvl w:val="0"/>
                <w:numId w:val="1"/>
              </w:numPr>
              <w:spacing w:line="340" w:lineRule="exact"/>
              <w:ind w:firstLineChars="0"/>
              <w:contextualSpacing/>
              <w:jc w:val="left"/>
              <w:rPr>
                <w:b w:val="0"/>
                <w:bCs w:val="0"/>
                <w:sz w:val="18"/>
                <w:szCs w:val="18"/>
              </w:rPr>
            </w:pPr>
            <w:r w:rsidRPr="002F79ED">
              <w:rPr>
                <w:b w:val="0"/>
                <w:bCs w:val="0"/>
                <w:sz w:val="18"/>
                <w:szCs w:val="18"/>
              </w:rPr>
              <w:t>ALT and AST ≤1.5×ULN without liver metastasis; ALT and AST ≤3×ULN with liver metastasis;</w:t>
            </w:r>
          </w:p>
          <w:p w14:paraId="211814D3" w14:textId="77777777" w:rsidR="00F719FC" w:rsidRPr="002F79ED" w:rsidRDefault="00F719FC" w:rsidP="00F719FC">
            <w:pPr>
              <w:pStyle w:val="ListParagraph"/>
              <w:widowControl/>
              <w:numPr>
                <w:ilvl w:val="0"/>
                <w:numId w:val="1"/>
              </w:numPr>
              <w:spacing w:line="340" w:lineRule="exact"/>
              <w:ind w:firstLineChars="0"/>
              <w:contextualSpacing/>
              <w:jc w:val="left"/>
              <w:rPr>
                <w:b w:val="0"/>
                <w:bCs w:val="0"/>
                <w:sz w:val="18"/>
                <w:szCs w:val="18"/>
              </w:rPr>
            </w:pPr>
            <w:r w:rsidRPr="002F79ED">
              <w:rPr>
                <w:b w:val="0"/>
                <w:bCs w:val="0"/>
                <w:sz w:val="18"/>
                <w:szCs w:val="18"/>
              </w:rPr>
              <w:t xml:space="preserve">Serum creatinine ≤1.5×ULN and creatinine clearance ≥50 mL/min (calculated </w:t>
            </w:r>
            <w:r>
              <w:rPr>
                <w:b w:val="0"/>
                <w:bCs w:val="0"/>
                <w:sz w:val="18"/>
                <w:szCs w:val="18"/>
              </w:rPr>
              <w:t>by</w:t>
            </w:r>
            <w:r w:rsidRPr="002F79ED">
              <w:rPr>
                <w:b w:val="0"/>
                <w:bCs w:val="0"/>
                <w:sz w:val="18"/>
                <w:szCs w:val="18"/>
              </w:rPr>
              <w:t xml:space="preserve"> Cockcroft-Gault formula</w:t>
            </w:r>
            <w:r>
              <w:rPr>
                <w:b w:val="0"/>
                <w:bCs w:val="0"/>
                <w:sz w:val="18"/>
                <w:szCs w:val="18"/>
              </w:rPr>
              <w:t>)</w:t>
            </w:r>
            <w:r w:rsidRPr="002F79ED">
              <w:rPr>
                <w:b w:val="0"/>
                <w:bCs w:val="0"/>
                <w:sz w:val="18"/>
                <w:szCs w:val="18"/>
              </w:rPr>
              <w:t>;</w:t>
            </w:r>
          </w:p>
          <w:p w14:paraId="33E39827" w14:textId="77777777" w:rsidR="00F719FC" w:rsidRPr="002F79ED" w:rsidRDefault="00F719FC" w:rsidP="00F719FC">
            <w:pPr>
              <w:pStyle w:val="ListParagraph"/>
              <w:widowControl/>
              <w:numPr>
                <w:ilvl w:val="0"/>
                <w:numId w:val="1"/>
              </w:numPr>
              <w:spacing w:line="340" w:lineRule="exact"/>
              <w:ind w:firstLineChars="0"/>
              <w:contextualSpacing/>
              <w:jc w:val="left"/>
              <w:rPr>
                <w:b w:val="0"/>
                <w:bCs w:val="0"/>
                <w:sz w:val="18"/>
                <w:szCs w:val="18"/>
              </w:rPr>
            </w:pPr>
            <w:r w:rsidRPr="002F79ED">
              <w:rPr>
                <w:b w:val="0"/>
                <w:bCs w:val="0"/>
                <w:sz w:val="18"/>
                <w:szCs w:val="18"/>
              </w:rPr>
              <w:t>Urinalysis shows urine protein &lt;2+; if urine protein ≥2+, 24-hour urine protein quantification should be &lt;1 g;</w:t>
            </w:r>
          </w:p>
          <w:p w14:paraId="3D50DE2B" w14:textId="77777777" w:rsidR="00F719FC" w:rsidRPr="002F79ED" w:rsidRDefault="00F719FC" w:rsidP="00F719FC">
            <w:pPr>
              <w:pStyle w:val="ListParagraph"/>
              <w:widowControl/>
              <w:numPr>
                <w:ilvl w:val="0"/>
                <w:numId w:val="1"/>
              </w:numPr>
              <w:spacing w:line="340" w:lineRule="exact"/>
              <w:ind w:firstLineChars="0"/>
              <w:contextualSpacing/>
              <w:jc w:val="left"/>
              <w:rPr>
                <w:b w:val="0"/>
                <w:bCs w:val="0"/>
                <w:sz w:val="18"/>
                <w:szCs w:val="18"/>
              </w:rPr>
            </w:pPr>
            <w:r w:rsidRPr="002F79ED">
              <w:rPr>
                <w:b w:val="0"/>
                <w:bCs w:val="0"/>
                <w:sz w:val="18"/>
                <w:szCs w:val="18"/>
              </w:rPr>
              <w:t>INR ≤1.5 and APTT ≤1.5×ULN;</w:t>
            </w:r>
          </w:p>
          <w:p w14:paraId="6267F4D5" w14:textId="77777777" w:rsidR="00F719FC" w:rsidRPr="002F79ED" w:rsidRDefault="00F719FC" w:rsidP="00F719FC">
            <w:pPr>
              <w:pStyle w:val="ListParagraph"/>
              <w:widowControl/>
              <w:numPr>
                <w:ilvl w:val="0"/>
                <w:numId w:val="2"/>
              </w:numPr>
              <w:spacing w:after="120" w:line="340" w:lineRule="exact"/>
              <w:ind w:left="357" w:firstLineChars="0" w:hanging="357"/>
              <w:contextualSpacing/>
              <w:jc w:val="left"/>
              <w:rPr>
                <w:b w:val="0"/>
                <w:bCs w:val="0"/>
                <w:sz w:val="18"/>
                <w:szCs w:val="18"/>
              </w:rPr>
            </w:pPr>
            <w:r w:rsidRPr="002F79ED">
              <w:rPr>
                <w:b w:val="0"/>
                <w:bCs w:val="0"/>
                <w:sz w:val="18"/>
                <w:szCs w:val="18"/>
              </w:rPr>
              <w:t xml:space="preserve">Male or female patients of childbearing potential voluntarily use effective contraceptive methods during the study and within </w:t>
            </w:r>
            <w:r>
              <w:rPr>
                <w:b w:val="0"/>
                <w:bCs w:val="0"/>
                <w:sz w:val="18"/>
                <w:szCs w:val="18"/>
              </w:rPr>
              <w:t>6 months</w:t>
            </w:r>
            <w:r w:rsidRPr="002F79ED">
              <w:rPr>
                <w:b w:val="0"/>
                <w:bCs w:val="0"/>
                <w:sz w:val="18"/>
                <w:szCs w:val="18"/>
              </w:rPr>
              <w:t xml:space="preserve"> after </w:t>
            </w:r>
            <w:r>
              <w:rPr>
                <w:b w:val="0"/>
                <w:bCs w:val="0"/>
                <w:sz w:val="18"/>
                <w:szCs w:val="18"/>
              </w:rPr>
              <w:t xml:space="preserve">last dose of </w:t>
            </w:r>
            <w:r w:rsidRPr="002F79ED">
              <w:rPr>
                <w:b w:val="0"/>
                <w:bCs w:val="0"/>
                <w:sz w:val="18"/>
                <w:szCs w:val="18"/>
              </w:rPr>
              <w:t>study drug administration.</w:t>
            </w:r>
          </w:p>
        </w:tc>
      </w:tr>
      <w:tr w:rsidR="00F719FC" w:rsidRPr="002F79ED" w14:paraId="17853C08" w14:textId="77777777" w:rsidTr="00A7530C">
        <w:tc>
          <w:tcPr>
            <w:cnfStyle w:val="001000000000" w:firstRow="0" w:lastRow="0" w:firstColumn="1" w:lastColumn="0" w:oddVBand="0" w:evenVBand="0" w:oddHBand="0" w:evenHBand="0" w:firstRowFirstColumn="0" w:firstRowLastColumn="0" w:lastRowFirstColumn="0" w:lastRowLastColumn="0"/>
            <w:tcW w:w="5000" w:type="pct"/>
            <w:shd w:val="clear" w:color="auto" w:fill="D9D9D9" w:themeFill="background1" w:themeFillShade="D9"/>
          </w:tcPr>
          <w:p w14:paraId="2E1FDD9B" w14:textId="77777777" w:rsidR="00F719FC" w:rsidRPr="002F79ED" w:rsidRDefault="00F719FC" w:rsidP="00A7530C">
            <w:pPr>
              <w:keepNext/>
              <w:spacing w:before="120"/>
              <w:jc w:val="left"/>
              <w:rPr>
                <w:b w:val="0"/>
                <w:bCs w:val="0"/>
                <w:sz w:val="18"/>
                <w:szCs w:val="18"/>
                <w:lang w:val="en-US"/>
              </w:rPr>
            </w:pPr>
            <w:r w:rsidRPr="002F79ED">
              <w:rPr>
                <w:sz w:val="18"/>
                <w:szCs w:val="18"/>
                <w:lang w:val="en-US"/>
              </w:rPr>
              <w:t>Exclusion:</w:t>
            </w:r>
            <w:r w:rsidRPr="002F79ED">
              <w:rPr>
                <w:b w:val="0"/>
                <w:bCs w:val="0"/>
                <w:sz w:val="18"/>
                <w:szCs w:val="18"/>
                <w:lang w:val="en-US"/>
              </w:rPr>
              <w:t xml:space="preserve"> Patients with any of the following criteria were precluded from study enrolment</w:t>
            </w:r>
          </w:p>
        </w:tc>
      </w:tr>
      <w:tr w:rsidR="00F719FC" w:rsidRPr="002F79ED" w14:paraId="76B1DCFD" w14:textId="77777777" w:rsidTr="00A753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tcPr>
          <w:p w14:paraId="6D5CC5A3"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Previous anticancer treatment-related toxicities not recovered to CTCAE grade ≤ 1, except alopecia and oxaliplatin-induced peripheral neurotoxicity of CTCAE grade ≤ 2;</w:t>
            </w:r>
          </w:p>
          <w:p w14:paraId="1B16EA0A"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Other malignancies within the past 5 years (except for basal cell carcinoma or squamous cell carcinoma of the skin that has been effectively controlled, cervical carcinoma in situ);</w:t>
            </w:r>
          </w:p>
          <w:p w14:paraId="591D43CB" w14:textId="77777777" w:rsidR="00F719FC" w:rsidRPr="00521AAA"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Patients with symptomatic central nervous system (CNS) metastasis or carcinomatous meningitis (meningeal metastasis) during the screening period;</w:t>
            </w:r>
          </w:p>
          <w:p w14:paraId="52BEAB7F" w14:textId="77777777" w:rsidR="00F719FC" w:rsidRPr="00521AAA"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Received radical radiotherapy (including more than 25% bone marrow radiotherapy) within 4 weeks prior to the first dose; brachytherapy (such as implantation of radioactive seeds) within 60 days before the first dose; received palliative radiotherapy for bone metastases 1 week before the first dose;</w:t>
            </w:r>
          </w:p>
          <w:p w14:paraId="77C5FE6D"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Patients who have undergone major surgery or have not healed wounds and fractures with clinical significance 4 weeks before the first dose;</w:t>
            </w:r>
          </w:p>
          <w:p w14:paraId="01BE8CE5"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Uncontrolled malignant pleural effusion, ascites or pericardial effusion (defined as not effectively controlled by diuretics or paracentesis, as judged by the investigator);</w:t>
            </w:r>
          </w:p>
          <w:p w14:paraId="062FD2E2"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Pr>
                <w:b w:val="0"/>
                <w:bCs w:val="0"/>
                <w:sz w:val="18"/>
                <w:szCs w:val="18"/>
              </w:rPr>
              <w:t>Presence of a</w:t>
            </w:r>
            <w:r w:rsidRPr="002F79ED">
              <w:rPr>
                <w:b w:val="0"/>
                <w:bCs w:val="0"/>
                <w:sz w:val="18"/>
                <w:szCs w:val="18"/>
              </w:rPr>
              <w:t>ctive gastric and duodenal ulcer, ulcerative colitis and other gastrointestinal diseases or unresected tumor with active bleeding, or other conditions that may cause gastrointestinal bleeding and perforation as judged by the investigator;</w:t>
            </w:r>
          </w:p>
          <w:p w14:paraId="73B9E997"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lastRenderedPageBreak/>
              <w:t>Patients with evidence or history of significant bleeding tendency within 2 months before the first dose (bleeding &gt;30 mL, with hematemesis, melena, hematochezia within 2 months), hemoptysis (fresh blood &gt;5 mL within 4 weeks);</w:t>
            </w:r>
          </w:p>
          <w:p w14:paraId="3E432D3F" w14:textId="77777777" w:rsidR="00F719FC" w:rsidRPr="00255697"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Arterial thrombosis or deep venous thrombosis within 6 months</w:t>
            </w:r>
            <w:r>
              <w:rPr>
                <w:b w:val="0"/>
                <w:bCs w:val="0"/>
                <w:sz w:val="18"/>
                <w:szCs w:val="18"/>
              </w:rPr>
              <w:t>,</w:t>
            </w:r>
            <w:r w:rsidRPr="002F79ED">
              <w:rPr>
                <w:b w:val="0"/>
                <w:bCs w:val="0"/>
                <w:sz w:val="18"/>
                <w:szCs w:val="18"/>
              </w:rPr>
              <w:t xml:space="preserve"> or thromboembolic event (including stroke event and/or transient ischemic attack) within 12 months prior to the first dose;</w:t>
            </w:r>
          </w:p>
          <w:p w14:paraId="322BAE11"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 xml:space="preserve">Patients </w:t>
            </w:r>
            <w:r>
              <w:rPr>
                <w:b w:val="0"/>
                <w:bCs w:val="0"/>
                <w:sz w:val="18"/>
                <w:szCs w:val="18"/>
              </w:rPr>
              <w:t>who have</w:t>
            </w:r>
            <w:r w:rsidRPr="002F79ED">
              <w:rPr>
                <w:b w:val="0"/>
                <w:bCs w:val="0"/>
                <w:sz w:val="18"/>
                <w:szCs w:val="18"/>
              </w:rPr>
              <w:t xml:space="preserve"> active pulmonary tuberculosis </w:t>
            </w:r>
            <w:r>
              <w:rPr>
                <w:b w:val="0"/>
                <w:bCs w:val="0"/>
                <w:sz w:val="18"/>
                <w:szCs w:val="18"/>
              </w:rPr>
              <w:t>and</w:t>
            </w:r>
            <w:r w:rsidRPr="002F79ED">
              <w:rPr>
                <w:b w:val="0"/>
                <w:bCs w:val="0"/>
                <w:sz w:val="18"/>
                <w:szCs w:val="18"/>
              </w:rPr>
              <w:t xml:space="preserve"> are receiving anti-tuberculosis treatment</w:t>
            </w:r>
            <w:r>
              <w:rPr>
                <w:b w:val="0"/>
                <w:bCs w:val="0"/>
                <w:sz w:val="18"/>
                <w:szCs w:val="18"/>
              </w:rPr>
              <w:t>,</w:t>
            </w:r>
            <w:r w:rsidRPr="002F79ED">
              <w:rPr>
                <w:b w:val="0"/>
                <w:bCs w:val="0"/>
                <w:sz w:val="18"/>
                <w:szCs w:val="18"/>
              </w:rPr>
              <w:t xml:space="preserve"> or </w:t>
            </w:r>
            <w:r>
              <w:rPr>
                <w:b w:val="0"/>
                <w:bCs w:val="0"/>
                <w:sz w:val="18"/>
                <w:szCs w:val="18"/>
              </w:rPr>
              <w:t xml:space="preserve">who </w:t>
            </w:r>
            <w:r w:rsidRPr="002F79ED">
              <w:rPr>
                <w:b w:val="0"/>
                <w:bCs w:val="0"/>
                <w:sz w:val="18"/>
                <w:szCs w:val="18"/>
              </w:rPr>
              <w:t>have received anti-tuberculosis treatment within 1 year prior to the first dose;</w:t>
            </w:r>
          </w:p>
          <w:p w14:paraId="50C19665"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Pr>
                <w:b w:val="0"/>
                <w:bCs w:val="0"/>
                <w:sz w:val="18"/>
                <w:szCs w:val="18"/>
              </w:rPr>
              <w:t>C</w:t>
            </w:r>
            <w:r w:rsidRPr="002F79ED">
              <w:rPr>
                <w:b w:val="0"/>
                <w:bCs w:val="0"/>
                <w:sz w:val="18"/>
                <w:szCs w:val="18"/>
              </w:rPr>
              <w:t xml:space="preserve">urrent </w:t>
            </w:r>
            <w:r>
              <w:rPr>
                <w:b w:val="0"/>
                <w:bCs w:val="0"/>
                <w:sz w:val="18"/>
                <w:szCs w:val="18"/>
              </w:rPr>
              <w:t xml:space="preserve">presence or a </w:t>
            </w:r>
            <w:r w:rsidRPr="002F79ED">
              <w:rPr>
                <w:b w:val="0"/>
                <w:bCs w:val="0"/>
                <w:sz w:val="18"/>
                <w:szCs w:val="18"/>
              </w:rPr>
              <w:t>history of pulmonary fibrosis, interstitial pneumonia, pneumoconiosis, radiation pneumonitis, drug-related pneumonia, severely impaired pulmonary function that may interfere with the detection and treatment of suspected drug-related pulmonary toxicity; radiation pneumonitis in the radiation therapy area is allowed;</w:t>
            </w:r>
          </w:p>
          <w:p w14:paraId="2DB380D3" w14:textId="77777777" w:rsidR="00F719FC" w:rsidRPr="001A0FFB"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907F80">
              <w:rPr>
                <w:b w:val="0"/>
                <w:bCs w:val="0"/>
                <w:sz w:val="18"/>
                <w:szCs w:val="18"/>
              </w:rPr>
              <w:t>Presence of corneal lesions, including but not limited to bullous keratopathy, shingle corneal degeneration, corneal abrasions, corneal ulcers, keratitis, etc.</w:t>
            </w:r>
          </w:p>
          <w:p w14:paraId="5A61FA37"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Known history of clinically significant liver disease, including active viral hepatitis (HBV DNA &gt;1×10</w:t>
            </w:r>
            <w:r w:rsidRPr="002F79ED">
              <w:rPr>
                <w:b w:val="0"/>
                <w:bCs w:val="0"/>
                <w:sz w:val="18"/>
                <w:szCs w:val="18"/>
                <w:vertAlign w:val="superscript"/>
              </w:rPr>
              <w:t>3</w:t>
            </w:r>
            <w:r w:rsidRPr="002F79ED">
              <w:rPr>
                <w:b w:val="0"/>
                <w:bCs w:val="0"/>
                <w:sz w:val="18"/>
                <w:szCs w:val="18"/>
              </w:rPr>
              <w:t> copies/mL or &gt;200 IU/mL when HBV surface antigen and/or HBV core antibody is positive; known HCV antibody positive and HCV RNA &gt;1×10</w:t>
            </w:r>
            <w:r w:rsidRPr="002F79ED">
              <w:rPr>
                <w:b w:val="0"/>
                <w:bCs w:val="0"/>
                <w:sz w:val="18"/>
                <w:szCs w:val="18"/>
                <w:vertAlign w:val="superscript"/>
              </w:rPr>
              <w:t>3</w:t>
            </w:r>
            <w:r w:rsidRPr="002F79ED">
              <w:rPr>
                <w:b w:val="0"/>
                <w:bCs w:val="0"/>
                <w:sz w:val="18"/>
                <w:szCs w:val="18"/>
              </w:rPr>
              <w:t> copies/mL], or other hepatitis, clinically significant moderate to severe cirrhosis;</w:t>
            </w:r>
          </w:p>
          <w:p w14:paraId="7BC8E878"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Positive HIV antibody screening;</w:t>
            </w:r>
          </w:p>
          <w:p w14:paraId="658B3149" w14:textId="77777777" w:rsidR="00F719FC" w:rsidRPr="00F5694C"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Patients with clinically significant cardiovascular disease, including</w:t>
            </w:r>
            <w:r>
              <w:rPr>
                <w:b w:val="0"/>
                <w:bCs w:val="0"/>
                <w:sz w:val="18"/>
                <w:szCs w:val="18"/>
              </w:rPr>
              <w:t>:</w:t>
            </w:r>
          </w:p>
          <w:p w14:paraId="27EEBABA" w14:textId="77777777" w:rsidR="00F719FC" w:rsidRPr="00D401F8" w:rsidRDefault="00F719FC" w:rsidP="00F719FC">
            <w:pPr>
              <w:pStyle w:val="ListParagraph"/>
              <w:widowControl/>
              <w:numPr>
                <w:ilvl w:val="0"/>
                <w:numId w:val="1"/>
              </w:numPr>
              <w:spacing w:line="340" w:lineRule="exact"/>
              <w:ind w:firstLineChars="0"/>
              <w:contextualSpacing/>
              <w:jc w:val="left"/>
              <w:rPr>
                <w:b w:val="0"/>
                <w:bCs w:val="0"/>
                <w:sz w:val="18"/>
                <w:szCs w:val="18"/>
              </w:rPr>
            </w:pPr>
            <w:r w:rsidRPr="00D401F8">
              <w:rPr>
                <w:b w:val="0"/>
                <w:bCs w:val="0"/>
                <w:sz w:val="18"/>
                <w:szCs w:val="18"/>
              </w:rPr>
              <w:t>Clinically significant arrhythmias or conduction abnormalities requiring clinical intervention</w:t>
            </w:r>
          </w:p>
          <w:p w14:paraId="0C7E390E" w14:textId="77777777" w:rsidR="00F719FC" w:rsidRPr="00D401F8" w:rsidRDefault="00F719FC" w:rsidP="00F719FC">
            <w:pPr>
              <w:pStyle w:val="ListParagraph"/>
              <w:widowControl/>
              <w:numPr>
                <w:ilvl w:val="0"/>
                <w:numId w:val="1"/>
              </w:numPr>
              <w:spacing w:line="340" w:lineRule="exact"/>
              <w:ind w:firstLineChars="0"/>
              <w:contextualSpacing/>
              <w:jc w:val="left"/>
              <w:rPr>
                <w:b w:val="0"/>
                <w:bCs w:val="0"/>
                <w:sz w:val="18"/>
                <w:szCs w:val="18"/>
              </w:rPr>
            </w:pPr>
            <w:r w:rsidRPr="00D401F8">
              <w:rPr>
                <w:b w:val="0"/>
                <w:bCs w:val="0"/>
                <w:sz w:val="18"/>
                <w:szCs w:val="18"/>
              </w:rPr>
              <w:t>Electrocardiogram (ECG) indicating an QT interval (</w:t>
            </w:r>
            <w:proofErr w:type="spellStart"/>
            <w:r w:rsidRPr="00D401F8">
              <w:rPr>
                <w:b w:val="0"/>
                <w:bCs w:val="0"/>
                <w:sz w:val="18"/>
                <w:szCs w:val="18"/>
              </w:rPr>
              <w:t>QTcF</w:t>
            </w:r>
            <w:proofErr w:type="spellEnd"/>
            <w:r w:rsidRPr="00D401F8">
              <w:rPr>
                <w:b w:val="0"/>
                <w:bCs w:val="0"/>
                <w:sz w:val="18"/>
                <w:szCs w:val="18"/>
              </w:rPr>
              <w:t>) of &gt; 480 msec</w:t>
            </w:r>
          </w:p>
          <w:p w14:paraId="615F8C80" w14:textId="77777777" w:rsidR="00F719FC" w:rsidRPr="002F79ED" w:rsidRDefault="00F719FC" w:rsidP="00F719FC">
            <w:pPr>
              <w:pStyle w:val="ListParagraph"/>
              <w:widowControl/>
              <w:numPr>
                <w:ilvl w:val="0"/>
                <w:numId w:val="1"/>
              </w:numPr>
              <w:spacing w:line="340" w:lineRule="exact"/>
              <w:ind w:firstLineChars="0"/>
              <w:contextualSpacing/>
              <w:jc w:val="left"/>
              <w:rPr>
                <w:b w:val="0"/>
                <w:bCs w:val="0"/>
                <w:sz w:val="18"/>
                <w:szCs w:val="18"/>
              </w:rPr>
            </w:pPr>
            <w:r>
              <w:rPr>
                <w:b w:val="0"/>
                <w:bCs w:val="0"/>
                <w:sz w:val="18"/>
                <w:szCs w:val="18"/>
              </w:rPr>
              <w:t>A</w:t>
            </w:r>
            <w:r w:rsidRPr="002F79ED">
              <w:rPr>
                <w:b w:val="0"/>
                <w:bCs w:val="0"/>
                <w:sz w:val="18"/>
                <w:szCs w:val="18"/>
              </w:rPr>
              <w:t>cute myocardial infarction, severe/unstable angina or coronary artery bypass grafting within 6 months before the first dose; congestive heart failure of NYHA class ≥2; LVEF &lt;50%;</w:t>
            </w:r>
          </w:p>
          <w:p w14:paraId="299DF01B"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B73370">
              <w:rPr>
                <w:b w:val="0"/>
                <w:bCs w:val="0"/>
                <w:sz w:val="18"/>
                <w:szCs w:val="18"/>
              </w:rPr>
              <w:t>Severe diabetes, with uncontrolled blood sugar or serious diabetes complications</w:t>
            </w:r>
            <w:r>
              <w:rPr>
                <w:b w:val="0"/>
                <w:bCs w:val="0"/>
                <w:sz w:val="18"/>
                <w:szCs w:val="18"/>
              </w:rPr>
              <w:t>;</w:t>
            </w:r>
          </w:p>
          <w:p w14:paraId="2B10FAFA"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Women who are pregnant (positive pregnancy test before medication) or lactating;</w:t>
            </w:r>
          </w:p>
          <w:p w14:paraId="45790104" w14:textId="77777777" w:rsidR="00F719FC" w:rsidRPr="00344DCF"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 xml:space="preserve">Known hypersensitivity to any component of the </w:t>
            </w:r>
            <w:r>
              <w:rPr>
                <w:b w:val="0"/>
                <w:bCs w:val="0"/>
                <w:sz w:val="18"/>
                <w:szCs w:val="18"/>
              </w:rPr>
              <w:t>study drugs</w:t>
            </w:r>
            <w:r w:rsidRPr="002F79ED">
              <w:rPr>
                <w:b w:val="0"/>
                <w:bCs w:val="0"/>
                <w:sz w:val="18"/>
                <w:szCs w:val="18"/>
              </w:rPr>
              <w:t xml:space="preserve">; </w:t>
            </w:r>
          </w:p>
          <w:p w14:paraId="4E28D922" w14:textId="77777777" w:rsidR="00F719FC" w:rsidRPr="002F79ED"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 xml:space="preserve">Received other </w:t>
            </w:r>
            <w:r>
              <w:rPr>
                <w:b w:val="0"/>
                <w:bCs w:val="0"/>
                <w:sz w:val="18"/>
                <w:szCs w:val="18"/>
              </w:rPr>
              <w:t>investigational</w:t>
            </w:r>
            <w:r w:rsidRPr="002F79ED">
              <w:rPr>
                <w:b w:val="0"/>
                <w:bCs w:val="0"/>
                <w:sz w:val="18"/>
                <w:szCs w:val="18"/>
              </w:rPr>
              <w:t xml:space="preserve"> treatment</w:t>
            </w:r>
            <w:r>
              <w:rPr>
                <w:b w:val="0"/>
                <w:bCs w:val="0"/>
                <w:sz w:val="18"/>
                <w:szCs w:val="18"/>
              </w:rPr>
              <w:t>s</w:t>
            </w:r>
            <w:r w:rsidRPr="002F79ED">
              <w:rPr>
                <w:b w:val="0"/>
                <w:bCs w:val="0"/>
                <w:sz w:val="18"/>
                <w:szCs w:val="18"/>
              </w:rPr>
              <w:t xml:space="preserve"> within 4 weeks prior to the first medication;</w:t>
            </w:r>
          </w:p>
          <w:p w14:paraId="101ECFA9" w14:textId="77777777" w:rsidR="00F719FC" w:rsidRPr="00853E20" w:rsidRDefault="00F719FC" w:rsidP="00F719FC">
            <w:pPr>
              <w:pStyle w:val="ListParagraph"/>
              <w:widowControl/>
              <w:numPr>
                <w:ilvl w:val="0"/>
                <w:numId w:val="3"/>
              </w:numPr>
              <w:spacing w:line="340" w:lineRule="exact"/>
              <w:ind w:left="357" w:firstLineChars="0" w:hanging="357"/>
              <w:contextualSpacing/>
              <w:jc w:val="left"/>
              <w:rPr>
                <w:b w:val="0"/>
                <w:bCs w:val="0"/>
                <w:sz w:val="18"/>
                <w:szCs w:val="18"/>
              </w:rPr>
            </w:pPr>
            <w:r w:rsidRPr="002F79ED">
              <w:rPr>
                <w:b w:val="0"/>
                <w:bCs w:val="0"/>
                <w:sz w:val="18"/>
                <w:szCs w:val="18"/>
              </w:rPr>
              <w:t>The patient has any disease or condition that affects drug absorption, or the patient cannot take the drug orally;</w:t>
            </w:r>
          </w:p>
          <w:p w14:paraId="091145DD" w14:textId="77777777" w:rsidR="00F719FC" w:rsidRPr="002F79ED" w:rsidRDefault="00F719FC" w:rsidP="00F719FC">
            <w:pPr>
              <w:pStyle w:val="ListParagraph"/>
              <w:widowControl/>
              <w:numPr>
                <w:ilvl w:val="0"/>
                <w:numId w:val="3"/>
              </w:numPr>
              <w:spacing w:after="120" w:line="340" w:lineRule="exact"/>
              <w:ind w:left="357" w:firstLineChars="0" w:hanging="357"/>
              <w:contextualSpacing/>
              <w:jc w:val="left"/>
              <w:rPr>
                <w:b w:val="0"/>
                <w:bCs w:val="0"/>
                <w:sz w:val="18"/>
                <w:szCs w:val="18"/>
              </w:rPr>
            </w:pPr>
            <w:r w:rsidRPr="002F79ED">
              <w:rPr>
                <w:b w:val="0"/>
                <w:bCs w:val="0"/>
                <w:sz w:val="18"/>
                <w:szCs w:val="18"/>
              </w:rPr>
              <w:t>Patients who</w:t>
            </w:r>
            <w:r>
              <w:rPr>
                <w:b w:val="0"/>
                <w:bCs w:val="0"/>
                <w:sz w:val="18"/>
                <w:szCs w:val="18"/>
              </w:rPr>
              <w:t xml:space="preserve"> </w:t>
            </w:r>
            <w:r w:rsidRPr="002F79ED">
              <w:rPr>
                <w:b w:val="0"/>
                <w:bCs w:val="0"/>
                <w:sz w:val="18"/>
                <w:szCs w:val="18"/>
              </w:rPr>
              <w:t xml:space="preserve">have other reasons that make them unsuitable for this </w:t>
            </w:r>
            <w:r>
              <w:rPr>
                <w:b w:val="0"/>
                <w:bCs w:val="0"/>
                <w:sz w:val="18"/>
                <w:szCs w:val="18"/>
              </w:rPr>
              <w:t>trial</w:t>
            </w:r>
            <w:r w:rsidRPr="002F79ED">
              <w:rPr>
                <w:b w:val="0"/>
                <w:bCs w:val="0"/>
                <w:sz w:val="18"/>
                <w:szCs w:val="18"/>
              </w:rPr>
              <w:t>, in the opinion of the investigator.</w:t>
            </w:r>
          </w:p>
        </w:tc>
      </w:tr>
    </w:tbl>
    <w:p w14:paraId="69CD7F6B" w14:textId="77777777" w:rsidR="005A6F6B" w:rsidRDefault="005A6F6B"/>
    <w:sectPr w:rsidR="005A6F6B" w:rsidSect="00633CCD">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C004E"/>
    <w:multiLevelType w:val="hybridMultilevel"/>
    <w:tmpl w:val="A92478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2C1B95"/>
    <w:multiLevelType w:val="hybridMultilevel"/>
    <w:tmpl w:val="93B05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E2199A"/>
    <w:multiLevelType w:val="hybridMultilevel"/>
    <w:tmpl w:val="9C9EE6CA"/>
    <w:lvl w:ilvl="0" w:tplc="667E7A4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58"/>
    <w:rsid w:val="005A6F6B"/>
    <w:rsid w:val="009D4A58"/>
    <w:rsid w:val="00E85EAF"/>
    <w:rsid w:val="00F71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C4F72"/>
  <w15:chartTrackingRefBased/>
  <w15:docId w15:val="{F0FB79A3-6282-4BBE-BC40-73C43333B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lang w:val="en-GB"/>
    </w:rPr>
  </w:style>
  <w:style w:type="paragraph" w:styleId="Heading2">
    <w:name w:val="heading 2"/>
    <w:basedOn w:val="Normal"/>
    <w:next w:val="Normal"/>
    <w:link w:val="Heading2Char"/>
    <w:uiPriority w:val="9"/>
    <w:unhideWhenUsed/>
    <w:qFormat/>
    <w:rsid w:val="00F719FC"/>
    <w:pPr>
      <w:keepNext/>
      <w:keepLines/>
      <w:spacing w:before="260" w:after="260" w:line="416" w:lineRule="auto"/>
      <w:outlineLvl w:val="1"/>
    </w:pPr>
    <w:rPr>
      <w:rFonts w:asciiTheme="majorHAnsi" w:eastAsiaTheme="majorEastAsia" w:hAnsiTheme="majorHAnsi" w:cstheme="majorBidi"/>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19FC"/>
    <w:rPr>
      <w:rFonts w:asciiTheme="majorHAnsi" w:eastAsiaTheme="majorEastAsia" w:hAnsiTheme="majorHAnsi" w:cstheme="majorBidi"/>
      <w:b/>
      <w:bCs/>
      <w:sz w:val="32"/>
      <w:szCs w:val="32"/>
    </w:rPr>
  </w:style>
  <w:style w:type="paragraph" w:styleId="ListParagraph">
    <w:name w:val="List Paragraph"/>
    <w:basedOn w:val="Normal"/>
    <w:link w:val="ListParagraphChar"/>
    <w:uiPriority w:val="34"/>
    <w:qFormat/>
    <w:rsid w:val="00F719FC"/>
    <w:pPr>
      <w:ind w:firstLineChars="200" w:firstLine="420"/>
    </w:pPr>
    <w:rPr>
      <w:lang w:val="en-US"/>
    </w:rPr>
  </w:style>
  <w:style w:type="table" w:styleId="PlainTable4">
    <w:name w:val="Plain Table 4"/>
    <w:basedOn w:val="TableNormal"/>
    <w:uiPriority w:val="44"/>
    <w:rsid w:val="00F719FC"/>
    <w:rPr>
      <w:rFonts w:ascii="Times New Roman" w:eastAsia="MS Mincho" w:hAnsi="Times New Roman" w:cs="Times New Roman"/>
      <w:kern w:val="0"/>
      <w:sz w:val="20"/>
      <w:szCs w:val="20"/>
      <w:lang w:val="en-GB"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ListParagraphChar">
    <w:name w:val="List Paragraph Char"/>
    <w:basedOn w:val="DefaultParagraphFont"/>
    <w:link w:val="ListParagraph"/>
    <w:uiPriority w:val="34"/>
    <w:qFormat/>
    <w:rsid w:val="00F71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811</Words>
  <Characters>4626</Characters>
  <Application>Microsoft Office Word</Application>
  <DocSecurity>0</DocSecurity>
  <Lines>38</Lines>
  <Paragraphs>10</Paragraphs>
  <ScaleCrop>false</ScaleCrop>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Jiang</dc:creator>
  <cp:keywords/>
  <dc:description/>
  <cp:lastModifiedBy>Kevin Jiang</cp:lastModifiedBy>
  <cp:revision>3</cp:revision>
  <dcterms:created xsi:type="dcterms:W3CDTF">2025-04-28T08:54:00Z</dcterms:created>
  <dcterms:modified xsi:type="dcterms:W3CDTF">2025-05-06T07:19:00Z</dcterms:modified>
</cp:coreProperties>
</file>