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eastAsia="sans-serif" w:cs="sans-serif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sans-serif" w:cs="sans-serif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Supplemental information</w:t>
      </w:r>
    </w:p>
    <w:p>
      <w:pPr>
        <w:spacing w:line="360" w:lineRule="auto"/>
        <w:rPr>
          <w:rFonts w:ascii="Times New Roman" w:hAnsi="Times New Roman" w:eastAsia="sans-serif" w:cs="sans-serif"/>
          <w:b/>
          <w:bCs/>
          <w:i w:val="0"/>
          <w:iCs w:val="0"/>
          <w:caps w:val="0"/>
          <w:spacing w:val="0"/>
          <w:sz w:val="24"/>
          <w:szCs w:val="23"/>
          <w:shd w:val="clear" w:fill="FFFFFF"/>
        </w:rPr>
      </w:pPr>
    </w:p>
    <w:p>
      <w:pPr>
        <w:spacing w:line="360" w:lineRule="auto"/>
        <w:rPr>
          <w:rFonts w:hint="eastAsia" w:ascii="Times New Roman" w:hAnsi="Times New Roman" w:eastAsia="宋体" w:cs="sans-serif"/>
          <w:i w:val="0"/>
          <w:iCs w:val="0"/>
          <w:caps w:val="0"/>
          <w:spacing w:val="0"/>
          <w:sz w:val="24"/>
          <w:szCs w:val="23"/>
          <w:shd w:val="clear" w:fill="FFFFFF"/>
          <w:lang w:eastAsia="zh-CN"/>
        </w:rPr>
      </w:pPr>
      <w:r>
        <w:rPr>
          <w:rFonts w:hint="eastAsia" w:ascii="Times New Roman" w:hAnsi="Times New Roman" w:eastAsia="宋体" w:cs="sans-serif"/>
          <w:i w:val="0"/>
          <w:iCs w:val="0"/>
          <w:caps w:val="0"/>
          <w:spacing w:val="0"/>
          <w:sz w:val="24"/>
          <w:szCs w:val="23"/>
          <w:shd w:val="clear" w:fill="FFFFFF"/>
          <w:lang w:eastAsia="zh-CN"/>
        </w:rPr>
        <w:drawing>
          <wp:inline distT="0" distB="0" distL="114300" distR="114300">
            <wp:extent cx="5269230" cy="2941955"/>
            <wp:effectExtent l="0" t="0" r="7620" b="1079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sz w:val="24"/>
        </w:rPr>
      </w:pPr>
      <w:r>
        <w:rPr>
          <w:rStyle w:val="5"/>
          <w:rFonts w:ascii="Times New Roman" w:hAnsi="Times New Roman"/>
          <w:sz w:val="24"/>
        </w:rPr>
        <w:t>Figure S1. High expression of IRF1 in gastric cancer tissues based on TCGA and GTEx databases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b w:val="0"/>
          <w:bCs/>
          <w:sz w:val="24"/>
        </w:rPr>
      </w:pPr>
      <w:r>
        <w:rPr>
          <w:rStyle w:val="5"/>
          <w:rFonts w:ascii="Times New Roman" w:hAnsi="Times New Roman"/>
          <w:b w:val="0"/>
          <w:bCs/>
          <w:sz w:val="24"/>
        </w:rPr>
        <w:t>A:</w:t>
      </w:r>
      <w:r>
        <w:rPr>
          <w:rFonts w:ascii="Times New Roman" w:hAnsi="Times New Roman"/>
          <w:b w:val="0"/>
          <w:bCs/>
          <w:sz w:val="24"/>
        </w:rPr>
        <w:t xml:space="preserve"> Mutation status of the IRF1 gene in different tissue sources from the cBioPortal database, including gene point mutations (dark green), structural variations (purple), copy number amplifications (red), and deletions (blue).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b w:val="0"/>
          <w:bCs/>
          <w:sz w:val="24"/>
        </w:rPr>
      </w:pPr>
      <w:r>
        <w:rPr>
          <w:rStyle w:val="5"/>
          <w:rFonts w:ascii="Times New Roman" w:hAnsi="Times New Roman"/>
          <w:b w:val="0"/>
          <w:bCs/>
          <w:sz w:val="24"/>
        </w:rPr>
        <w:t>B:</w:t>
      </w:r>
      <w:r>
        <w:rPr>
          <w:rFonts w:ascii="Times New Roman" w:hAnsi="Times New Roman"/>
          <w:b w:val="0"/>
          <w:bCs/>
          <w:sz w:val="24"/>
        </w:rPr>
        <w:t xml:space="preserve"> Three-dimensional structure of IRF1 and common SNP mutation sites.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b w:val="0"/>
          <w:bCs/>
          <w:sz w:val="24"/>
        </w:rPr>
      </w:pPr>
      <w:r>
        <w:rPr>
          <w:rStyle w:val="5"/>
          <w:rFonts w:ascii="Times New Roman" w:hAnsi="Times New Roman"/>
          <w:b w:val="0"/>
          <w:bCs/>
          <w:sz w:val="24"/>
        </w:rPr>
        <w:t>C:</w:t>
      </w:r>
      <w:r>
        <w:rPr>
          <w:rFonts w:ascii="Times New Roman" w:hAnsi="Times New Roman"/>
          <w:b w:val="0"/>
          <w:bCs/>
          <w:sz w:val="24"/>
        </w:rPr>
        <w:t xml:space="preserve"> Differential expression of IRF1 across 33 different tumor types and adjacent normal tissues based on TCGA and GTEx databases, where red represents tumor tissues and blue-green represents adjacent normal tissues.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sz w:val="24"/>
        </w:rPr>
      </w:pPr>
    </w:p>
    <w:p>
      <w:pPr>
        <w:spacing w:line="360" w:lineRule="auto"/>
        <w:rPr>
          <w:rFonts w:hint="eastAsia" w:ascii="Times New Roman" w:hAnsi="Times New Roman" w:eastAsia="宋体" w:cs="sans-serif"/>
          <w:i w:val="0"/>
          <w:iCs w:val="0"/>
          <w:caps w:val="0"/>
          <w:spacing w:val="0"/>
          <w:sz w:val="24"/>
          <w:szCs w:val="23"/>
          <w:shd w:val="clear" w:fill="FFFFFF"/>
          <w:lang w:eastAsia="zh-CN"/>
        </w:rPr>
      </w:pPr>
      <w:r>
        <w:rPr>
          <w:rFonts w:hint="eastAsia" w:ascii="Times New Roman" w:hAnsi="Times New Roman" w:eastAsia="宋体" w:cs="sans-serif"/>
          <w:i w:val="0"/>
          <w:iCs w:val="0"/>
          <w:caps w:val="0"/>
          <w:spacing w:val="0"/>
          <w:sz w:val="24"/>
          <w:szCs w:val="23"/>
          <w:shd w:val="clear" w:fill="FFFFFF"/>
          <w:lang w:eastAsia="zh-CN"/>
        </w:rPr>
        <w:drawing>
          <wp:inline distT="0" distB="0" distL="114300" distR="114300">
            <wp:extent cx="5267960" cy="4623435"/>
            <wp:effectExtent l="0" t="0" r="8890" b="5715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62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sz w:val="24"/>
        </w:rPr>
      </w:pPr>
      <w:r>
        <w:rPr>
          <w:rStyle w:val="5"/>
          <w:rFonts w:ascii="Times New Roman" w:hAnsi="Times New Roman"/>
          <w:sz w:val="24"/>
        </w:rPr>
        <w:t>Figure S2. Effects of stable IRF1 expression on gastric cancer cell function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b w:val="0"/>
          <w:bCs/>
          <w:sz w:val="24"/>
        </w:rPr>
      </w:pPr>
      <w:r>
        <w:rPr>
          <w:rStyle w:val="5"/>
          <w:rFonts w:ascii="Times New Roman" w:hAnsi="Times New Roman"/>
          <w:b w:val="0"/>
          <w:bCs/>
          <w:sz w:val="24"/>
        </w:rPr>
        <w:t>A:</w:t>
      </w:r>
      <w:r>
        <w:rPr>
          <w:rFonts w:ascii="Times New Roman" w:hAnsi="Times New Roman"/>
          <w:b w:val="0"/>
          <w:bCs/>
          <w:sz w:val="24"/>
        </w:rPr>
        <w:t xml:space="preserve"> Western blot (WB) validation of IRF1 expression in stable gastric cancer cell lines.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b w:val="0"/>
          <w:bCs/>
          <w:sz w:val="24"/>
        </w:rPr>
      </w:pPr>
      <w:r>
        <w:rPr>
          <w:rStyle w:val="5"/>
          <w:rFonts w:ascii="Times New Roman" w:hAnsi="Times New Roman"/>
          <w:b w:val="0"/>
          <w:bCs/>
          <w:sz w:val="24"/>
        </w:rPr>
        <w:t>B:</w:t>
      </w:r>
      <w:r>
        <w:rPr>
          <w:rFonts w:ascii="Times New Roman" w:hAnsi="Times New Roman"/>
          <w:b w:val="0"/>
          <w:bCs/>
          <w:sz w:val="24"/>
        </w:rPr>
        <w:t xml:space="preserve"> Wound healing assay of AGS-IRF1 stable cell line after </w:t>
      </w:r>
      <w:r>
        <w:rPr>
          <w:rStyle w:val="5"/>
          <w:rFonts w:ascii="Times New Roman" w:hAnsi="Times New Roman"/>
          <w:b w:val="0"/>
          <w:bCs/>
          <w:sz w:val="24"/>
        </w:rPr>
        <w:t>48 hours of Dox induction</w:t>
      </w:r>
      <w:r>
        <w:rPr>
          <w:rFonts w:ascii="Times New Roman" w:hAnsi="Times New Roman"/>
          <w:b w:val="0"/>
          <w:bCs/>
          <w:sz w:val="24"/>
        </w:rPr>
        <w:t xml:space="preserve">, showing that </w:t>
      </w:r>
      <w:r>
        <w:rPr>
          <w:rStyle w:val="5"/>
          <w:rFonts w:ascii="Times New Roman" w:hAnsi="Times New Roman"/>
          <w:b w:val="0"/>
          <w:bCs/>
          <w:sz w:val="24"/>
        </w:rPr>
        <w:t>IRF1 overexpression inhibits gastric cancer cell migration</w:t>
      </w:r>
      <w:r>
        <w:rPr>
          <w:rFonts w:ascii="Times New Roman" w:hAnsi="Times New Roman"/>
          <w:b w:val="0"/>
          <w:bCs/>
          <w:sz w:val="24"/>
        </w:rPr>
        <w:t>.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b w:val="0"/>
          <w:bCs/>
          <w:sz w:val="24"/>
        </w:rPr>
      </w:pPr>
      <w:r>
        <w:rPr>
          <w:rStyle w:val="5"/>
          <w:rFonts w:ascii="Times New Roman" w:hAnsi="Times New Roman"/>
          <w:b w:val="0"/>
          <w:bCs/>
          <w:sz w:val="24"/>
        </w:rPr>
        <w:t>C:</w:t>
      </w:r>
      <w:r>
        <w:rPr>
          <w:rFonts w:ascii="Times New Roman" w:hAnsi="Times New Roman"/>
          <w:b w:val="0"/>
          <w:bCs/>
          <w:sz w:val="24"/>
        </w:rPr>
        <w:t xml:space="preserve"> CCK-8 cytotoxicity assay demonstrating that </w:t>
      </w:r>
      <w:r>
        <w:rPr>
          <w:rStyle w:val="5"/>
          <w:rFonts w:ascii="Times New Roman" w:hAnsi="Times New Roman"/>
          <w:b w:val="0"/>
          <w:bCs/>
          <w:sz w:val="24"/>
        </w:rPr>
        <w:t>Dox-induced IRF1 overexpression suppresses gastric cancer cell proliferation</w:t>
      </w:r>
      <w:r>
        <w:rPr>
          <w:rFonts w:ascii="Times New Roman" w:hAnsi="Times New Roman"/>
          <w:b w:val="0"/>
          <w:bCs/>
          <w:sz w:val="24"/>
        </w:rPr>
        <w:t>.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b w:val="0"/>
          <w:bCs/>
          <w:sz w:val="24"/>
        </w:rPr>
      </w:pPr>
      <w:r>
        <w:rPr>
          <w:rStyle w:val="5"/>
          <w:rFonts w:ascii="Times New Roman" w:hAnsi="Times New Roman"/>
          <w:b w:val="0"/>
          <w:bCs/>
          <w:sz w:val="24"/>
        </w:rPr>
        <w:t>D:</w:t>
      </w:r>
      <w:r>
        <w:rPr>
          <w:rFonts w:ascii="Times New Roman" w:hAnsi="Times New Roman"/>
          <w:b w:val="0"/>
          <w:bCs/>
          <w:sz w:val="24"/>
        </w:rPr>
        <w:t xml:space="preserve"> Transwell migration and invasion assays showing that </w:t>
      </w:r>
      <w:r>
        <w:rPr>
          <w:rStyle w:val="5"/>
          <w:rFonts w:ascii="Times New Roman" w:hAnsi="Times New Roman"/>
          <w:b w:val="0"/>
          <w:bCs/>
          <w:sz w:val="24"/>
        </w:rPr>
        <w:t>IRF1 overexpression (48 hours after Dox induction) inhibits migration and invasion in AGS-IRF1 stable cell lines</w:t>
      </w:r>
      <w:r>
        <w:rPr>
          <w:rFonts w:ascii="Times New Roman" w:hAnsi="Times New Roman"/>
          <w:b w:val="0"/>
          <w:bCs/>
          <w:sz w:val="24"/>
        </w:rPr>
        <w:t>.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 xml:space="preserve"> *P &lt; 0.05, **P &lt; 0.01, ***P &lt; 0.001.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hint="eastAsia" w:ascii="Times New Roman" w:hAnsi="Times New Roman" w:eastAsiaTheme="minorEastAsia"/>
          <w:i/>
          <w:iCs/>
          <w:sz w:val="24"/>
          <w:lang w:eastAsia="zh-CN"/>
        </w:rPr>
      </w:pPr>
      <w:r>
        <w:rPr>
          <w:rFonts w:hint="eastAsia" w:ascii="Times New Roman" w:hAnsi="Times New Roman" w:eastAsiaTheme="minorEastAsia"/>
          <w:i/>
          <w:iCs/>
          <w:sz w:val="24"/>
          <w:lang w:eastAsia="zh-CN"/>
        </w:rPr>
        <w:drawing>
          <wp:inline distT="0" distB="0" distL="114300" distR="114300">
            <wp:extent cx="5274310" cy="3569970"/>
            <wp:effectExtent l="0" t="0" r="2540" b="11430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sz w:val="24"/>
        </w:rPr>
      </w:pPr>
      <w:r>
        <w:rPr>
          <w:rStyle w:val="5"/>
          <w:rFonts w:ascii="Times New Roman" w:hAnsi="Times New Roman"/>
          <w:sz w:val="24"/>
        </w:rPr>
        <w:t>Figure S3. Interaction between IRF1 and MX2 proteins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b w:val="0"/>
          <w:bCs/>
          <w:sz w:val="24"/>
        </w:rPr>
      </w:pPr>
      <w:r>
        <w:rPr>
          <w:rStyle w:val="5"/>
          <w:rFonts w:ascii="Times New Roman" w:hAnsi="Times New Roman"/>
          <w:b w:val="0"/>
          <w:bCs/>
          <w:sz w:val="24"/>
        </w:rPr>
        <w:t>A:</w:t>
      </w:r>
      <w:r>
        <w:rPr>
          <w:rFonts w:ascii="Times New Roman" w:hAnsi="Times New Roman"/>
          <w:b w:val="0"/>
          <w:bCs/>
          <w:sz w:val="24"/>
        </w:rPr>
        <w:t xml:space="preserve"> Protein expression levels after co-transfection of IRF1 and MX2 plasmids in gastric cancer cells.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b w:val="0"/>
          <w:bCs/>
          <w:sz w:val="24"/>
        </w:rPr>
      </w:pPr>
      <w:r>
        <w:rPr>
          <w:rStyle w:val="5"/>
          <w:rFonts w:ascii="Times New Roman" w:hAnsi="Times New Roman"/>
          <w:b w:val="0"/>
          <w:bCs/>
          <w:sz w:val="24"/>
        </w:rPr>
        <w:t>B:</w:t>
      </w:r>
      <w:r>
        <w:rPr>
          <w:rFonts w:ascii="Times New Roman" w:hAnsi="Times New Roman"/>
          <w:b w:val="0"/>
          <w:bCs/>
          <w:sz w:val="24"/>
        </w:rPr>
        <w:t xml:space="preserve"> Silver staining results of immunoprecipitated proteins after IRF1 immunoprecipitation.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rPr>
          <w:rFonts w:ascii="Times New Roman" w:hAnsi="Times New Roman"/>
          <w:b w:val="0"/>
          <w:bCs/>
          <w:sz w:val="24"/>
        </w:rPr>
      </w:pPr>
    </w:p>
    <w:p>
      <w:pPr>
        <w:spacing w:line="360" w:lineRule="auto"/>
        <w:rPr>
          <w:rFonts w:hint="eastAsia" w:ascii="Times New Roman" w:hAnsi="Times New Roman" w:cs="Helvetica" w:eastAsiaTheme="minorEastAsia"/>
          <w:i w:val="0"/>
          <w:iCs w:val="0"/>
          <w:caps w:val="0"/>
          <w:color w:val="FF0000"/>
          <w:spacing w:val="0"/>
          <w:sz w:val="24"/>
          <w:szCs w:val="21"/>
          <w:lang w:val="en-US" w:eastAsia="zh-CN"/>
        </w:rPr>
      </w:pPr>
      <w:bookmarkStart w:id="0" w:name="_GoBack"/>
      <w:r>
        <w:rPr>
          <w:rFonts w:hint="eastAsia" w:ascii="Times New Roman" w:hAnsi="Times New Roman" w:cs="Helvetica" w:eastAsiaTheme="minorEastAsia"/>
          <w:i w:val="0"/>
          <w:iCs w:val="0"/>
          <w:caps w:val="0"/>
          <w:color w:val="FF0000"/>
          <w:spacing w:val="0"/>
          <w:sz w:val="24"/>
          <w:szCs w:val="21"/>
          <w:lang w:val="en-US" w:eastAsia="zh-CN"/>
        </w:rPr>
        <w:drawing>
          <wp:inline distT="0" distB="0" distL="114300" distR="114300">
            <wp:extent cx="5575300" cy="2223135"/>
            <wp:effectExtent l="0" t="0" r="6350" b="5715"/>
            <wp:docPr id="5" name="图片 5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spacing w:line="360" w:lineRule="auto"/>
        <w:rPr>
          <w:rFonts w:hint="eastAsia" w:ascii="Times New Roman" w:hAnsi="Times New Roman" w:cs="Helvetica" w:eastAsiaTheme="minorEastAsia"/>
          <w:i w:val="0"/>
          <w:iCs w:val="0"/>
          <w:caps w:val="0"/>
          <w:color w:val="auto"/>
          <w:spacing w:val="0"/>
          <w:sz w:val="24"/>
          <w:szCs w:val="21"/>
          <w:lang w:val="en-US" w:eastAsia="zh-CN"/>
        </w:rPr>
      </w:pPr>
      <w:r>
        <w:rPr>
          <w:rFonts w:hint="eastAsia" w:ascii="Times New Roman" w:hAnsi="Times New Roman" w:cs="Helvetica" w:eastAsiaTheme="minorEastAsia"/>
          <w:b/>
          <w:bCs/>
          <w:i w:val="0"/>
          <w:iCs w:val="0"/>
          <w:caps w:val="0"/>
          <w:color w:val="auto"/>
          <w:spacing w:val="0"/>
          <w:sz w:val="24"/>
          <w:szCs w:val="21"/>
          <w:lang w:val="en-US" w:eastAsia="zh-CN"/>
        </w:rPr>
        <w:t xml:space="preserve">Figure </w:t>
      </w:r>
      <w:r>
        <w:rPr>
          <w:rFonts w:hint="eastAsia" w:ascii="Times New Roman" w:hAnsi="Times New Roman" w:cs="Helvetica"/>
          <w:b/>
          <w:bCs/>
          <w:i w:val="0"/>
          <w:iCs w:val="0"/>
          <w:caps w:val="0"/>
          <w:color w:val="auto"/>
          <w:spacing w:val="0"/>
          <w:sz w:val="24"/>
          <w:szCs w:val="21"/>
          <w:lang w:val="en-US" w:eastAsia="zh-CN"/>
        </w:rPr>
        <w:t>S4</w:t>
      </w:r>
      <w:r>
        <w:rPr>
          <w:rFonts w:hint="eastAsia" w:ascii="Times New Roman" w:hAnsi="Times New Roman" w:cs="Helvetica" w:eastAsiaTheme="minorEastAsia"/>
          <w:b/>
          <w:bCs/>
          <w:i w:val="0"/>
          <w:iCs w:val="0"/>
          <w:caps w:val="0"/>
          <w:color w:val="auto"/>
          <w:spacing w:val="0"/>
          <w:sz w:val="24"/>
          <w:szCs w:val="21"/>
          <w:lang w:val="en-US" w:eastAsia="zh-CN"/>
        </w:rPr>
        <w:t>. Expression of IRF1 and EMT Pathway-Related Proteins in Gastric Cancer Cells.</w:t>
      </w:r>
      <w:r>
        <w:rPr>
          <w:rFonts w:hint="eastAsia" w:ascii="Times New Roman" w:hAnsi="Times New Roman" w:cs="Helvetica" w:eastAsiaTheme="minorEastAsia"/>
          <w:i w:val="0"/>
          <w:iCs w:val="0"/>
          <w:caps w:val="0"/>
          <w:color w:val="auto"/>
          <w:spacing w:val="0"/>
          <w:sz w:val="24"/>
          <w:szCs w:val="21"/>
          <w:lang w:val="en-US" w:eastAsia="zh-CN"/>
        </w:rPr>
        <w:t xml:space="preserve"> The expression of E-cadherin, N-cadherin, Snail, and </w:t>
      </w:r>
      <w:r>
        <w:rPr>
          <w:rFonts w:hint="eastAsia" w:ascii="Times New Roman" w:hAnsi="Times New Roman" w:eastAsia="Times New Roman" w:cs="Helvetica"/>
          <w:i w:val="0"/>
          <w:iCs w:val="0"/>
          <w:caps w:val="0"/>
          <w:color w:val="auto"/>
          <w:spacing w:val="0"/>
          <w:sz w:val="24"/>
          <w:szCs w:val="21"/>
          <w:lang w:val="en-US" w:eastAsia="zh-CN"/>
        </w:rPr>
        <w:t>γ</w:t>
      </w:r>
      <w:r>
        <w:rPr>
          <w:rFonts w:hint="eastAsia" w:ascii="Times New Roman" w:hAnsi="Times New Roman" w:cs="Helvetica" w:eastAsiaTheme="minorEastAsia"/>
          <w:i w:val="0"/>
          <w:iCs w:val="0"/>
          <w:caps w:val="0"/>
          <w:color w:val="auto"/>
          <w:spacing w:val="0"/>
          <w:sz w:val="24"/>
          <w:szCs w:val="21"/>
          <w:lang w:val="en-US" w:eastAsia="zh-CN"/>
        </w:rPr>
        <w:t xml:space="preserve">-H2AX protein in AGS/BGC-823 cells of the IRF1 group and Vector group.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xZTNkYTE4MzcwZjBiNTE3ZTU5YTYxZWM3NjgzODMifQ=="/>
  </w:docVars>
  <w:rsids>
    <w:rsidRoot w:val="00000000"/>
    <w:rsid w:val="0BBB664F"/>
    <w:rsid w:val="18CF1E25"/>
    <w:rsid w:val="1CB246C9"/>
    <w:rsid w:val="237C7D5E"/>
    <w:rsid w:val="2A6118ED"/>
    <w:rsid w:val="2A743B27"/>
    <w:rsid w:val="45575091"/>
    <w:rsid w:val="4DD3168B"/>
    <w:rsid w:val="5B1023EF"/>
    <w:rsid w:val="5F9002F0"/>
    <w:rsid w:val="797E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rPr>
      <w:sz w:val="24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220</Words>
  <Characters>1310</Characters>
  <Lines>0</Lines>
  <Paragraphs>0</Paragraphs>
  <TotalTime>15</TotalTime>
  <ScaleCrop>false</ScaleCrop>
  <LinksUpToDate>false</LinksUpToDate>
  <CharactersWithSpaces>1517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2025-04-01T13:54:00Z</dcterms:created>
  <dc:creator>ASUS</dc:creator>
  <cp:lastModifiedBy>Wenjing Chen</cp:lastModifiedBy>
  <dcterms:modified xsi:type="dcterms:W3CDTF">2025-10-03T05:09:30Z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KSOTemplateDocerSaveRecord">
    <vt:lpwstr>eyJoZGlkIjoiNjI0YjVjNzI0OTVmNTZhZTQ3YzhkYjg4YmY4MzI0MjEiLCJ1c2VySWQiOiIxODIwNDQxNDkifQ==</vt:lpwstr>
  </property>
  <property fmtid="{D5CDD505-2E9C-101B-9397-08002B2CF9AE}" pid="4" name="ICV">
    <vt:lpwstr>8AD79A2023DB42E4BC07D9F0659D7820_13</vt:lpwstr>
  </property>
</Properties>
</file>