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9FE2D" w14:textId="3BE51F57" w:rsidR="00BA4079" w:rsidRDefault="00BA4079" w:rsidP="00BA4079">
      <w:pPr>
        <w:spacing w:line="360" w:lineRule="auto"/>
        <w:jc w:val="both"/>
        <w:rPr>
          <w:rFonts w:ascii="Arial" w:hAnsi="Arial" w:cs="Arial"/>
          <w:b/>
          <w:bCs/>
          <w:sz w:val="28"/>
          <w:szCs w:val="28"/>
        </w:rPr>
      </w:pPr>
      <w:bookmarkStart w:id="0" w:name="_Hlk197439569"/>
      <w:r w:rsidRPr="00853CB3">
        <w:rPr>
          <w:rFonts w:ascii="Arial" w:hAnsi="Arial" w:cs="Arial"/>
          <w:b/>
          <w:bCs/>
          <w:sz w:val="28"/>
          <w:szCs w:val="28"/>
        </w:rPr>
        <w:t>Supplementary Fi</w:t>
      </w:r>
      <w:r w:rsidR="00590AF1">
        <w:rPr>
          <w:rFonts w:ascii="Arial" w:hAnsi="Arial" w:cs="Arial"/>
          <w:b/>
          <w:bCs/>
          <w:sz w:val="28"/>
          <w:szCs w:val="28"/>
        </w:rPr>
        <w:t>le 1: Supplementary Figures S1-S5</w:t>
      </w:r>
      <w:bookmarkEnd w:id="0"/>
    </w:p>
    <w:p w14:paraId="032F72C2" w14:textId="77777777" w:rsidR="00853CB3" w:rsidRPr="00853CB3" w:rsidRDefault="00853CB3" w:rsidP="00853CB3">
      <w:pPr>
        <w:autoSpaceDE w:val="0"/>
        <w:autoSpaceDN w:val="0"/>
        <w:adjustRightInd w:val="0"/>
        <w:spacing w:after="0" w:line="360" w:lineRule="auto"/>
        <w:jc w:val="both"/>
        <w:rPr>
          <w:rFonts w:ascii="Arial" w:eastAsiaTheme="minorHAnsi" w:hAnsi="Arial" w:cs="Arial"/>
          <w:b/>
          <w:kern w:val="2"/>
          <w:shd w:val="clear" w:color="auto" w:fill="FFFFFF"/>
        </w:rPr>
      </w:pPr>
      <w:bookmarkStart w:id="1" w:name="_Hlk187241011"/>
      <w:bookmarkStart w:id="2" w:name="_Hlk197439595"/>
      <w:r w:rsidRPr="00853CB3">
        <w:rPr>
          <w:rFonts w:ascii="Arial" w:eastAsiaTheme="minorHAnsi" w:hAnsi="Arial" w:cs="Arial"/>
          <w:b/>
          <w:kern w:val="2"/>
          <w:shd w:val="clear" w:color="auto" w:fill="FFFFFF"/>
        </w:rPr>
        <w:t xml:space="preserve">Disrupting CDK9 activity suppresses triple-negative breast cancer and is enhanced by EGFR inhibition </w:t>
      </w:r>
    </w:p>
    <w:bookmarkEnd w:id="1"/>
    <w:p w14:paraId="43FA9ED0" w14:textId="65047063" w:rsidR="00853CB3" w:rsidRPr="00853CB3" w:rsidRDefault="00853CB3" w:rsidP="00853CB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18"/>
          <w:szCs w:val="18"/>
        </w:rPr>
      </w:pPr>
      <w:r w:rsidRPr="00853CB3">
        <w:rPr>
          <w:rFonts w:ascii="Arial" w:hAnsi="Arial" w:cs="Arial"/>
          <w:sz w:val="18"/>
          <w:szCs w:val="18"/>
        </w:rPr>
        <w:t xml:space="preserve">Vera E. van der Noord, </w:t>
      </w:r>
      <w:r w:rsidR="004B38C8" w:rsidRPr="00853CB3">
        <w:rPr>
          <w:rFonts w:ascii="Arial" w:hAnsi="Arial" w:cs="Arial"/>
          <w:sz w:val="18"/>
          <w:szCs w:val="18"/>
        </w:rPr>
        <w:t xml:space="preserve">Ronan P. McLaughlin, </w:t>
      </w:r>
      <w:r w:rsidRPr="00853CB3">
        <w:rPr>
          <w:rFonts w:ascii="Arial" w:hAnsi="Arial" w:cs="Arial"/>
          <w:sz w:val="18"/>
          <w:szCs w:val="18"/>
        </w:rPr>
        <w:t xml:space="preserve">Jessica S. Karuntu, </w:t>
      </w:r>
      <w:proofErr w:type="spellStart"/>
      <w:r w:rsidRPr="00853CB3">
        <w:rPr>
          <w:rFonts w:ascii="Arial" w:hAnsi="Arial" w:cs="Arial"/>
          <w:sz w:val="18"/>
          <w:szCs w:val="18"/>
        </w:rPr>
        <w:t>Jichao</w:t>
      </w:r>
      <w:proofErr w:type="spellEnd"/>
      <w:r w:rsidRPr="00853CB3">
        <w:rPr>
          <w:rFonts w:ascii="Arial" w:hAnsi="Arial" w:cs="Arial"/>
          <w:sz w:val="18"/>
          <w:szCs w:val="18"/>
        </w:rPr>
        <w:t xml:space="preserve"> He, A. Mieke Timmermans, Sunita K. C. Basnet, Yi Long, Sarah Al Haj Diab, Solomon Tadesse, Natalie Proos</w:t>
      </w:r>
      <w:r>
        <w:rPr>
          <w:rFonts w:ascii="Arial" w:hAnsi="Arial" w:cs="Arial"/>
          <w:sz w:val="18"/>
          <w:szCs w:val="18"/>
        </w:rPr>
        <w:t>t</w:t>
      </w:r>
      <w:r w:rsidRPr="00853CB3">
        <w:rPr>
          <w:rFonts w:ascii="Arial" w:hAnsi="Arial" w:cs="Arial"/>
          <w:sz w:val="18"/>
          <w:szCs w:val="18"/>
        </w:rPr>
        <w:t xml:space="preserve">, Bastiaan van Gerwen, Bjørn </w:t>
      </w:r>
      <w:proofErr w:type="spellStart"/>
      <w:r w:rsidRPr="00853CB3">
        <w:rPr>
          <w:rFonts w:ascii="Arial" w:hAnsi="Arial" w:cs="Arial"/>
          <w:sz w:val="18"/>
          <w:szCs w:val="18"/>
        </w:rPr>
        <w:t>Siteur</w:t>
      </w:r>
      <w:proofErr w:type="spellEnd"/>
      <w:r w:rsidRPr="00853CB3">
        <w:rPr>
          <w:rFonts w:ascii="Arial" w:hAnsi="Arial" w:cs="Arial"/>
          <w:sz w:val="18"/>
          <w:szCs w:val="18"/>
        </w:rPr>
        <w:t xml:space="preserve">, Marieke van de Ven, Chantal Pont, Sylvia E. Le Dévédec, John W.M. Martens, Shudong Wang, </w:t>
      </w:r>
      <w:proofErr w:type="spellStart"/>
      <w:r w:rsidRPr="00853CB3">
        <w:rPr>
          <w:rFonts w:ascii="Arial" w:hAnsi="Arial" w:cs="Arial"/>
          <w:sz w:val="18"/>
          <w:szCs w:val="18"/>
        </w:rPr>
        <w:t>Yinghui</w:t>
      </w:r>
      <w:proofErr w:type="spellEnd"/>
      <w:r w:rsidRPr="00853CB3">
        <w:rPr>
          <w:rFonts w:ascii="Arial" w:hAnsi="Arial" w:cs="Arial"/>
          <w:sz w:val="18"/>
          <w:szCs w:val="18"/>
        </w:rPr>
        <w:t xml:space="preserve"> Zhang, Bob van de Water</w:t>
      </w:r>
    </w:p>
    <w:bookmarkEnd w:id="2"/>
    <w:p w14:paraId="68432AFF" w14:textId="54A1865F" w:rsidR="00853CB3" w:rsidRDefault="00853CB3" w:rsidP="00BA407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2A25B221" w14:textId="77777777" w:rsidR="00853CB3" w:rsidRPr="00D766D8" w:rsidRDefault="00853CB3" w:rsidP="00BA4079">
      <w:pPr>
        <w:spacing w:line="360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F6CABC3" w14:textId="77777777" w:rsidR="00853CB3" w:rsidRDefault="00853CB3">
      <w:pPr>
        <w:spacing w:after="160" w:line="259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br w:type="page"/>
      </w:r>
    </w:p>
    <w:p w14:paraId="35E8E142" w14:textId="1AFC62F2" w:rsidR="00BA4079" w:rsidRPr="00D766D8" w:rsidRDefault="00BA4079" w:rsidP="00BA407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766D8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0429C337" wp14:editId="3731BEC7">
            <wp:extent cx="5760720" cy="5053330"/>
            <wp:effectExtent l="0" t="0" r="0" b="0"/>
            <wp:docPr id="2" name="Picture 2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53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1683CF" w14:textId="06D73C49" w:rsidR="00BA4079" w:rsidRPr="00D766D8" w:rsidRDefault="004B38C8" w:rsidP="00BA40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Fig.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 xml:space="preserve"> S1. CDK9 inhibitors inhibit proliferation of TNBC cells and synergize with EGFR inhibitors.</w:t>
      </w:r>
      <w:r w:rsidR="00BA4079" w:rsidRPr="00D766D8">
        <w:rPr>
          <w:rFonts w:ascii="Arial" w:hAnsi="Arial" w:cs="Arial"/>
          <w:sz w:val="20"/>
          <w:szCs w:val="20"/>
        </w:rPr>
        <w:t xml:space="preserve"> 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 xml:space="preserve">(A) </w:t>
      </w:r>
      <w:r w:rsidR="00BA4079" w:rsidRPr="00D766D8">
        <w:rPr>
          <w:rFonts w:ascii="Arial" w:hAnsi="Arial" w:cs="Arial"/>
          <w:sz w:val="20"/>
          <w:szCs w:val="20"/>
        </w:rPr>
        <w:t xml:space="preserve">Proliferation of TNBC cell lines after treatment with CDK9 inhibitors I-73, D10-81, D11-36 and Y3-21 at different concentrations (0.0316 µM – 3.16 µM). 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>(B)</w:t>
      </w:r>
      <w:r w:rsidR="00BA4079" w:rsidRPr="00D766D8">
        <w:rPr>
          <w:rFonts w:ascii="Arial" w:hAnsi="Arial" w:cs="Arial"/>
          <w:sz w:val="20"/>
          <w:szCs w:val="20"/>
        </w:rPr>
        <w:t xml:space="preserve"> IC50 of CDK inhibitors, including multi-CDK inhibitors dinaciclib, </w:t>
      </w:r>
      <w:proofErr w:type="spellStart"/>
      <w:r w:rsidR="00BA4079" w:rsidRPr="00D766D8">
        <w:rPr>
          <w:rFonts w:ascii="Arial" w:hAnsi="Arial" w:cs="Arial"/>
          <w:sz w:val="20"/>
          <w:szCs w:val="20"/>
        </w:rPr>
        <w:t>flavopiridol</w:t>
      </w:r>
      <w:proofErr w:type="spellEnd"/>
      <w:r w:rsidR="00BA4079" w:rsidRPr="00D766D8">
        <w:rPr>
          <w:rFonts w:ascii="Arial" w:hAnsi="Arial" w:cs="Arial"/>
          <w:sz w:val="20"/>
          <w:szCs w:val="20"/>
        </w:rPr>
        <w:t xml:space="preserve">, and </w:t>
      </w:r>
      <w:proofErr w:type="spellStart"/>
      <w:r w:rsidR="00BA4079" w:rsidRPr="00D766D8">
        <w:rPr>
          <w:rFonts w:ascii="Arial" w:hAnsi="Arial" w:cs="Arial"/>
          <w:sz w:val="20"/>
          <w:szCs w:val="20"/>
        </w:rPr>
        <w:t>roscovitine</w:t>
      </w:r>
      <w:proofErr w:type="spellEnd"/>
      <w:r w:rsidR="00BA4079" w:rsidRPr="00D766D8">
        <w:rPr>
          <w:rFonts w:ascii="Arial" w:hAnsi="Arial" w:cs="Arial"/>
          <w:sz w:val="20"/>
          <w:szCs w:val="20"/>
        </w:rPr>
        <w:t xml:space="preserve">, CDK7/12/13 inhibitor THZ1, and CDK4/6 inhibitors </w:t>
      </w:r>
      <w:proofErr w:type="spellStart"/>
      <w:r w:rsidR="00BA4079" w:rsidRPr="00D766D8">
        <w:rPr>
          <w:rFonts w:ascii="Arial" w:hAnsi="Arial" w:cs="Arial"/>
          <w:sz w:val="20"/>
          <w:szCs w:val="20"/>
        </w:rPr>
        <w:t>abemaciclib</w:t>
      </w:r>
      <w:proofErr w:type="spellEnd"/>
      <w:r w:rsidR="00BA4079" w:rsidRPr="00D766D8">
        <w:rPr>
          <w:rFonts w:ascii="Arial" w:hAnsi="Arial" w:cs="Arial"/>
          <w:sz w:val="20"/>
          <w:szCs w:val="20"/>
        </w:rPr>
        <w:t xml:space="preserve"> and palbociclib, to inhibit proliferation in TNBC cell lines. 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>(C)</w:t>
      </w:r>
      <w:r w:rsidR="00BA4079" w:rsidRPr="00D766D8">
        <w:rPr>
          <w:rFonts w:ascii="Arial" w:hAnsi="Arial" w:cs="Arial"/>
          <w:sz w:val="20"/>
          <w:szCs w:val="20"/>
        </w:rPr>
        <w:t xml:space="preserve"> Proliferation of TNBC cell lines after treatment with I-73 (0.1 µM and 0.316 µM), a concentration range of gefitinib, or a combination thereof. 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>(D)</w:t>
      </w:r>
      <w:r w:rsidR="00BA4079" w:rsidRPr="00D766D8">
        <w:rPr>
          <w:rFonts w:ascii="Arial" w:hAnsi="Arial" w:cs="Arial"/>
          <w:sz w:val="20"/>
          <w:szCs w:val="20"/>
        </w:rPr>
        <w:t xml:space="preserve"> Proliferation of TNBC cell lines after treatment with Y3-21 (0.0316 µM and 0.1 µM), a concentration range of lapatinib, or a combination thereof.</w:t>
      </w:r>
    </w:p>
    <w:p w14:paraId="74CB6613" w14:textId="77777777" w:rsidR="00BA4079" w:rsidRDefault="00BA4079" w:rsidP="00BA4079">
      <w:pPr>
        <w:rPr>
          <w:rFonts w:ascii="Arial" w:hAnsi="Arial" w:cs="Arial"/>
          <w:sz w:val="20"/>
          <w:szCs w:val="20"/>
        </w:rPr>
      </w:pPr>
      <w:r w:rsidRPr="00D766D8">
        <w:rPr>
          <w:rFonts w:ascii="Arial" w:hAnsi="Arial" w:cs="Arial"/>
          <w:sz w:val="20"/>
          <w:szCs w:val="20"/>
        </w:rPr>
        <w:br w:type="page"/>
      </w:r>
    </w:p>
    <w:p w14:paraId="42998217" w14:textId="0523A2B6" w:rsidR="00BA4079" w:rsidRPr="00D766D8" w:rsidRDefault="00E62A58" w:rsidP="00BA407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noProof/>
        </w:rPr>
        <w:lastRenderedPageBreak/>
        <w:drawing>
          <wp:inline distT="0" distB="0" distL="0" distR="0" wp14:anchorId="24057CDD" wp14:editId="4716F1C4">
            <wp:extent cx="5120640" cy="6827520"/>
            <wp:effectExtent l="0" t="0" r="0" b="0"/>
            <wp:docPr id="115974896" name="Picture 5" descr="A diagram of a dna sequenc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974896" name="Picture 5" descr="A diagram of a dna sequence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0640" cy="682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207E7B" w14:textId="01000766" w:rsidR="00BA4079" w:rsidRPr="00D766D8" w:rsidRDefault="004B38C8" w:rsidP="00BA40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Fig.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 xml:space="preserve"> S2. CDK9 inhibitors and combination treatment with lapatinib induce apoptosis and inhibit CDK9 downstream targets. (A) </w:t>
      </w:r>
      <w:r w:rsidR="00BA4079" w:rsidRPr="00D766D8">
        <w:rPr>
          <w:rFonts w:ascii="Arial" w:hAnsi="Arial" w:cs="Arial"/>
          <w:sz w:val="20"/>
          <w:szCs w:val="20"/>
        </w:rPr>
        <w:t>Molecular structure of I-73, Y3-21 and D10-81.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 xml:space="preserve"> (B) </w:t>
      </w:r>
      <w:r w:rsidR="00BA4079" w:rsidRPr="00D766D8">
        <w:rPr>
          <w:rFonts w:ascii="Arial" w:hAnsi="Arial" w:cs="Arial"/>
          <w:sz w:val="20"/>
          <w:szCs w:val="20"/>
        </w:rPr>
        <w:t xml:space="preserve">Dose response curves of concentration range of Y3-21, I-73 and D10-81 in SKBR7 cells. 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>(C)</w:t>
      </w:r>
      <w:r w:rsidR="00BA4079" w:rsidRPr="00D766D8">
        <w:rPr>
          <w:rFonts w:ascii="Arial" w:hAnsi="Arial" w:cs="Arial"/>
          <w:sz w:val="20"/>
          <w:szCs w:val="20"/>
        </w:rPr>
        <w:t xml:space="preserve"> Dose response curves of concentration range of lapatinib with a combination of different doses of I-73. 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>(D)</w:t>
      </w:r>
      <w:r w:rsidR="00BA4079" w:rsidRPr="00D766D8">
        <w:rPr>
          <w:rFonts w:ascii="Arial" w:hAnsi="Arial" w:cs="Arial"/>
          <w:sz w:val="20"/>
          <w:szCs w:val="20"/>
        </w:rPr>
        <w:t xml:space="preserve"> Induction of apoptosis (% of annexin V positive cells) after treatment with different doses of I-73, D10-81, Y3-21 for 72 hours in Bt549 and SKBR7 cells.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 xml:space="preserve"> (E)</w:t>
      </w:r>
      <w:r w:rsidR="00BA4079" w:rsidRPr="00D766D8">
        <w:rPr>
          <w:rFonts w:ascii="Arial" w:hAnsi="Arial" w:cs="Arial"/>
          <w:sz w:val="20"/>
          <w:szCs w:val="20"/>
        </w:rPr>
        <w:t xml:space="preserve"> Effect of different doses of I-73, D10-81, Y3-21 (left) and combination treatment with lapatinib (3.16 µM) and I-73 (0.1 and 0.316 µM) (right) on RNA polymerase II phosphorylation levels, expression of pro-survival proteins BCL-</w:t>
      </w:r>
      <w:proofErr w:type="spellStart"/>
      <w:r w:rsidR="00BA4079" w:rsidRPr="00D766D8">
        <w:rPr>
          <w:rFonts w:ascii="Arial" w:hAnsi="Arial" w:cs="Arial"/>
          <w:sz w:val="20"/>
          <w:szCs w:val="20"/>
        </w:rPr>
        <w:t>xL</w:t>
      </w:r>
      <w:proofErr w:type="spellEnd"/>
      <w:r w:rsidR="00BA4079" w:rsidRPr="00D766D8">
        <w:rPr>
          <w:rFonts w:ascii="Arial" w:hAnsi="Arial" w:cs="Arial"/>
          <w:sz w:val="20"/>
          <w:szCs w:val="20"/>
        </w:rPr>
        <w:t>, XIAP</w:t>
      </w:r>
      <w:r w:rsidR="00E62A58">
        <w:rPr>
          <w:rFonts w:ascii="Arial" w:hAnsi="Arial" w:cs="Arial"/>
          <w:sz w:val="20"/>
          <w:szCs w:val="20"/>
        </w:rPr>
        <w:t xml:space="preserve">, </w:t>
      </w:r>
      <w:r w:rsidR="00BA4079" w:rsidRPr="00D766D8">
        <w:rPr>
          <w:rFonts w:ascii="Arial" w:hAnsi="Arial" w:cs="Arial"/>
          <w:sz w:val="20"/>
          <w:szCs w:val="20"/>
        </w:rPr>
        <w:t xml:space="preserve">MCL1, and H2AX </w:t>
      </w:r>
      <w:r w:rsidR="00BA4079" w:rsidRPr="00D766D8">
        <w:rPr>
          <w:rFonts w:ascii="Arial" w:hAnsi="Arial" w:cs="Arial"/>
          <w:sz w:val="20"/>
          <w:szCs w:val="20"/>
        </w:rPr>
        <w:lastRenderedPageBreak/>
        <w:t>phosphorylation (S139) in SKBR7 cells.</w:t>
      </w:r>
      <w:r w:rsidR="00E62A58" w:rsidRPr="00E62A58">
        <w:rPr>
          <w:rFonts w:ascii="Arial" w:hAnsi="Arial" w:cs="Arial"/>
          <w:sz w:val="20"/>
          <w:szCs w:val="20"/>
        </w:rPr>
        <w:t xml:space="preserve"> </w:t>
      </w:r>
      <w:r w:rsidR="00E62A58">
        <w:rPr>
          <w:rFonts w:ascii="Arial" w:hAnsi="Arial" w:cs="Arial"/>
          <w:sz w:val="20"/>
          <w:szCs w:val="20"/>
        </w:rPr>
        <w:t>Dotted lines are cropmarks for skipped lanes within the same blot.</w:t>
      </w:r>
    </w:p>
    <w:p w14:paraId="77A0EB27" w14:textId="77777777" w:rsidR="00BA4079" w:rsidRPr="00D766D8" w:rsidRDefault="00BA4079" w:rsidP="00BA4079">
      <w:pPr>
        <w:rPr>
          <w:rFonts w:ascii="Arial" w:hAnsi="Arial" w:cs="Arial"/>
          <w:sz w:val="20"/>
          <w:szCs w:val="20"/>
        </w:rPr>
      </w:pPr>
      <w:r w:rsidRPr="00D766D8">
        <w:rPr>
          <w:rFonts w:ascii="Arial" w:hAnsi="Arial" w:cs="Arial"/>
          <w:sz w:val="20"/>
          <w:szCs w:val="20"/>
        </w:rPr>
        <w:br w:type="page"/>
      </w:r>
    </w:p>
    <w:p w14:paraId="736A3964" w14:textId="77777777" w:rsidR="00BA4079" w:rsidRPr="00D766D8" w:rsidRDefault="00BA4079" w:rsidP="00BA40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D766D8">
        <w:lastRenderedPageBreak/>
        <w:t xml:space="preserve"> </w:t>
      </w:r>
      <w:r w:rsidRPr="00D766D8">
        <w:rPr>
          <w:noProof/>
        </w:rPr>
        <w:drawing>
          <wp:inline distT="0" distB="0" distL="0" distR="0" wp14:anchorId="3E23A55A" wp14:editId="0F5A9099">
            <wp:extent cx="4314825" cy="4267200"/>
            <wp:effectExtent l="0" t="0" r="0" b="0"/>
            <wp:docPr id="9475265" name="Picture 7" descr="A close-up of a test resul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75265" name="Picture 7" descr="A close-up of a test result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825" cy="42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28A5D7" w14:textId="1FB3E2CF" w:rsidR="00BA4079" w:rsidRPr="00D766D8" w:rsidRDefault="004B38C8" w:rsidP="00BA40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Fig.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 xml:space="preserve"> S3. Dynamics of P-</w:t>
      </w:r>
      <w:proofErr w:type="spellStart"/>
      <w:r w:rsidR="00BA4079" w:rsidRPr="00D766D8">
        <w:rPr>
          <w:rFonts w:ascii="Arial" w:hAnsi="Arial" w:cs="Arial"/>
          <w:b/>
          <w:bCs/>
          <w:sz w:val="20"/>
          <w:szCs w:val="20"/>
        </w:rPr>
        <w:t>TEFb</w:t>
      </w:r>
      <w:proofErr w:type="spellEnd"/>
      <w:r w:rsidR="00BA4079" w:rsidRPr="00D766D8">
        <w:rPr>
          <w:rFonts w:ascii="Arial" w:hAnsi="Arial" w:cs="Arial"/>
          <w:b/>
          <w:bCs/>
          <w:sz w:val="20"/>
          <w:szCs w:val="20"/>
        </w:rPr>
        <w:t xml:space="preserve"> complex inhibition, MCL1 downregulation and induction of DNA damage in TNBC cells. (A-C) </w:t>
      </w:r>
      <w:r w:rsidR="00BA4079" w:rsidRPr="00D766D8">
        <w:rPr>
          <w:rFonts w:ascii="Arial" w:hAnsi="Arial" w:cs="Arial"/>
          <w:sz w:val="20"/>
          <w:szCs w:val="20"/>
        </w:rPr>
        <w:t xml:space="preserve">Effect of D10-81 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>(A)</w:t>
      </w:r>
      <w:r w:rsidR="00BA4079" w:rsidRPr="00D766D8">
        <w:rPr>
          <w:rFonts w:ascii="Arial" w:hAnsi="Arial" w:cs="Arial"/>
          <w:sz w:val="20"/>
          <w:szCs w:val="20"/>
        </w:rPr>
        <w:t xml:space="preserve">, Y3-21 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>(B)</w:t>
      </w:r>
      <w:r w:rsidR="00BA4079" w:rsidRPr="00D766D8">
        <w:rPr>
          <w:rFonts w:ascii="Arial" w:hAnsi="Arial" w:cs="Arial"/>
          <w:sz w:val="20"/>
          <w:szCs w:val="20"/>
        </w:rPr>
        <w:t xml:space="preserve"> and I-73 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 xml:space="preserve">(C) </w:t>
      </w:r>
      <w:r w:rsidR="00BA4079" w:rsidRPr="00D766D8">
        <w:rPr>
          <w:rFonts w:ascii="Arial" w:hAnsi="Arial" w:cs="Arial"/>
          <w:sz w:val="20"/>
          <w:szCs w:val="20"/>
        </w:rPr>
        <w:t xml:space="preserve">on RNA polymerase II (phosphorylation), MCL1 and y-H2AX phosphorylation (S139) protein levels over time (0-48 hours) in Hs578T, BT549 and SKBR7 cells. </w:t>
      </w:r>
    </w:p>
    <w:p w14:paraId="2B6F1454" w14:textId="77777777" w:rsidR="00BA4079" w:rsidRPr="00D766D8" w:rsidRDefault="00BA4079" w:rsidP="00BA407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766D8">
        <w:rPr>
          <w:rFonts w:ascii="Arial" w:hAnsi="Arial" w:cs="Arial"/>
          <w:b/>
          <w:bCs/>
          <w:sz w:val="20"/>
          <w:szCs w:val="20"/>
        </w:rPr>
        <w:br w:type="page"/>
      </w:r>
    </w:p>
    <w:p w14:paraId="5F6BB195" w14:textId="77777777" w:rsidR="00BA4079" w:rsidRPr="00D766D8" w:rsidRDefault="00BA4079" w:rsidP="00BA4079">
      <w:pPr>
        <w:spacing w:line="360" w:lineRule="auto"/>
        <w:jc w:val="both"/>
        <w:rPr>
          <w:rFonts w:ascii="Arial" w:hAnsi="Arial" w:cs="Arial"/>
          <w:b/>
          <w:bCs/>
        </w:rPr>
      </w:pPr>
    </w:p>
    <w:p w14:paraId="41887D84" w14:textId="77777777" w:rsidR="00BA4079" w:rsidRPr="00D766D8" w:rsidRDefault="00BA4079" w:rsidP="00BA4079">
      <w:pPr>
        <w:spacing w:line="360" w:lineRule="auto"/>
        <w:jc w:val="center"/>
        <w:rPr>
          <w:rFonts w:ascii="Arial" w:hAnsi="Arial" w:cs="Arial"/>
          <w:color w:val="000000" w:themeColor="text1"/>
          <w:sz w:val="20"/>
          <w:szCs w:val="20"/>
        </w:rPr>
      </w:pPr>
      <w:r w:rsidRPr="00D766D8">
        <w:rPr>
          <w:rFonts w:ascii="Arial" w:hAnsi="Arial" w:cs="Arial"/>
          <w:noProof/>
          <w:color w:val="000000" w:themeColor="text1"/>
          <w:sz w:val="20"/>
          <w:szCs w:val="20"/>
        </w:rPr>
        <w:drawing>
          <wp:inline distT="0" distB="0" distL="0" distR="0" wp14:anchorId="10C5D5A5" wp14:editId="57019076">
            <wp:extent cx="4322064" cy="4648200"/>
            <wp:effectExtent l="0" t="0" r="2540" b="0"/>
            <wp:docPr id="26" name="Picture 26" descr="A diagram of a complex of molecules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 descr="A diagram of a complex of molecules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2064" cy="4648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44095F" w14:textId="4C03D3C1" w:rsidR="00BA4079" w:rsidRPr="00D766D8" w:rsidRDefault="004B38C8" w:rsidP="00BA4079">
      <w:pPr>
        <w:spacing w:line="36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Fig.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 xml:space="preserve"> S4. Massive disruption of molecular mechanisms of cancer by CDK9 inhibitors.</w:t>
      </w:r>
      <w:r w:rsidR="00BA4079" w:rsidRPr="00D766D8">
        <w:rPr>
          <w:rFonts w:ascii="Arial" w:hAnsi="Arial" w:cs="Arial"/>
          <w:sz w:val="20"/>
          <w:szCs w:val="20"/>
        </w:rPr>
        <w:t xml:space="preserve"> Ingenuity pathway analysis showing downregulation (green) or upregulation (red) of genes after 6 hours treatment with CDK9 inhibitors in Hs578T cells, as determined by RNA-sequencing. Effect was shown for the CDK9 inhibitor D10-81 representatively.</w:t>
      </w:r>
    </w:p>
    <w:p w14:paraId="492841E0" w14:textId="77777777" w:rsidR="00BA4079" w:rsidRPr="00D766D8" w:rsidRDefault="00BA4079" w:rsidP="00BA4079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28740957" w14:textId="77777777" w:rsidR="00BA4079" w:rsidRPr="00D766D8" w:rsidRDefault="00BA4079" w:rsidP="00376CC5">
      <w:pPr>
        <w:spacing w:before="16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766D8">
        <w:rPr>
          <w:rFonts w:ascii="Arial" w:hAnsi="Arial" w:cs="Arial"/>
          <w:b/>
          <w:bCs/>
          <w:sz w:val="20"/>
          <w:szCs w:val="20"/>
        </w:rPr>
        <w:br w:type="page"/>
      </w:r>
    </w:p>
    <w:p w14:paraId="069715B7" w14:textId="77777777" w:rsidR="00BA4079" w:rsidRPr="00D766D8" w:rsidRDefault="00BA4079" w:rsidP="00BA4079">
      <w:pPr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D766D8">
        <w:rPr>
          <w:rFonts w:ascii="Arial" w:hAnsi="Arial" w:cs="Arial"/>
          <w:noProof/>
          <w:sz w:val="20"/>
          <w:szCs w:val="20"/>
        </w:rPr>
        <w:lastRenderedPageBreak/>
        <w:drawing>
          <wp:inline distT="0" distB="0" distL="0" distR="0" wp14:anchorId="2C10DE2E" wp14:editId="211B0C44">
            <wp:extent cx="4324350" cy="7791450"/>
            <wp:effectExtent l="0" t="0" r="0" b="0"/>
            <wp:docPr id="10" name="Picture 10" descr="A close-up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A close-up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779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1393B1" w14:textId="1C4F53B6" w:rsidR="001D5170" w:rsidRDefault="004B38C8" w:rsidP="00D15033">
      <w:pPr>
        <w:spacing w:line="360" w:lineRule="auto"/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Fig.</w:t>
      </w:r>
      <w:r w:rsidR="00BA4079" w:rsidRPr="00D766D8">
        <w:rPr>
          <w:rFonts w:ascii="Arial" w:hAnsi="Arial" w:cs="Arial"/>
          <w:b/>
          <w:bCs/>
          <w:sz w:val="20"/>
          <w:szCs w:val="20"/>
        </w:rPr>
        <w:t xml:space="preserve"> S5. CDK9 inhibitors suppress transcription factors essential for proliferation in TNBC cells. (A-B) </w:t>
      </w:r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 xml:space="preserve">Proliferation after knockdown of CDK-inhibitor sensitive transcription factors in Hs578T </w:t>
      </w:r>
      <w:r w:rsidR="00BA4079" w:rsidRPr="00D766D8">
        <w:rPr>
          <w:rFonts w:ascii="Arial" w:hAnsi="Arial" w:cs="Arial"/>
          <w:b/>
          <w:bCs/>
          <w:color w:val="000000" w:themeColor="text1"/>
          <w:sz w:val="20"/>
          <w:szCs w:val="20"/>
        </w:rPr>
        <w:t>(A)</w:t>
      </w:r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 xml:space="preserve"> or BT549 </w:t>
      </w:r>
      <w:r w:rsidR="00BA4079" w:rsidRPr="00D766D8">
        <w:rPr>
          <w:rFonts w:ascii="Arial" w:hAnsi="Arial" w:cs="Arial"/>
          <w:b/>
          <w:bCs/>
          <w:color w:val="000000" w:themeColor="text1"/>
          <w:sz w:val="20"/>
          <w:szCs w:val="20"/>
        </w:rPr>
        <w:t>(B)</w:t>
      </w:r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 xml:space="preserve"> cells. Genes whose silencing reduced the proliferation by ≥ 50% compared to negative siRNA control (</w:t>
      </w:r>
      <w:proofErr w:type="spellStart"/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>siCtrl</w:t>
      </w:r>
      <w:proofErr w:type="spellEnd"/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 xml:space="preserve">) are </w:t>
      </w:r>
      <w:r w:rsidR="00BA4079" w:rsidRPr="00D766D8">
        <w:rPr>
          <w:rFonts w:ascii="Arial" w:hAnsi="Arial" w:cs="Arial"/>
          <w:sz w:val="20"/>
          <w:szCs w:val="20"/>
        </w:rPr>
        <w:t xml:space="preserve">shown. </w:t>
      </w:r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 xml:space="preserve">Positive siRNA controls are shown in red (siKIF11 and </w:t>
      </w:r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lastRenderedPageBreak/>
        <w:t xml:space="preserve">siFRAP1). </w:t>
      </w:r>
      <w:r w:rsidR="00BA4079" w:rsidRPr="00D766D8">
        <w:rPr>
          <w:rFonts w:ascii="Arial" w:hAnsi="Arial" w:cs="Arial"/>
          <w:b/>
          <w:bCs/>
          <w:color w:val="000000" w:themeColor="text1"/>
          <w:sz w:val="20"/>
          <w:szCs w:val="20"/>
        </w:rPr>
        <w:t>(C)</w:t>
      </w:r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 xml:space="preserve"> </w:t>
      </w:r>
      <w:r w:rsidR="00BA4079" w:rsidRPr="00D766D8">
        <w:rPr>
          <w:rFonts w:ascii="Arial" w:hAnsi="Arial" w:cs="Arial"/>
          <w:sz w:val="20"/>
          <w:szCs w:val="20"/>
        </w:rPr>
        <w:t xml:space="preserve">SiRNA knockdown of RARA, PLAG1, EN1, SALL1, PAX9, NR2C2, SOX9 using pooled and four individual siRNA sequences in BT549 cells. Data shown as mean ± standard deviation (n = 2, ****=P&lt;0.0001). </w:t>
      </w:r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 xml:space="preserve">Results shown as % proliferation normalised to </w:t>
      </w:r>
      <w:proofErr w:type="spellStart"/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>siCtrl</w:t>
      </w:r>
      <w:proofErr w:type="spellEnd"/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 xml:space="preserve">. </w:t>
      </w:r>
      <w:r w:rsidR="00BA4079" w:rsidRPr="00D766D8">
        <w:rPr>
          <w:rFonts w:ascii="Arial" w:hAnsi="Arial" w:cs="Arial"/>
          <w:b/>
          <w:bCs/>
          <w:color w:val="000000" w:themeColor="text1"/>
          <w:sz w:val="20"/>
          <w:szCs w:val="20"/>
        </w:rPr>
        <w:t xml:space="preserve">(D) </w:t>
      </w:r>
      <w:r w:rsidR="00BA4079" w:rsidRPr="00D766D8">
        <w:rPr>
          <w:rFonts w:ascii="Arial" w:hAnsi="Arial" w:cs="Arial"/>
          <w:color w:val="000000" w:themeColor="text1"/>
          <w:sz w:val="20"/>
          <w:szCs w:val="20"/>
        </w:rPr>
        <w:t xml:space="preserve">Ingenuity pathway analysis on differentially expressed genes (log2FC≥-0.5 or ≥0.5, padj≤0.05) after knockdown of PAX9, NR2C2, EN1, SALL1, PLAG1, RARA and SOX9. Shown are p-value (-log10, left) and Z-score (right) of the top 10 (based on p-value) pathways for each knockdown. </w:t>
      </w:r>
    </w:p>
    <w:p w14:paraId="3415CC16" w14:textId="03168A2A" w:rsidR="001D5170" w:rsidRDefault="001D5170" w:rsidP="001D5170"/>
    <w:p w14:paraId="367F81C1" w14:textId="77777777" w:rsidR="00526F1C" w:rsidRDefault="00526F1C"/>
    <w:sectPr w:rsidR="00526F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13971" w14:textId="77777777" w:rsidR="00590AF1" w:rsidRDefault="00590AF1" w:rsidP="00590AF1">
      <w:pPr>
        <w:spacing w:after="0" w:line="240" w:lineRule="auto"/>
      </w:pPr>
      <w:r>
        <w:separator/>
      </w:r>
    </w:p>
  </w:endnote>
  <w:endnote w:type="continuationSeparator" w:id="0">
    <w:p w14:paraId="091B9913" w14:textId="77777777" w:rsidR="00590AF1" w:rsidRDefault="00590AF1" w:rsidP="00590A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EECD0A" w14:textId="77777777" w:rsidR="00590AF1" w:rsidRDefault="00590AF1" w:rsidP="00590AF1">
      <w:pPr>
        <w:spacing w:after="0" w:line="240" w:lineRule="auto"/>
      </w:pPr>
      <w:r>
        <w:separator/>
      </w:r>
    </w:p>
  </w:footnote>
  <w:footnote w:type="continuationSeparator" w:id="0">
    <w:p w14:paraId="6E790179" w14:textId="77777777" w:rsidR="00590AF1" w:rsidRDefault="00590AF1" w:rsidP="00590AF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079"/>
    <w:rsid w:val="00093549"/>
    <w:rsid w:val="00093A51"/>
    <w:rsid w:val="000A5A43"/>
    <w:rsid w:val="001D5170"/>
    <w:rsid w:val="0028604F"/>
    <w:rsid w:val="002F7B1A"/>
    <w:rsid w:val="003003EB"/>
    <w:rsid w:val="00376CC5"/>
    <w:rsid w:val="00385E6C"/>
    <w:rsid w:val="003F4BDF"/>
    <w:rsid w:val="004224B3"/>
    <w:rsid w:val="0047466C"/>
    <w:rsid w:val="004B38C8"/>
    <w:rsid w:val="00526F1C"/>
    <w:rsid w:val="00590AF1"/>
    <w:rsid w:val="00704F07"/>
    <w:rsid w:val="00761681"/>
    <w:rsid w:val="007C25D5"/>
    <w:rsid w:val="007E18F9"/>
    <w:rsid w:val="00853CB3"/>
    <w:rsid w:val="00871CD2"/>
    <w:rsid w:val="009049AA"/>
    <w:rsid w:val="00B07CFA"/>
    <w:rsid w:val="00BA4079"/>
    <w:rsid w:val="00CE02F3"/>
    <w:rsid w:val="00D02E81"/>
    <w:rsid w:val="00D15033"/>
    <w:rsid w:val="00D17FA7"/>
    <w:rsid w:val="00DA0C7F"/>
    <w:rsid w:val="00DF2549"/>
    <w:rsid w:val="00E3195C"/>
    <w:rsid w:val="00E55EDC"/>
    <w:rsid w:val="00E62A58"/>
    <w:rsid w:val="00F53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ACA731"/>
  <w15:chartTrackingRefBased/>
  <w15:docId w15:val="{9321CA59-0F5D-463B-82A4-F636325BF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Text manuscript"/>
    <w:qFormat/>
    <w:rsid w:val="00BA4079"/>
    <w:pPr>
      <w:spacing w:after="200" w:line="276" w:lineRule="auto"/>
    </w:pPr>
    <w:rPr>
      <w:rFonts w:eastAsiaTheme="minorEastAsia"/>
      <w:kern w:val="0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A407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A407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A407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A407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A407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A4079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A4079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A4079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A4079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A4079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A4079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A4079"/>
    <w:rPr>
      <w:rFonts w:eastAsiaTheme="majorEastAsia" w:cstheme="majorBidi"/>
      <w:color w:val="0F4761" w:themeColor="accent1" w:themeShade="BF"/>
      <w:kern w:val="0"/>
      <w:sz w:val="28"/>
      <w:szCs w:val="28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A4079"/>
    <w:rPr>
      <w:rFonts w:eastAsiaTheme="majorEastAsia" w:cstheme="majorBidi"/>
      <w:i/>
      <w:iCs/>
      <w:color w:val="0F4761" w:themeColor="accent1" w:themeShade="BF"/>
      <w:kern w:val="0"/>
      <w:sz w:val="2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A4079"/>
    <w:rPr>
      <w:rFonts w:eastAsiaTheme="majorEastAsia" w:cstheme="majorBidi"/>
      <w:color w:val="0F4761" w:themeColor="accent1" w:themeShade="BF"/>
      <w:kern w:val="0"/>
      <w:sz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A4079"/>
    <w:rPr>
      <w:rFonts w:eastAsiaTheme="majorEastAsia" w:cstheme="majorBidi"/>
      <w:i/>
      <w:iCs/>
      <w:color w:val="595959" w:themeColor="text1" w:themeTint="A6"/>
      <w:kern w:val="0"/>
      <w:sz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A4079"/>
    <w:rPr>
      <w:rFonts w:eastAsiaTheme="majorEastAsia" w:cstheme="majorBidi"/>
      <w:color w:val="595959" w:themeColor="text1" w:themeTint="A6"/>
      <w:kern w:val="0"/>
      <w:sz w:val="20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A4079"/>
    <w:rPr>
      <w:rFonts w:eastAsiaTheme="majorEastAsia" w:cstheme="majorBidi"/>
      <w:i/>
      <w:iCs/>
      <w:color w:val="272727" w:themeColor="text1" w:themeTint="D8"/>
      <w:kern w:val="0"/>
      <w:sz w:val="20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A4079"/>
    <w:rPr>
      <w:rFonts w:eastAsiaTheme="majorEastAsia" w:cstheme="majorBidi"/>
      <w:color w:val="272727" w:themeColor="text1" w:themeTint="D8"/>
      <w:kern w:val="0"/>
      <w:sz w:val="20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BA407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A4079"/>
    <w:rPr>
      <w:rFonts w:asciiTheme="majorHAnsi" w:eastAsiaTheme="majorEastAsia" w:hAnsiTheme="majorHAnsi" w:cstheme="majorBidi"/>
      <w:spacing w:val="-10"/>
      <w:kern w:val="28"/>
      <w:sz w:val="56"/>
      <w:szCs w:val="56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BA4079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A4079"/>
    <w:rPr>
      <w:rFonts w:eastAsiaTheme="majorEastAsia" w:cstheme="majorBidi"/>
      <w:color w:val="595959" w:themeColor="text1" w:themeTint="A6"/>
      <w:spacing w:val="15"/>
      <w:kern w:val="0"/>
      <w:sz w:val="28"/>
      <w:szCs w:val="28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BA407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A4079"/>
    <w:rPr>
      <w:rFonts w:ascii="Arial" w:eastAsiaTheme="minorEastAsia" w:hAnsi="Arial"/>
      <w:i/>
      <w:iCs/>
      <w:color w:val="404040" w:themeColor="text1" w:themeTint="BF"/>
      <w:kern w:val="0"/>
      <w:sz w:val="20"/>
      <w14:ligatures w14:val="none"/>
    </w:rPr>
  </w:style>
  <w:style w:type="paragraph" w:styleId="ListParagraph">
    <w:name w:val="List Paragraph"/>
    <w:basedOn w:val="Normal"/>
    <w:uiPriority w:val="34"/>
    <w:qFormat/>
    <w:rsid w:val="00BA407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A407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A407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A4079"/>
    <w:rPr>
      <w:rFonts w:ascii="Arial" w:eastAsiaTheme="minorEastAsia" w:hAnsi="Arial"/>
      <w:i/>
      <w:iCs/>
      <w:color w:val="0F4761" w:themeColor="accent1" w:themeShade="BF"/>
      <w:kern w:val="0"/>
      <w:sz w:val="20"/>
      <w14:ligatures w14:val="none"/>
    </w:rPr>
  </w:style>
  <w:style w:type="character" w:styleId="IntenseReference">
    <w:name w:val="Intense Reference"/>
    <w:basedOn w:val="DefaultParagraphFont"/>
    <w:uiPriority w:val="32"/>
    <w:qFormat/>
    <w:rsid w:val="00BA407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90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0AF1"/>
    <w:rPr>
      <w:rFonts w:eastAsiaTheme="minorEastAsia"/>
      <w:kern w:val="0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590A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0AF1"/>
    <w:rPr>
      <w:rFonts w:eastAsiaTheme="minorEastAsia"/>
      <w:kern w:val="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ISSC-University Leiden</Company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Noord, V.E. van der (Vera)</dc:creator>
  <cp:keywords/>
  <dc:description/>
  <cp:lastModifiedBy>Noord, V.E. van der (Vera)</cp:lastModifiedBy>
  <cp:revision>2</cp:revision>
  <cp:lastPrinted>2025-01-08T14:09:00Z</cp:lastPrinted>
  <dcterms:created xsi:type="dcterms:W3CDTF">2025-05-06T14:01:00Z</dcterms:created>
  <dcterms:modified xsi:type="dcterms:W3CDTF">2025-05-06T14:01:00Z</dcterms:modified>
</cp:coreProperties>
</file>