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92252" w14:textId="4796C4BF" w:rsidR="00B11DF6" w:rsidRPr="009117BB" w:rsidRDefault="00B11DF6" w:rsidP="004B47A3">
      <w:pPr>
        <w:spacing w:after="0" w:line="480" w:lineRule="auto"/>
        <w:jc w:val="both"/>
        <w:rPr>
          <w:rFonts w:ascii="Times New Roman" w:hAnsi="Times New Roman" w:cs="Times New Roman"/>
          <w:b/>
          <w:bCs/>
          <w:sz w:val="24"/>
          <w:szCs w:val="28"/>
          <w14:ligatures w14:val="none"/>
        </w:rPr>
      </w:pPr>
      <w:r w:rsidRPr="009117BB">
        <w:rPr>
          <w:rFonts w:ascii="Times New Roman" w:hAnsi="Times New Roman" w:cs="Times New Roman" w:hint="eastAsia"/>
          <w:b/>
          <w:bCs/>
          <w:sz w:val="24"/>
          <w:szCs w:val="28"/>
          <w14:ligatures w14:val="none"/>
        </w:rPr>
        <w:t>Clinical Diagnosis and Patient Selection</w:t>
      </w:r>
    </w:p>
    <w:p w14:paraId="020666A1" w14:textId="77777777" w:rsidR="00B11DF6" w:rsidRPr="004B47A3" w:rsidRDefault="00B11DF6" w:rsidP="004B47A3">
      <w:pPr>
        <w:spacing w:line="480" w:lineRule="auto"/>
        <w:jc w:val="both"/>
        <w:rPr>
          <w:rFonts w:ascii="Times New Roman" w:hAnsi="Times New Roman" w:cs="Times New Roman"/>
          <w:sz w:val="24"/>
          <w14:ligatures w14:val="none"/>
        </w:rPr>
      </w:pPr>
      <w:r w:rsidRPr="004B47A3">
        <w:rPr>
          <w:rFonts w:ascii="Times New Roman" w:hAnsi="Times New Roman" w:cs="Times New Roman" w:hint="eastAsia"/>
          <w:sz w:val="24"/>
          <w14:ligatures w14:val="none"/>
        </w:rPr>
        <w:t>The diagnosis of rectal cancer was established based on patient history and clinical examination, including digital rectal examination, fiberoptic colonoscopy, and computed tomography (CT) of the lower abdomen or rectal magnetic resonance imaging (MRI). The inclusion criteria were as follows: patients with both pre-treatment biopsy and postoperative pathological reports confirming rectal adenocarcinoma; aged between 18 and 75 years; essentially normal coagulation function and vital organ (heart, lung, liver, kidney) function; and suitability to tolerate preoperative chemoradiotherapy and surgery.</w:t>
      </w:r>
    </w:p>
    <w:p w14:paraId="4A9BE2DD" w14:textId="77777777" w:rsidR="00B11DF6" w:rsidRDefault="00B11DF6" w:rsidP="004B47A3">
      <w:pPr>
        <w:spacing w:line="480" w:lineRule="auto"/>
        <w:rPr>
          <w:rFonts w:hint="eastAsia"/>
        </w:rPr>
      </w:pPr>
    </w:p>
    <w:p w14:paraId="191493CA" w14:textId="18887FAD" w:rsidR="00B11DF6" w:rsidRPr="009117BB" w:rsidRDefault="00B11DF6" w:rsidP="004B47A3">
      <w:pPr>
        <w:spacing w:after="0" w:line="480" w:lineRule="auto"/>
        <w:jc w:val="both"/>
        <w:rPr>
          <w:rFonts w:ascii="Times New Roman" w:hAnsi="Times New Roman" w:cs="Times New Roman"/>
          <w:b/>
          <w:bCs/>
          <w:sz w:val="24"/>
          <w:szCs w:val="28"/>
          <w14:ligatures w14:val="none"/>
        </w:rPr>
      </w:pPr>
      <w:r w:rsidRPr="009117BB">
        <w:rPr>
          <w:rFonts w:ascii="Times New Roman" w:hAnsi="Times New Roman" w:cs="Times New Roman" w:hint="eastAsia"/>
          <w:b/>
          <w:bCs/>
          <w:sz w:val="24"/>
          <w:szCs w:val="28"/>
          <w14:ligatures w14:val="none"/>
        </w:rPr>
        <w:t>Neoadjuvant Therapy and Surgical Intervention</w:t>
      </w:r>
    </w:p>
    <w:p w14:paraId="32D999BF" w14:textId="524E8532" w:rsidR="00DB453C" w:rsidRPr="004B47A3" w:rsidRDefault="00B11DF6" w:rsidP="004B47A3">
      <w:pPr>
        <w:spacing w:after="0" w:line="480" w:lineRule="auto"/>
        <w:jc w:val="both"/>
        <w:rPr>
          <w:rFonts w:ascii="Times New Roman" w:hAnsi="Times New Roman" w:cs="Times New Roman"/>
          <w:sz w:val="24"/>
          <w14:ligatures w14:val="none"/>
        </w:rPr>
      </w:pPr>
      <w:r w:rsidRPr="004B47A3">
        <w:rPr>
          <w:rFonts w:ascii="Times New Roman" w:hAnsi="Times New Roman" w:cs="Times New Roman" w:hint="eastAsia"/>
          <w:sz w:val="24"/>
          <w14:ligatures w14:val="none"/>
        </w:rPr>
        <w:t>All patients received standard long-course neoadjuvant chemoradiotherapy (nCRT). Radiation therapy was delivered to the primary tumor and high-risk regions with a total dose (DT) of 45</w:t>
      </w:r>
      <w:r w:rsidRPr="004B47A3">
        <w:rPr>
          <w:rFonts w:ascii="Times New Roman" w:hAnsi="Times New Roman" w:cs="Times New Roman" w:hint="eastAsia"/>
          <w:sz w:val="24"/>
          <w14:ligatures w14:val="none"/>
        </w:rPr>
        <w:t>–</w:t>
      </w:r>
      <w:r w:rsidRPr="004B47A3">
        <w:rPr>
          <w:rFonts w:ascii="Times New Roman" w:hAnsi="Times New Roman" w:cs="Times New Roman" w:hint="eastAsia"/>
          <w:sz w:val="24"/>
          <w14:ligatures w14:val="none"/>
        </w:rPr>
        <w:t>50.4 Gy in 25</w:t>
      </w:r>
      <w:r w:rsidRPr="004B47A3">
        <w:rPr>
          <w:rFonts w:ascii="Times New Roman" w:hAnsi="Times New Roman" w:cs="Times New Roman" w:hint="eastAsia"/>
          <w:sz w:val="24"/>
          <w14:ligatures w14:val="none"/>
        </w:rPr>
        <w:t>–</w:t>
      </w:r>
      <w:r w:rsidRPr="004B47A3">
        <w:rPr>
          <w:rFonts w:ascii="Times New Roman" w:hAnsi="Times New Roman" w:cs="Times New Roman" w:hint="eastAsia"/>
          <w:sz w:val="24"/>
          <w14:ligatures w14:val="none"/>
        </w:rPr>
        <w:t>28 fractions, at 1.8</w:t>
      </w:r>
      <w:r w:rsidRPr="004B47A3">
        <w:rPr>
          <w:rFonts w:ascii="Times New Roman" w:hAnsi="Times New Roman" w:cs="Times New Roman" w:hint="eastAsia"/>
          <w:sz w:val="24"/>
          <w14:ligatures w14:val="none"/>
        </w:rPr>
        <w:t>–</w:t>
      </w:r>
      <w:r w:rsidRPr="004B47A3">
        <w:rPr>
          <w:rFonts w:ascii="Times New Roman" w:hAnsi="Times New Roman" w:cs="Times New Roman" w:hint="eastAsia"/>
          <w:sz w:val="24"/>
          <w14:ligatures w14:val="none"/>
        </w:rPr>
        <w:t>2.0 Gy per fraction. Concurrent chemotherapy consisted of single-agent 5-fluorouracil or capecitabine. Total mesorectal excision (TME) was performed 6</w:t>
      </w:r>
      <w:r w:rsidRPr="004B47A3">
        <w:rPr>
          <w:rFonts w:ascii="Times New Roman" w:hAnsi="Times New Roman" w:cs="Times New Roman" w:hint="eastAsia"/>
          <w:sz w:val="24"/>
          <w14:ligatures w14:val="none"/>
        </w:rPr>
        <w:t>–</w:t>
      </w:r>
      <w:r w:rsidRPr="004B47A3">
        <w:rPr>
          <w:rFonts w:ascii="Times New Roman" w:hAnsi="Times New Roman" w:cs="Times New Roman" w:hint="eastAsia"/>
          <w:sz w:val="24"/>
          <w14:ligatures w14:val="none"/>
        </w:rPr>
        <w:t>8 weeks after completion of nCRT. The resected specimens were subjected to pathological assessment.</w:t>
      </w:r>
    </w:p>
    <w:sectPr w:rsidR="00DB453C" w:rsidRPr="004B47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0DA36" w14:textId="77777777" w:rsidR="00A2533D" w:rsidRDefault="00A2533D" w:rsidP="00B11DF6">
      <w:pPr>
        <w:spacing w:after="0" w:line="240" w:lineRule="auto"/>
        <w:rPr>
          <w:rFonts w:hint="eastAsia"/>
        </w:rPr>
      </w:pPr>
      <w:r>
        <w:separator/>
      </w:r>
    </w:p>
  </w:endnote>
  <w:endnote w:type="continuationSeparator" w:id="0">
    <w:p w14:paraId="6A25D80B" w14:textId="77777777" w:rsidR="00A2533D" w:rsidRDefault="00A2533D" w:rsidP="00B11DF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A5B4" w14:textId="77777777" w:rsidR="00A2533D" w:rsidRDefault="00A2533D" w:rsidP="00B11DF6">
      <w:pPr>
        <w:spacing w:after="0" w:line="240" w:lineRule="auto"/>
        <w:rPr>
          <w:rFonts w:hint="eastAsia"/>
        </w:rPr>
      </w:pPr>
      <w:r>
        <w:separator/>
      </w:r>
    </w:p>
  </w:footnote>
  <w:footnote w:type="continuationSeparator" w:id="0">
    <w:p w14:paraId="6A42AC4F" w14:textId="77777777" w:rsidR="00A2533D" w:rsidRDefault="00A2533D" w:rsidP="00B11DF6">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3C"/>
    <w:rsid w:val="003E6C68"/>
    <w:rsid w:val="0044712B"/>
    <w:rsid w:val="004B47A3"/>
    <w:rsid w:val="007B4238"/>
    <w:rsid w:val="009117BB"/>
    <w:rsid w:val="009C1EC4"/>
    <w:rsid w:val="00A2533D"/>
    <w:rsid w:val="00B11DF6"/>
    <w:rsid w:val="00CB1DD3"/>
    <w:rsid w:val="00D5315F"/>
    <w:rsid w:val="00DB453C"/>
    <w:rsid w:val="00DD3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F8C9"/>
  <w15:chartTrackingRefBased/>
  <w15:docId w15:val="{D44BDA26-074A-4915-9B91-1432332C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453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B453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B453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B453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B453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B453C"/>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B453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B453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B453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453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B453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B453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B453C"/>
    <w:rPr>
      <w:rFonts w:cstheme="majorBidi"/>
      <w:color w:val="0F4761" w:themeColor="accent1" w:themeShade="BF"/>
      <w:sz w:val="28"/>
      <w:szCs w:val="28"/>
    </w:rPr>
  </w:style>
  <w:style w:type="character" w:customStyle="1" w:styleId="50">
    <w:name w:val="标题 5 字符"/>
    <w:basedOn w:val="a0"/>
    <w:link w:val="5"/>
    <w:uiPriority w:val="9"/>
    <w:semiHidden/>
    <w:rsid w:val="00DB453C"/>
    <w:rPr>
      <w:rFonts w:cstheme="majorBidi"/>
      <w:color w:val="0F4761" w:themeColor="accent1" w:themeShade="BF"/>
      <w:sz w:val="24"/>
    </w:rPr>
  </w:style>
  <w:style w:type="character" w:customStyle="1" w:styleId="60">
    <w:name w:val="标题 6 字符"/>
    <w:basedOn w:val="a0"/>
    <w:link w:val="6"/>
    <w:uiPriority w:val="9"/>
    <w:semiHidden/>
    <w:rsid w:val="00DB453C"/>
    <w:rPr>
      <w:rFonts w:cstheme="majorBidi"/>
      <w:b/>
      <w:bCs/>
      <w:color w:val="0F4761" w:themeColor="accent1" w:themeShade="BF"/>
    </w:rPr>
  </w:style>
  <w:style w:type="character" w:customStyle="1" w:styleId="70">
    <w:name w:val="标题 7 字符"/>
    <w:basedOn w:val="a0"/>
    <w:link w:val="7"/>
    <w:uiPriority w:val="9"/>
    <w:semiHidden/>
    <w:rsid w:val="00DB453C"/>
    <w:rPr>
      <w:rFonts w:cstheme="majorBidi"/>
      <w:b/>
      <w:bCs/>
      <w:color w:val="595959" w:themeColor="text1" w:themeTint="A6"/>
    </w:rPr>
  </w:style>
  <w:style w:type="character" w:customStyle="1" w:styleId="80">
    <w:name w:val="标题 8 字符"/>
    <w:basedOn w:val="a0"/>
    <w:link w:val="8"/>
    <w:uiPriority w:val="9"/>
    <w:semiHidden/>
    <w:rsid w:val="00DB453C"/>
    <w:rPr>
      <w:rFonts w:cstheme="majorBidi"/>
      <w:color w:val="595959" w:themeColor="text1" w:themeTint="A6"/>
    </w:rPr>
  </w:style>
  <w:style w:type="character" w:customStyle="1" w:styleId="90">
    <w:name w:val="标题 9 字符"/>
    <w:basedOn w:val="a0"/>
    <w:link w:val="9"/>
    <w:uiPriority w:val="9"/>
    <w:semiHidden/>
    <w:rsid w:val="00DB453C"/>
    <w:rPr>
      <w:rFonts w:eastAsiaTheme="majorEastAsia" w:cstheme="majorBidi"/>
      <w:color w:val="595959" w:themeColor="text1" w:themeTint="A6"/>
    </w:rPr>
  </w:style>
  <w:style w:type="paragraph" w:styleId="a3">
    <w:name w:val="Title"/>
    <w:basedOn w:val="a"/>
    <w:next w:val="a"/>
    <w:link w:val="a4"/>
    <w:uiPriority w:val="10"/>
    <w:qFormat/>
    <w:rsid w:val="00DB453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B45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453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B45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453C"/>
    <w:pPr>
      <w:spacing w:before="160"/>
      <w:jc w:val="center"/>
    </w:pPr>
    <w:rPr>
      <w:i/>
      <w:iCs/>
      <w:color w:val="404040" w:themeColor="text1" w:themeTint="BF"/>
    </w:rPr>
  </w:style>
  <w:style w:type="character" w:customStyle="1" w:styleId="a8">
    <w:name w:val="引用 字符"/>
    <w:basedOn w:val="a0"/>
    <w:link w:val="a7"/>
    <w:uiPriority w:val="29"/>
    <w:rsid w:val="00DB453C"/>
    <w:rPr>
      <w:i/>
      <w:iCs/>
      <w:color w:val="404040" w:themeColor="text1" w:themeTint="BF"/>
    </w:rPr>
  </w:style>
  <w:style w:type="paragraph" w:styleId="a9">
    <w:name w:val="List Paragraph"/>
    <w:basedOn w:val="a"/>
    <w:uiPriority w:val="34"/>
    <w:qFormat/>
    <w:rsid w:val="00DB453C"/>
    <w:pPr>
      <w:ind w:left="720"/>
      <w:contextualSpacing/>
    </w:pPr>
  </w:style>
  <w:style w:type="character" w:styleId="aa">
    <w:name w:val="Intense Emphasis"/>
    <w:basedOn w:val="a0"/>
    <w:uiPriority w:val="21"/>
    <w:qFormat/>
    <w:rsid w:val="00DB453C"/>
    <w:rPr>
      <w:i/>
      <w:iCs/>
      <w:color w:val="0F4761" w:themeColor="accent1" w:themeShade="BF"/>
    </w:rPr>
  </w:style>
  <w:style w:type="paragraph" w:styleId="ab">
    <w:name w:val="Intense Quote"/>
    <w:basedOn w:val="a"/>
    <w:next w:val="a"/>
    <w:link w:val="ac"/>
    <w:uiPriority w:val="30"/>
    <w:qFormat/>
    <w:rsid w:val="00DB4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B453C"/>
    <w:rPr>
      <w:i/>
      <w:iCs/>
      <w:color w:val="0F4761" w:themeColor="accent1" w:themeShade="BF"/>
    </w:rPr>
  </w:style>
  <w:style w:type="character" w:styleId="ad">
    <w:name w:val="Intense Reference"/>
    <w:basedOn w:val="a0"/>
    <w:uiPriority w:val="32"/>
    <w:qFormat/>
    <w:rsid w:val="00DB453C"/>
    <w:rPr>
      <w:b/>
      <w:bCs/>
      <w:smallCaps/>
      <w:color w:val="0F4761" w:themeColor="accent1" w:themeShade="BF"/>
      <w:spacing w:val="5"/>
    </w:rPr>
  </w:style>
  <w:style w:type="paragraph" w:styleId="ae">
    <w:name w:val="header"/>
    <w:basedOn w:val="a"/>
    <w:link w:val="af"/>
    <w:uiPriority w:val="99"/>
    <w:unhideWhenUsed/>
    <w:rsid w:val="00B11DF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11DF6"/>
    <w:rPr>
      <w:sz w:val="18"/>
      <w:szCs w:val="18"/>
    </w:rPr>
  </w:style>
  <w:style w:type="paragraph" w:styleId="af0">
    <w:name w:val="footer"/>
    <w:basedOn w:val="a"/>
    <w:link w:val="af1"/>
    <w:uiPriority w:val="99"/>
    <w:unhideWhenUsed/>
    <w:rsid w:val="00B11DF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11D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Zhicheng Zhuang</dc:creator>
  <cp:keywords/>
  <dc:description/>
  <cp:lastModifiedBy>Zhicheng Zhuang</cp:lastModifiedBy>
  <cp:revision>5</cp:revision>
  <dcterms:created xsi:type="dcterms:W3CDTF">2025-11-04T02:18:00Z</dcterms:created>
  <dcterms:modified xsi:type="dcterms:W3CDTF">2025-11-18T09:49:00Z</dcterms:modified>
</cp:coreProperties>
</file>