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9A151" w14:textId="1DE1D870" w:rsidR="00BD2FDE" w:rsidRDefault="00BA2DE8" w:rsidP="0069682B">
      <w:pPr>
        <w:jc w:val="center"/>
        <w:rPr>
          <w:rFonts w:hint="eastAsia"/>
        </w:rPr>
      </w:pPr>
      <w:r w:rsidRPr="00BA2DE8">
        <w:t xml:space="preserve"> </w:t>
      </w:r>
      <w:r>
        <w:rPr>
          <w:noProof/>
        </w:rPr>
        <w:drawing>
          <wp:inline distT="0" distB="0" distL="0" distR="0" wp14:anchorId="35791209" wp14:editId="7A611F59">
            <wp:extent cx="6000750" cy="8863330"/>
            <wp:effectExtent l="0" t="0" r="0" b="0"/>
            <wp:docPr id="17422815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83DF1" w14:textId="40980FA1" w:rsidR="00BE73BD" w:rsidRDefault="0069682B" w:rsidP="009016E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bookmarkStart w:id="0" w:name="OLE_LINK1"/>
      <w:r w:rsidRPr="0069682B">
        <w:rPr>
          <w:rFonts w:ascii="Arial" w:hAnsi="Arial" w:cs="Arial"/>
          <w:b/>
          <w:bCs/>
          <w:sz w:val="24"/>
          <w:szCs w:val="24"/>
        </w:rPr>
        <w:lastRenderedPageBreak/>
        <w:t>Supplementary Fig</w:t>
      </w:r>
      <w:r w:rsidR="002B2EA9">
        <w:rPr>
          <w:rFonts w:ascii="Arial" w:hAnsi="Arial" w:cs="Arial" w:hint="eastAsia"/>
          <w:b/>
          <w:bCs/>
          <w:sz w:val="24"/>
          <w:szCs w:val="24"/>
        </w:rPr>
        <w:t>.</w:t>
      </w:r>
      <w:r w:rsidRPr="0069682B">
        <w:rPr>
          <w:rFonts w:ascii="Arial" w:hAnsi="Arial" w:cs="Arial"/>
          <w:b/>
          <w:bCs/>
          <w:sz w:val="24"/>
          <w:szCs w:val="24"/>
        </w:rPr>
        <w:t xml:space="preserve"> S1.</w:t>
      </w:r>
      <w:r w:rsidRPr="00804D6F">
        <w:rPr>
          <w:rFonts w:ascii="Arial" w:hAnsi="Arial" w:cs="Arial"/>
          <w:sz w:val="24"/>
          <w:szCs w:val="24"/>
        </w:rPr>
        <w:t xml:space="preserve"> </w:t>
      </w:r>
      <w:r w:rsidR="00C06E24" w:rsidRPr="006C189A">
        <w:rPr>
          <w:rFonts w:ascii="Arial" w:hAnsi="Arial" w:cs="Arial" w:hint="eastAsia"/>
          <w:sz w:val="24"/>
        </w:rPr>
        <w:t xml:space="preserve">Validation of </w:t>
      </w:r>
      <w:r w:rsidR="00BE73BD">
        <w:rPr>
          <w:rFonts w:ascii="Arial" w:hAnsi="Arial" w:cs="Arial" w:hint="eastAsia"/>
          <w:sz w:val="24"/>
        </w:rPr>
        <w:t xml:space="preserve">the </w:t>
      </w:r>
      <w:r w:rsidR="00C06E24" w:rsidRPr="006C189A">
        <w:rPr>
          <w:rFonts w:ascii="Arial" w:hAnsi="Arial" w:cs="Arial"/>
          <w:sz w:val="24"/>
        </w:rPr>
        <w:t xml:space="preserve">TME classification </w:t>
      </w:r>
      <w:r w:rsidR="00BE73BD">
        <w:rPr>
          <w:rFonts w:ascii="Arial" w:hAnsi="Arial" w:cs="Arial" w:hint="eastAsia"/>
          <w:sz w:val="24"/>
        </w:rPr>
        <w:t xml:space="preserve">system </w:t>
      </w:r>
      <w:r w:rsidR="00C06E24" w:rsidRPr="006C189A">
        <w:rPr>
          <w:rFonts w:ascii="Arial" w:hAnsi="Arial" w:cs="Arial"/>
          <w:sz w:val="24"/>
        </w:rPr>
        <w:t xml:space="preserve">in </w:t>
      </w:r>
      <w:r w:rsidR="00C06E24" w:rsidRPr="006C189A">
        <w:rPr>
          <w:rFonts w:ascii="Arial" w:eastAsia="等线" w:hAnsi="Arial" w:cs="Arial"/>
          <w:sz w:val="24"/>
          <w14:ligatures w14:val="none"/>
        </w:rPr>
        <w:t xml:space="preserve">a merged </w:t>
      </w:r>
      <w:r w:rsidR="00BE73BD">
        <w:rPr>
          <w:rFonts w:ascii="Arial" w:eastAsia="等线" w:hAnsi="Arial" w:cs="Arial" w:hint="eastAsia"/>
          <w:sz w:val="24"/>
          <w14:ligatures w14:val="none"/>
        </w:rPr>
        <w:t>cohort</w:t>
      </w:r>
      <w:r w:rsidR="00BE73BD">
        <w:rPr>
          <w:rFonts w:ascii="Arial" w:eastAsia="等线" w:hAnsi="Arial" w:cs="Arial" w:hint="eastAsia"/>
          <w:sz w:val="24"/>
          <w14:ligatures w14:val="none"/>
        </w:rPr>
        <w:t xml:space="preserve"> </w:t>
      </w:r>
      <w:r w:rsidR="00BE73BD">
        <w:rPr>
          <w:rFonts w:ascii="Arial" w:eastAsia="等线" w:hAnsi="Arial" w:cs="Arial" w:hint="eastAsia"/>
          <w:sz w:val="24"/>
          <w14:ligatures w14:val="none"/>
        </w:rPr>
        <w:t xml:space="preserve">comprising </w:t>
      </w:r>
      <w:r w:rsidR="00C06E24" w:rsidRPr="006C189A">
        <w:rPr>
          <w:rFonts w:ascii="Arial" w:eastAsia="等线" w:hAnsi="Arial" w:cs="Arial"/>
          <w:sz w:val="24"/>
          <w14:ligatures w14:val="none"/>
        </w:rPr>
        <w:t>TCGA-SKCM, GSE65904, GSE19234, and GSE54467.</w:t>
      </w:r>
      <w:r w:rsidR="00A86DB3">
        <w:rPr>
          <w:rFonts w:ascii="Arial" w:eastAsia="等线" w:hAnsi="Arial" w:cs="Arial" w:hint="eastAsia"/>
          <w:sz w:val="24"/>
          <w14:ligatures w14:val="none"/>
        </w:rPr>
        <w:t xml:space="preserve"> </w:t>
      </w:r>
      <w:r w:rsidR="007428B1">
        <w:rPr>
          <w:rFonts w:ascii="Arial" w:hAnsi="Arial" w:cs="Arial"/>
          <w:sz w:val="24"/>
          <w:szCs w:val="24"/>
        </w:rPr>
        <w:t>(</w:t>
      </w:r>
      <w:r w:rsidR="00363361">
        <w:rPr>
          <w:rFonts w:ascii="Arial" w:hAnsi="Arial" w:cs="Arial" w:hint="eastAsia"/>
          <w:b/>
          <w:bCs/>
          <w:sz w:val="24"/>
          <w:szCs w:val="24"/>
        </w:rPr>
        <w:t>A</w:t>
      </w:r>
      <w:r w:rsidR="007428B1">
        <w:rPr>
          <w:rFonts w:ascii="Arial" w:hAnsi="Arial" w:cs="Arial"/>
          <w:sz w:val="24"/>
          <w:szCs w:val="24"/>
        </w:rPr>
        <w:t>)</w:t>
      </w:r>
      <w:r w:rsidRPr="002C1D80">
        <w:rPr>
          <w:rFonts w:ascii="Arial" w:hAnsi="Arial" w:cs="Arial"/>
          <w:sz w:val="24"/>
          <w:szCs w:val="24"/>
        </w:rPr>
        <w:t xml:space="preserve"> consensus score matrix of melanoma samples from </w:t>
      </w:r>
      <w:r w:rsidR="00BE73BD">
        <w:rPr>
          <w:rFonts w:ascii="Arial" w:hAnsi="Arial" w:cs="Arial" w:hint="eastAsia"/>
          <w:sz w:val="24"/>
          <w:szCs w:val="24"/>
        </w:rPr>
        <w:t xml:space="preserve">the </w:t>
      </w:r>
      <w:r w:rsidRPr="002C1D80">
        <w:rPr>
          <w:rFonts w:ascii="Arial" w:hAnsi="Arial" w:cs="Arial"/>
          <w:sz w:val="24"/>
          <w:szCs w:val="24"/>
        </w:rPr>
        <w:t>four cohorts</w:t>
      </w:r>
      <w:r w:rsidR="00A86DB3">
        <w:rPr>
          <w:rFonts w:ascii="Arial" w:hAnsi="Arial" w:cs="Arial" w:hint="eastAsia"/>
          <w:sz w:val="24"/>
          <w:szCs w:val="24"/>
        </w:rPr>
        <w:t xml:space="preserve"> </w:t>
      </w:r>
      <w:r w:rsidR="00BE73BD">
        <w:rPr>
          <w:rFonts w:ascii="Arial" w:hAnsi="Arial" w:cs="Arial" w:hint="eastAsia"/>
          <w:sz w:val="24"/>
          <w:szCs w:val="24"/>
        </w:rPr>
        <w:t>across</w:t>
      </w:r>
      <w:r w:rsidRPr="002C1D80">
        <w:rPr>
          <w:rFonts w:ascii="Arial" w:hAnsi="Arial" w:cs="Arial"/>
          <w:sz w:val="24"/>
          <w:szCs w:val="24"/>
        </w:rPr>
        <w:t xml:space="preserve"> </w:t>
      </w:r>
      <w:r w:rsidRPr="00BF0112">
        <w:rPr>
          <w:rFonts w:ascii="Arial" w:hAnsi="Arial" w:cs="Arial"/>
          <w:i/>
          <w:iCs/>
          <w:sz w:val="24"/>
          <w:szCs w:val="24"/>
        </w:rPr>
        <w:t>k</w:t>
      </w:r>
      <w:r w:rsidRPr="002C1D80">
        <w:rPr>
          <w:rFonts w:ascii="Arial" w:hAnsi="Arial" w:cs="Arial"/>
          <w:sz w:val="24"/>
          <w:szCs w:val="24"/>
        </w:rPr>
        <w:t xml:space="preserve"> clusters (</w:t>
      </w:r>
      <w:r w:rsidRPr="00BF0112">
        <w:rPr>
          <w:rFonts w:ascii="Arial" w:hAnsi="Arial" w:cs="Arial"/>
          <w:i/>
          <w:iCs/>
          <w:sz w:val="24"/>
          <w:szCs w:val="24"/>
        </w:rPr>
        <w:t>k</w:t>
      </w:r>
      <w:r w:rsidRPr="002C1D80">
        <w:rPr>
          <w:rFonts w:ascii="Arial" w:hAnsi="Arial" w:cs="Arial"/>
          <w:sz w:val="24"/>
          <w:szCs w:val="24"/>
        </w:rPr>
        <w:t xml:space="preserve"> = 2-4)</w:t>
      </w:r>
      <w:r w:rsidR="00BE73BD">
        <w:rPr>
          <w:rFonts w:ascii="Arial" w:hAnsi="Arial" w:cs="Arial" w:hint="eastAsia"/>
          <w:sz w:val="24"/>
          <w:szCs w:val="24"/>
        </w:rPr>
        <w:t>;</w:t>
      </w:r>
      <w:r w:rsidRPr="002C1D80">
        <w:rPr>
          <w:rFonts w:ascii="Arial" w:hAnsi="Arial" w:cs="Arial"/>
          <w:sz w:val="24"/>
          <w:szCs w:val="24"/>
        </w:rPr>
        <w:t xml:space="preserve"> </w:t>
      </w:r>
      <w:r w:rsidR="00BE73BD">
        <w:rPr>
          <w:rFonts w:ascii="Arial" w:hAnsi="Arial" w:cs="Arial" w:hint="eastAsia"/>
          <w:sz w:val="24"/>
          <w:szCs w:val="24"/>
        </w:rPr>
        <w:t>a</w:t>
      </w:r>
      <w:r w:rsidR="00BE73BD" w:rsidRPr="002C1D80">
        <w:rPr>
          <w:rFonts w:ascii="Arial" w:hAnsi="Arial" w:cs="Arial"/>
          <w:sz w:val="24"/>
          <w:szCs w:val="24"/>
        </w:rPr>
        <w:t xml:space="preserve"> </w:t>
      </w:r>
      <w:r w:rsidRPr="002C1D80">
        <w:rPr>
          <w:rFonts w:ascii="Arial" w:hAnsi="Arial" w:cs="Arial"/>
          <w:sz w:val="24"/>
          <w:szCs w:val="24"/>
        </w:rPr>
        <w:t xml:space="preserve">higher consensus score between two samples indicates a greater </w:t>
      </w:r>
      <w:r w:rsidR="00BE73BD">
        <w:rPr>
          <w:rFonts w:ascii="Arial" w:hAnsi="Arial" w:cs="Arial" w:hint="eastAsia"/>
          <w:sz w:val="24"/>
          <w:szCs w:val="24"/>
        </w:rPr>
        <w:t>probability</w:t>
      </w:r>
      <w:r w:rsidR="00BE73BD" w:rsidRPr="002C1D80">
        <w:rPr>
          <w:rFonts w:ascii="Arial" w:hAnsi="Arial" w:cs="Arial"/>
          <w:sz w:val="24"/>
          <w:szCs w:val="24"/>
        </w:rPr>
        <w:t xml:space="preserve"> </w:t>
      </w:r>
      <w:r w:rsidRPr="002C1D80">
        <w:rPr>
          <w:rFonts w:ascii="Arial" w:hAnsi="Arial" w:cs="Arial"/>
          <w:sz w:val="24"/>
          <w:szCs w:val="24"/>
        </w:rPr>
        <w:t xml:space="preserve">of </w:t>
      </w:r>
      <w:r w:rsidR="00BE73BD">
        <w:rPr>
          <w:rFonts w:ascii="Arial" w:hAnsi="Arial" w:cs="Arial" w:hint="eastAsia"/>
          <w:sz w:val="24"/>
          <w:szCs w:val="24"/>
        </w:rPr>
        <w:t>co-clustering</w:t>
      </w:r>
      <w:r w:rsidR="00BE73BD" w:rsidRPr="002C1D80">
        <w:rPr>
          <w:rFonts w:ascii="Arial" w:hAnsi="Arial" w:cs="Arial"/>
          <w:sz w:val="24"/>
          <w:szCs w:val="24"/>
        </w:rPr>
        <w:t xml:space="preserve"> </w:t>
      </w:r>
      <w:r w:rsidR="00BE73BD">
        <w:rPr>
          <w:rFonts w:ascii="Arial" w:hAnsi="Arial" w:cs="Arial" w:hint="eastAsia"/>
          <w:sz w:val="24"/>
          <w:szCs w:val="24"/>
        </w:rPr>
        <w:t xml:space="preserve">across </w:t>
      </w:r>
      <w:r w:rsidRPr="002C1D80">
        <w:rPr>
          <w:rFonts w:ascii="Arial" w:hAnsi="Arial" w:cs="Arial"/>
          <w:sz w:val="24"/>
          <w:szCs w:val="24"/>
        </w:rPr>
        <w:t>iterations.</w:t>
      </w:r>
      <w:r>
        <w:rPr>
          <w:rFonts w:ascii="Arial" w:hAnsi="Arial" w:cs="Arial"/>
          <w:sz w:val="24"/>
          <w:szCs w:val="24"/>
        </w:rPr>
        <w:t xml:space="preserve"> </w:t>
      </w:r>
      <w:r w:rsidR="007428B1">
        <w:rPr>
          <w:rFonts w:ascii="Arial" w:hAnsi="Arial" w:cs="Arial"/>
          <w:sz w:val="24"/>
          <w:szCs w:val="24"/>
        </w:rPr>
        <w:t>(</w:t>
      </w:r>
      <w:r w:rsidR="00363361">
        <w:rPr>
          <w:rFonts w:ascii="Arial" w:hAnsi="Arial" w:cs="Arial" w:hint="eastAsia"/>
          <w:b/>
          <w:bCs/>
          <w:sz w:val="24"/>
          <w:szCs w:val="24"/>
        </w:rPr>
        <w:t>B</w:t>
      </w:r>
      <w:r w:rsidR="007428B1">
        <w:rPr>
          <w:rFonts w:ascii="Arial" w:hAnsi="Arial" w:cs="Arial"/>
          <w:sz w:val="24"/>
          <w:szCs w:val="24"/>
        </w:rPr>
        <w:t>)</w:t>
      </w:r>
      <w:r w:rsidRPr="002C1D80">
        <w:rPr>
          <w:rFonts w:ascii="Arial" w:hAnsi="Arial" w:cs="Arial"/>
          <w:sz w:val="24"/>
          <w:szCs w:val="24"/>
        </w:rPr>
        <w:t xml:space="preserve"> Heatmap </w:t>
      </w:r>
      <w:r w:rsidR="00BE73BD">
        <w:rPr>
          <w:rFonts w:ascii="Arial" w:hAnsi="Arial" w:cs="Arial" w:hint="eastAsia"/>
          <w:sz w:val="24"/>
          <w:szCs w:val="24"/>
        </w:rPr>
        <w:t>showing</w:t>
      </w:r>
      <w:r w:rsidR="00BE73BD">
        <w:rPr>
          <w:rFonts w:ascii="Arial" w:hAnsi="Arial" w:cs="Arial" w:hint="eastAsia"/>
          <w:sz w:val="24"/>
          <w:szCs w:val="24"/>
        </w:rPr>
        <w:t xml:space="preserve"> </w:t>
      </w:r>
      <w:r w:rsidR="00A86DB3">
        <w:rPr>
          <w:rFonts w:ascii="Arial" w:hAnsi="Arial" w:cs="Arial" w:hint="eastAsia"/>
          <w:sz w:val="24"/>
          <w:szCs w:val="24"/>
        </w:rPr>
        <w:t xml:space="preserve">three TME subtypes </w:t>
      </w:r>
      <w:r w:rsidR="00BE73BD">
        <w:rPr>
          <w:rFonts w:ascii="Arial" w:hAnsi="Arial" w:cs="Arial" w:hint="eastAsia"/>
          <w:sz w:val="24"/>
          <w:szCs w:val="24"/>
        </w:rPr>
        <w:t xml:space="preserve">in the merged cohort identified by </w:t>
      </w:r>
      <w:r w:rsidRPr="002C1D80">
        <w:rPr>
          <w:rFonts w:ascii="Arial" w:hAnsi="Arial" w:cs="Arial"/>
          <w:sz w:val="24"/>
          <w:szCs w:val="24"/>
        </w:rPr>
        <w:t>unsupervised clustering of the 51 TME signatures. OS</w:t>
      </w:r>
      <w:r w:rsidR="00A86DB3">
        <w:rPr>
          <w:rFonts w:ascii="Arial" w:hAnsi="Arial" w:cs="Arial" w:hint="eastAsia"/>
          <w:sz w:val="24"/>
          <w:szCs w:val="24"/>
        </w:rPr>
        <w:t xml:space="preserve"> </w:t>
      </w:r>
      <w:r w:rsidR="00A86DB3">
        <w:rPr>
          <w:rFonts w:ascii="Arial" w:hAnsi="Arial" w:cs="Arial"/>
          <w:sz w:val="24"/>
          <w:szCs w:val="24"/>
        </w:rPr>
        <w:t>(</w:t>
      </w:r>
      <w:r w:rsidR="00363361">
        <w:rPr>
          <w:rFonts w:ascii="Arial" w:hAnsi="Arial" w:cs="Arial" w:hint="eastAsia"/>
          <w:b/>
          <w:bCs/>
          <w:sz w:val="24"/>
          <w:szCs w:val="24"/>
        </w:rPr>
        <w:t>C</w:t>
      </w:r>
      <w:r w:rsidR="00A86DB3">
        <w:rPr>
          <w:rFonts w:ascii="Arial" w:hAnsi="Arial" w:cs="Arial"/>
          <w:sz w:val="24"/>
          <w:szCs w:val="24"/>
        </w:rPr>
        <w:t>)</w:t>
      </w:r>
      <w:r w:rsidR="00A86DB3">
        <w:rPr>
          <w:rFonts w:ascii="Arial" w:hAnsi="Arial" w:cs="Arial" w:hint="eastAsia"/>
          <w:sz w:val="24"/>
          <w:szCs w:val="24"/>
        </w:rPr>
        <w:t xml:space="preserve">, </w:t>
      </w:r>
      <w:r w:rsidR="00A86DB3" w:rsidRPr="002C1D80">
        <w:rPr>
          <w:rFonts w:ascii="Arial" w:hAnsi="Arial" w:cs="Arial"/>
          <w:sz w:val="24"/>
          <w:szCs w:val="24"/>
        </w:rPr>
        <w:t>DMFS</w:t>
      </w:r>
      <w:r w:rsidR="00A86DB3">
        <w:rPr>
          <w:rFonts w:ascii="Arial" w:hAnsi="Arial" w:cs="Arial"/>
          <w:sz w:val="24"/>
          <w:szCs w:val="24"/>
        </w:rPr>
        <w:t xml:space="preserve"> (</w:t>
      </w:r>
      <w:r w:rsidR="00363361">
        <w:rPr>
          <w:rFonts w:ascii="Arial" w:hAnsi="Arial" w:cs="Arial" w:hint="eastAsia"/>
          <w:b/>
          <w:bCs/>
          <w:sz w:val="24"/>
          <w:szCs w:val="24"/>
        </w:rPr>
        <w:t>D</w:t>
      </w:r>
      <w:r w:rsidR="00A86DB3">
        <w:rPr>
          <w:rFonts w:ascii="Arial" w:hAnsi="Arial" w:cs="Arial"/>
          <w:sz w:val="24"/>
          <w:szCs w:val="24"/>
        </w:rPr>
        <w:t>)</w:t>
      </w:r>
      <w:r w:rsidR="00A86DB3">
        <w:rPr>
          <w:rFonts w:ascii="Arial" w:hAnsi="Arial" w:cs="Arial" w:hint="eastAsia"/>
          <w:sz w:val="24"/>
          <w:szCs w:val="24"/>
        </w:rPr>
        <w:t>, and DSS (</w:t>
      </w:r>
      <w:r w:rsidR="00363361">
        <w:rPr>
          <w:rFonts w:ascii="Arial" w:hAnsi="Arial" w:cs="Arial" w:hint="eastAsia"/>
          <w:b/>
          <w:bCs/>
          <w:sz w:val="24"/>
          <w:szCs w:val="24"/>
        </w:rPr>
        <w:t>E</w:t>
      </w:r>
      <w:r w:rsidR="00A86DB3">
        <w:rPr>
          <w:rFonts w:ascii="Arial" w:hAnsi="Arial" w:cs="Arial" w:hint="eastAsia"/>
          <w:sz w:val="24"/>
          <w:szCs w:val="24"/>
        </w:rPr>
        <w:t>)</w:t>
      </w:r>
      <w:r w:rsidR="00A86DB3" w:rsidRPr="002C1D80">
        <w:rPr>
          <w:rFonts w:ascii="Arial" w:hAnsi="Arial" w:cs="Arial"/>
          <w:sz w:val="24"/>
          <w:szCs w:val="24"/>
        </w:rPr>
        <w:t xml:space="preserve"> </w:t>
      </w:r>
      <w:r w:rsidRPr="002C1D80">
        <w:rPr>
          <w:rFonts w:ascii="Arial" w:hAnsi="Arial" w:cs="Arial"/>
          <w:sz w:val="24"/>
          <w:szCs w:val="24"/>
        </w:rPr>
        <w:t>of melanoma patients stratified by TME subtype.</w:t>
      </w:r>
      <w:r w:rsidRPr="000C71E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E5C3E1F" w14:textId="5BACAA90" w:rsidR="00A86DB3" w:rsidRPr="0069682B" w:rsidRDefault="00A86DB3" w:rsidP="009016E7">
      <w:pPr>
        <w:spacing w:line="276" w:lineRule="auto"/>
        <w:rPr>
          <w:rFonts w:hint="eastAsia"/>
        </w:rPr>
      </w:pPr>
      <w:r w:rsidRPr="000C71E3">
        <w:rPr>
          <w:rFonts w:ascii="Arial" w:hAnsi="Arial" w:cs="Arial" w:hint="eastAsia"/>
          <w:b/>
          <w:bCs/>
          <w:sz w:val="24"/>
          <w:szCs w:val="24"/>
        </w:rPr>
        <w:t xml:space="preserve">Abbreviations: </w:t>
      </w:r>
      <w:r>
        <w:rPr>
          <w:rFonts w:ascii="Arial" w:hAnsi="Arial" w:cs="Arial" w:hint="eastAsia"/>
          <w:sz w:val="24"/>
          <w:szCs w:val="24"/>
        </w:rPr>
        <w:t xml:space="preserve">TME, tumor microenvironment; OS, overall survival; DMFS, </w:t>
      </w:r>
      <w:r w:rsidRPr="00A86DB3">
        <w:rPr>
          <w:rFonts w:ascii="Arial" w:hAnsi="Arial" w:cs="Arial" w:hint="eastAsia"/>
          <w:sz w:val="24"/>
          <w:szCs w:val="24"/>
        </w:rPr>
        <w:t>distant metastasis-free survival</w:t>
      </w:r>
      <w:r>
        <w:rPr>
          <w:rFonts w:ascii="Arial" w:hAnsi="Arial" w:cs="Arial" w:hint="eastAsia"/>
          <w:sz w:val="24"/>
          <w:szCs w:val="24"/>
        </w:rPr>
        <w:t xml:space="preserve">; DSS, disease-specific survival. </w:t>
      </w:r>
      <w:bookmarkEnd w:id="0"/>
    </w:p>
    <w:sectPr w:rsidR="00A86DB3" w:rsidRPr="0069682B" w:rsidSect="0069682B">
      <w:pgSz w:w="11906" w:h="16838" w:code="9"/>
      <w:pgMar w:top="1440" w:right="1134" w:bottom="1440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58029" w14:textId="77777777" w:rsidR="00B912F5" w:rsidRDefault="00B912F5" w:rsidP="0069682B">
      <w:pPr>
        <w:rPr>
          <w:rFonts w:hint="eastAsia"/>
        </w:rPr>
      </w:pPr>
      <w:r>
        <w:separator/>
      </w:r>
    </w:p>
  </w:endnote>
  <w:endnote w:type="continuationSeparator" w:id="0">
    <w:p w14:paraId="710D7E89" w14:textId="77777777" w:rsidR="00B912F5" w:rsidRDefault="00B912F5" w:rsidP="006968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C9A9F" w14:textId="77777777" w:rsidR="00B912F5" w:rsidRDefault="00B912F5" w:rsidP="0069682B">
      <w:pPr>
        <w:rPr>
          <w:rFonts w:hint="eastAsia"/>
        </w:rPr>
      </w:pPr>
      <w:r>
        <w:separator/>
      </w:r>
    </w:p>
  </w:footnote>
  <w:footnote w:type="continuationSeparator" w:id="0">
    <w:p w14:paraId="4C97E4CB" w14:textId="77777777" w:rsidR="00B912F5" w:rsidRDefault="00B912F5" w:rsidP="0069682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FDE"/>
    <w:rsid w:val="000C0CA1"/>
    <w:rsid w:val="000C71E3"/>
    <w:rsid w:val="00154CE8"/>
    <w:rsid w:val="00164368"/>
    <w:rsid w:val="0019153F"/>
    <w:rsid w:val="001E72DA"/>
    <w:rsid w:val="002503AF"/>
    <w:rsid w:val="00264594"/>
    <w:rsid w:val="002B2EA9"/>
    <w:rsid w:val="003167A6"/>
    <w:rsid w:val="00327869"/>
    <w:rsid w:val="003433A8"/>
    <w:rsid w:val="00363361"/>
    <w:rsid w:val="00435B6B"/>
    <w:rsid w:val="004535DA"/>
    <w:rsid w:val="0049405B"/>
    <w:rsid w:val="004E5409"/>
    <w:rsid w:val="005A1203"/>
    <w:rsid w:val="0069682B"/>
    <w:rsid w:val="006C0A24"/>
    <w:rsid w:val="00703110"/>
    <w:rsid w:val="007428B1"/>
    <w:rsid w:val="00833B98"/>
    <w:rsid w:val="009016E7"/>
    <w:rsid w:val="00937595"/>
    <w:rsid w:val="00A84D27"/>
    <w:rsid w:val="00A86DB3"/>
    <w:rsid w:val="00AE7963"/>
    <w:rsid w:val="00AF6DBD"/>
    <w:rsid w:val="00B06565"/>
    <w:rsid w:val="00B912F5"/>
    <w:rsid w:val="00BA2DE8"/>
    <w:rsid w:val="00BD2FDE"/>
    <w:rsid w:val="00BE73BD"/>
    <w:rsid w:val="00BF0112"/>
    <w:rsid w:val="00C024C2"/>
    <w:rsid w:val="00C06E24"/>
    <w:rsid w:val="00C64985"/>
    <w:rsid w:val="00C719C6"/>
    <w:rsid w:val="00CC05EB"/>
    <w:rsid w:val="00CE215C"/>
    <w:rsid w:val="00D25E44"/>
    <w:rsid w:val="00E40161"/>
    <w:rsid w:val="00F11A35"/>
    <w:rsid w:val="00F61C9E"/>
    <w:rsid w:val="00FC033C"/>
    <w:rsid w:val="00FF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B5B1F"/>
  <w15:chartTrackingRefBased/>
  <w15:docId w15:val="{F1BFCFFC-31AE-41DA-B150-9687DB8F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8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68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68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682B"/>
    <w:rPr>
      <w:sz w:val="18"/>
      <w:szCs w:val="18"/>
    </w:rPr>
  </w:style>
  <w:style w:type="paragraph" w:styleId="a7">
    <w:name w:val="Revision"/>
    <w:hidden/>
    <w:uiPriority w:val="99"/>
    <w:semiHidden/>
    <w:rsid w:val="00696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100</Words>
  <Characters>598</Characters>
  <Application>Microsoft Office Word</Application>
  <DocSecurity>0</DocSecurity>
  <Lines>9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Hai-Yun Wang</dc:creator>
  <cp:keywords/>
  <dc:description/>
  <cp:lastModifiedBy>Hai-Yun Wang</cp:lastModifiedBy>
  <cp:revision>17</cp:revision>
  <dcterms:created xsi:type="dcterms:W3CDTF">2024-09-07T04:08:00Z</dcterms:created>
  <dcterms:modified xsi:type="dcterms:W3CDTF">2026-02-03T08:25:00Z</dcterms:modified>
</cp:coreProperties>
</file>