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908C3">
      <w:pPr>
        <w:spacing w:line="360" w:lineRule="auto"/>
        <w:ind w:firstLine="480" w:firstLineChars="200"/>
        <w:rPr>
          <w:rFonts w:hint="default" w:ascii="Times New Roman" w:hAnsi="Times New Roman" w:cs="Times New Roman"/>
          <w:b/>
          <w:bCs/>
          <w:sz w:val="24"/>
        </w:rPr>
      </w:pPr>
      <w:r>
        <w:rPr>
          <w:rFonts w:hint="default" w:ascii="Times New Roman" w:hAnsi="Times New Roman" w:cs="Times New Roman"/>
          <w:b/>
          <w:bCs/>
          <w:sz w:val="24"/>
        </w:rPr>
        <w:t>Supplementary Figure</w:t>
      </w:r>
    </w:p>
    <w:p w14:paraId="65820804">
      <w:pPr>
        <w:spacing w:line="360" w:lineRule="auto"/>
        <w:rPr>
          <w:rFonts w:hint="default" w:ascii="Times New Roman" w:hAnsi="Times New Roman" w:cs="Times New Roman" w:eastAsiaTheme="minorEastAsia"/>
        </w:rPr>
      </w:pPr>
      <w:r>
        <w:rPr>
          <w:rFonts w:hint="default" w:ascii="Times New Roman" w:hAnsi="Times New Roman" w:cs="Times New Roman" w:eastAsiaTheme="minorEastAsia"/>
        </w:rPr>
        <w:drawing>
          <wp:inline distT="0" distB="0" distL="0" distR="0">
            <wp:extent cx="4985385" cy="3935730"/>
            <wp:effectExtent l="0" t="0" r="5715" b="7620"/>
            <wp:docPr id="203561455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614550" name="图片 10"/>
                    <pic:cNvPicPr>
                      <a:picLocks noChangeAspect="1"/>
                    </pic:cNvPicPr>
                  </pic:nvPicPr>
                  <pic:blipFill>
                    <a:blip r:embed="rId5"/>
                    <a:srcRect t="34359" b="21234"/>
                    <a:stretch>
                      <a:fillRect/>
                    </a:stretch>
                  </pic:blipFill>
                  <pic:spPr>
                    <a:xfrm>
                      <a:off x="0" y="0"/>
                      <a:ext cx="4986020" cy="39359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A5FF0">
      <w:pPr>
        <w:spacing w:line="360" w:lineRule="auto"/>
        <w:rPr>
          <w:rFonts w:hint="default" w:ascii="Times New Roman" w:hAnsi="Times New Roman" w:cs="Times New Roman"/>
          <w:b/>
          <w:bCs/>
          <w:sz w:val="24"/>
        </w:rPr>
      </w:pPr>
      <w:bookmarkStart w:id="0" w:name="OLE_LINK23"/>
      <w:r>
        <w:rPr>
          <w:rFonts w:hint="default" w:ascii="Times New Roman" w:hAnsi="Times New Roman" w:cs="Times New Roman"/>
          <w:b/>
          <w:bCs/>
          <w:sz w:val="24"/>
        </w:rPr>
        <w:t>Supplementary Figure</w:t>
      </w:r>
      <w:bookmarkEnd w:id="0"/>
      <w:r>
        <w:rPr>
          <w:rFonts w:hint="default" w:ascii="Times New Roman" w:hAnsi="Times New Roman" w:cs="Times New Roman"/>
          <w:b/>
          <w:bCs/>
          <w:sz w:val="24"/>
        </w:rPr>
        <w:t xml:space="preserve"> 1</w:t>
      </w:r>
    </w:p>
    <w:p w14:paraId="19BF55E7">
      <w:pPr>
        <w:numPr>
          <w:ilvl w:val="0"/>
          <w:numId w:val="1"/>
        </w:num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MIF protein expression profile in normal versus CRC tissues retrieved from the CPTAC database (n = 100 per group for CPTAC samples). </w:t>
      </w:r>
    </w:p>
    <w:p w14:paraId="5C4F3EFB">
      <w:pPr>
        <w:numPr>
          <w:ilvl w:val="0"/>
          <w:numId w:val="2"/>
        </w:num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G) Representative immunohistochemical images of MIF staining in CRC tissues (B-D) and normal intestinal tissues (E-G) obtained from the Human Protein Atlas (HPA) database, demonstrating consistent overexpression in malignant samples.</w:t>
      </w:r>
    </w:p>
    <w:p w14:paraId="11E4FA26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In the box plot (A), the center line represents the median, the bounds of the box represent the 25th and 75th percentiles, and the whiskers represent the minimum and maximum values.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z w:val="24"/>
        </w:rPr>
        <w:t>Data are presented as mean ± SD. Statistical significance was determined using the Wilcoxon rank-sum test. Exact p-values are detailed in Supplementary Table S1. *p &lt; 0.05</w:t>
      </w:r>
      <w:r>
        <w:rPr>
          <w:rFonts w:hint="default" w:ascii="Times New Roman" w:hAnsi="Times New Roman" w:cs="Times New Roman"/>
          <w:sz w:val="24"/>
        </w:rPr>
        <w:t>.</w:t>
      </w:r>
    </w:p>
    <w:p w14:paraId="38C82CCF">
      <w:pPr>
        <w:spacing w:line="36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</w:rPr>
        <w:drawing>
          <wp:inline distT="0" distB="0" distL="0" distR="0">
            <wp:extent cx="4985385" cy="2759075"/>
            <wp:effectExtent l="0" t="0" r="5715" b="3175"/>
            <wp:docPr id="382111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11111" name="图片 11"/>
                    <pic:cNvPicPr>
                      <a:picLocks noChangeAspect="1"/>
                    </pic:cNvPicPr>
                  </pic:nvPicPr>
                  <pic:blipFill>
                    <a:blip r:embed="rId6"/>
                    <a:srcRect t="27631" b="41239"/>
                    <a:stretch>
                      <a:fillRect/>
                    </a:stretch>
                  </pic:blipFill>
                  <pic:spPr>
                    <a:xfrm>
                      <a:off x="0" y="0"/>
                      <a:ext cx="4986020" cy="275918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BC1A3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b/>
          <w:bCs/>
          <w:sz w:val="24"/>
        </w:rPr>
        <w:t>Supplementary Figure 2.</w:t>
      </w:r>
      <w:r>
        <w:rPr>
          <w:rFonts w:hint="default" w:ascii="Times New Roman" w:hAnsi="Times New Roman" w:cs="Times New Roman"/>
          <w:sz w:val="24"/>
        </w:rPr>
        <w:t xml:space="preserve"> Bubble plot illustrating the marker genes used for the identification and annotation of seven major cell subpopulations in the single-cell dataset.</w:t>
      </w:r>
    </w:p>
    <w:p w14:paraId="2AF06C26">
      <w:pPr>
        <w:spacing w:line="360" w:lineRule="auto"/>
        <w:rPr>
          <w:rFonts w:hint="default" w:ascii="Times New Roman" w:hAnsi="Times New Roman" w:cs="Times New Roman"/>
        </w:rPr>
      </w:pPr>
    </w:p>
    <w:p w14:paraId="6471B0DD">
      <w:pPr>
        <w:spacing w:line="360" w:lineRule="auto"/>
        <w:rPr>
          <w:rFonts w:hint="default" w:ascii="Times New Roman" w:hAnsi="Times New Roman" w:cs="Times New Roman" w:eastAsiaTheme="minorEastAsia"/>
        </w:rPr>
      </w:pPr>
      <w:r>
        <w:rPr>
          <w:rFonts w:hint="default" w:ascii="Times New Roman" w:hAnsi="Times New Roman" w:cs="Times New Roman" w:eastAsiaTheme="minorEastAsia"/>
        </w:rPr>
        <w:drawing>
          <wp:inline distT="0" distB="0" distL="0" distR="0">
            <wp:extent cx="4986020" cy="2488565"/>
            <wp:effectExtent l="0" t="0" r="5080" b="6985"/>
            <wp:docPr id="68854513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545138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rcRect b="71921"/>
                    <a:stretch>
                      <a:fillRect/>
                    </a:stretch>
                  </pic:blipFill>
                  <pic:spPr>
                    <a:xfrm>
                      <a:off x="0" y="0"/>
                      <a:ext cx="4986020" cy="248875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AFDED">
      <w:pPr>
        <w:spacing w:line="360" w:lineRule="auto"/>
        <w:rPr>
          <w:rFonts w:hint="default" w:ascii="Times New Roman" w:hAnsi="Times New Roman" w:cs="Times New Roman" w:eastAsiaTheme="minorEastAsia"/>
          <w:sz w:val="24"/>
        </w:rPr>
      </w:pPr>
      <w:r>
        <w:rPr>
          <w:rFonts w:hint="default" w:ascii="Times New Roman" w:hAnsi="Times New Roman" w:cs="Times New Roman"/>
          <w:b/>
          <w:bCs/>
          <w:sz w:val="24"/>
        </w:rPr>
        <w:t xml:space="preserve">Supplementary Figure 3 </w:t>
      </w:r>
      <w:r>
        <w:rPr>
          <w:rFonts w:hint="default" w:ascii="Times New Roman" w:hAnsi="Times New Roman" w:cs="Times New Roman"/>
          <w:sz w:val="24"/>
        </w:rPr>
        <w:t>Characterization of MIF expression in CRC cell lines.</w:t>
      </w:r>
    </w:p>
    <w:p w14:paraId="6D0C5FA9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(A-B) Basal mRNA and protein levels of MIF in human normal intestinal epithelial cells (NCM460) compared to various CRC cell lines (SW480, HCT116, LOVO, etc.), determined by Western blot and RT-qPCR. </w:t>
      </w:r>
    </w:p>
    <w:p w14:paraId="48AECF2D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Data are presented as mean ± SD (n = 3 independent experiments). Statistical significance was determined using one-way ANOVA followed by Tukey’s post-hoc test. Exact p-values are detailed in Supplementary Table S1. </w:t>
      </w:r>
      <w:bookmarkStart w:id="1" w:name="OLE_LINK57"/>
      <w:r>
        <w:rPr>
          <w:rFonts w:hint="default" w:ascii="Times New Roman" w:hAnsi="Times New Roman" w:cs="Times New Roman"/>
          <w:sz w:val="24"/>
        </w:rPr>
        <w:t>*p &lt; 0.05</w:t>
      </w:r>
      <w:bookmarkEnd w:id="1"/>
      <w:r>
        <w:rPr>
          <w:rFonts w:hint="default" w:ascii="Times New Roman" w:hAnsi="Times New Roman" w:cs="Times New Roman"/>
          <w:sz w:val="24"/>
        </w:rPr>
        <w:t>, **p &lt; 0.01, ****p &lt; 0.0001.</w:t>
      </w:r>
    </w:p>
    <w:p w14:paraId="754ECAF5">
      <w:pPr>
        <w:spacing w:line="360" w:lineRule="auto"/>
        <w:rPr>
          <w:rFonts w:hint="default" w:ascii="Times New Roman" w:hAnsi="Times New Roman" w:cs="Times New Roman" w:eastAsiaTheme="minorEastAsia"/>
          <w:sz w:val="24"/>
        </w:rPr>
      </w:pPr>
      <w:r>
        <w:rPr>
          <w:rFonts w:hint="default" w:ascii="Times New Roman" w:hAnsi="Times New Roman" w:cs="Times New Roman" w:eastAsiaTheme="minorEastAsia"/>
          <w:sz w:val="24"/>
        </w:rPr>
        <w:drawing>
          <wp:inline distT="0" distB="0" distL="0" distR="0">
            <wp:extent cx="5274310" cy="6281420"/>
            <wp:effectExtent l="0" t="0" r="2540" b="5080"/>
            <wp:docPr id="161669897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698971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rcRect b="175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8153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D227F">
      <w:pPr>
        <w:spacing w:line="360" w:lineRule="auto"/>
        <w:rPr>
          <w:rFonts w:hint="default" w:ascii="Times New Roman" w:hAnsi="Times New Roman" w:cs="Times New Roman" w:eastAsiaTheme="minorEastAsia"/>
          <w:b/>
          <w:bCs/>
          <w:sz w:val="24"/>
        </w:rPr>
      </w:pPr>
      <w:r>
        <w:rPr>
          <w:rFonts w:hint="default" w:ascii="Times New Roman" w:hAnsi="Times New Roman" w:cs="Times New Roman" w:eastAsiaTheme="minorEastAsia"/>
          <w:b/>
          <w:bCs/>
          <w:sz w:val="24"/>
        </w:rPr>
        <w:t xml:space="preserve">Supplementary Figure </w:t>
      </w:r>
      <w:r>
        <w:rPr>
          <w:rFonts w:hint="default" w:ascii="Times New Roman" w:hAnsi="Times New Roman" w:cs="Times New Roman"/>
          <w:b/>
          <w:bCs/>
          <w:sz w:val="24"/>
        </w:rPr>
        <w:t>4</w:t>
      </w:r>
      <w:r>
        <w:rPr>
          <w:rFonts w:hint="default" w:ascii="Times New Roman" w:hAnsi="Times New Roman" w:cs="Times New Roman" w:eastAsiaTheme="minorEastAsia"/>
          <w:b/>
          <w:bCs/>
          <w:sz w:val="24"/>
        </w:rPr>
        <w:t xml:space="preserve"> </w:t>
      </w:r>
    </w:p>
    <w:p w14:paraId="5AB147F7">
      <w:pPr>
        <w:numPr>
          <w:ilvl w:val="0"/>
          <w:numId w:val="3"/>
        </w:numPr>
        <w:spacing w:line="360" w:lineRule="auto"/>
        <w:rPr>
          <w:rFonts w:hint="default" w:ascii="Times New Roman" w:hAnsi="Times New Roman" w:cs="Times New Roman" w:eastAsiaTheme="minorEastAsia"/>
          <w:sz w:val="24"/>
        </w:rPr>
      </w:pPr>
      <w:r>
        <w:rPr>
          <w:rFonts w:hint="default" w:ascii="Times New Roman" w:hAnsi="Times New Roman" w:cs="Times New Roman" w:eastAsiaTheme="minorEastAsia"/>
          <w:sz w:val="24"/>
        </w:rPr>
        <w:t>Representative images and statistical analysis of the colony formation assay showing the effect of stable MIF overexpression (OE_MIF) on the long-term proliferative capacity of DLD1 cells compared to the negative control (OE_NC).</w:t>
      </w:r>
    </w:p>
    <w:p w14:paraId="5E22A2E0">
      <w:pPr>
        <w:numPr>
          <w:ilvl w:val="0"/>
          <w:numId w:val="3"/>
        </w:numPr>
        <w:spacing w:line="360" w:lineRule="auto"/>
        <w:rPr>
          <w:rFonts w:hint="default" w:ascii="Times New Roman" w:hAnsi="Times New Roman" w:cs="Times New Roman" w:eastAsiaTheme="minorEastAsia"/>
          <w:sz w:val="24"/>
        </w:rPr>
      </w:pPr>
      <w:r>
        <w:rPr>
          <w:rFonts w:hint="default" w:ascii="Times New Roman" w:hAnsi="Times New Roman" w:cs="Times New Roman" w:eastAsiaTheme="minorEastAsia"/>
          <w:sz w:val="24"/>
        </w:rPr>
        <w:t xml:space="preserve">EdU assay evaluating DNA synthesis activity (red fluorescence: EdU; blue fluorescence: Hoechst 33342; scale bar = 50 μm). The quantitative histogram indicates a significant increase in the relative EdU-positive rate following MIF overexpression.  </w:t>
      </w:r>
    </w:p>
    <w:p w14:paraId="71CF4489">
      <w:pPr>
        <w:spacing w:line="360" w:lineRule="auto"/>
        <w:rPr>
          <w:rFonts w:hint="default" w:ascii="Times New Roman" w:hAnsi="Times New Roman" w:cs="Times New Roman" w:eastAsiaTheme="minorEastAsia"/>
          <w:sz w:val="24"/>
        </w:rPr>
      </w:pPr>
      <w:r>
        <w:rPr>
          <w:rFonts w:hint="default" w:ascii="Times New Roman" w:hAnsi="Times New Roman" w:cs="Times New Roman"/>
          <w:sz w:val="24"/>
        </w:rPr>
        <w:t>(C-D)</w:t>
      </w:r>
      <w:r>
        <w:rPr>
          <w:rFonts w:hint="default" w:ascii="Times New Roman" w:hAnsi="Times New Roman" w:cs="Times New Roman" w:eastAsiaTheme="minorEastAsia"/>
          <w:sz w:val="24"/>
        </w:rPr>
        <w:t xml:space="preserve"> Assessment of DLD1 cell motility. Wound healing assays (C) were performed to measure lateral migration rate over 24 hours, and Transwell assays(scale bar = 10 μm)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hint="default" w:ascii="Times New Roman" w:hAnsi="Times New Roman" w:cs="Times New Roman" w:eastAsiaTheme="minorEastAsia"/>
          <w:sz w:val="24"/>
        </w:rPr>
        <w:t xml:space="preserve">(D) were utilized to determine the number of migrated and invaded cells through Matrigel-coated or uncoated membranes(scale bar = 100 μm).  </w:t>
      </w:r>
    </w:p>
    <w:p w14:paraId="378541D1">
      <w:pPr>
        <w:numPr>
          <w:ilvl w:val="0"/>
          <w:numId w:val="4"/>
        </w:numPr>
        <w:spacing w:line="360" w:lineRule="auto"/>
        <w:rPr>
          <w:rFonts w:hint="default" w:ascii="Times New Roman" w:hAnsi="Times New Roman" w:cs="Times New Roman" w:eastAsiaTheme="minorEastAsia"/>
          <w:sz w:val="24"/>
        </w:rPr>
      </w:pPr>
      <w:r>
        <w:rPr>
          <w:rFonts w:hint="default" w:ascii="Times New Roman" w:hAnsi="Times New Roman" w:cs="Times New Roman" w:eastAsiaTheme="minorEastAsia"/>
          <w:sz w:val="24"/>
        </w:rPr>
        <w:t xml:space="preserve">G) Subcutaneous xenograft model in nude mice (n=5 per group) evaluating the in vivo tumorigenic potential. Images of harvested tumors (E), tumor weight (F), and tumor volume growth curves (G) consistently demonstrate that MIF significantly accelerates tumor expansion.  </w:t>
      </w:r>
    </w:p>
    <w:p w14:paraId="0E3AC71F">
      <w:pPr>
        <w:numPr>
          <w:ilvl w:val="0"/>
          <w:numId w:val="5"/>
        </w:numPr>
        <w:spacing w:line="360" w:lineRule="auto"/>
        <w:rPr>
          <w:rFonts w:hint="default" w:ascii="Times New Roman" w:hAnsi="Times New Roman" w:cs="Times New Roman" w:eastAsiaTheme="minorEastAsia"/>
          <w:sz w:val="24"/>
        </w:rPr>
      </w:pPr>
      <w:r>
        <w:rPr>
          <w:rFonts w:hint="default" w:ascii="Times New Roman" w:hAnsi="Times New Roman" w:cs="Times New Roman" w:eastAsiaTheme="minorEastAsia"/>
          <w:sz w:val="24"/>
        </w:rPr>
        <w:t xml:space="preserve">Representative histological sections of xenograft tissues stained with hematoxylin-eosin (H&amp;E) and IHC for Ki67 and MIF expression levels (scale bar = 50 μm).  </w:t>
      </w:r>
    </w:p>
    <w:p w14:paraId="7FF59BB7">
      <w:pPr>
        <w:spacing w:line="360" w:lineRule="auto"/>
        <w:rPr>
          <w:rFonts w:hint="default" w:ascii="Times New Roman" w:hAnsi="Times New Roman" w:cs="Times New Roman" w:eastAsiaTheme="minorEastAsia"/>
          <w:sz w:val="24"/>
        </w:rPr>
      </w:pPr>
      <w:r>
        <w:rPr>
          <w:rFonts w:hint="default" w:ascii="Times New Roman" w:hAnsi="Times New Roman" w:cs="Times New Roman" w:eastAsiaTheme="minorEastAsia"/>
          <w:sz w:val="24"/>
        </w:rPr>
        <w:t xml:space="preserve">Data are presented as mean ± SD (n = 3 independent experiments for in vitro assays; n </w:t>
      </w:r>
      <w:bookmarkStart w:id="3" w:name="_GoBack"/>
      <w:bookmarkEnd w:id="3"/>
      <w:r>
        <w:rPr>
          <w:rFonts w:hint="default" w:ascii="Times New Roman" w:hAnsi="Times New Roman" w:cs="Times New Roman" w:eastAsiaTheme="minorEastAsia"/>
          <w:sz w:val="24"/>
        </w:rPr>
        <w:t>= 5 mice per group for in vivo xenografts). Statistical significance was determined using the unpaired Student’s t-test. Exact p-values are detailed in Supplementary Table S1. *p &lt; 0.05, **p &lt; 0.01, ***p &lt; 0.001, ****p &lt; 0.0001.</w:t>
      </w:r>
    </w:p>
    <w:p w14:paraId="0C63C92C">
      <w:pPr>
        <w:spacing w:line="360" w:lineRule="auto"/>
        <w:rPr>
          <w:rFonts w:hint="default" w:ascii="Times New Roman" w:hAnsi="Times New Roman" w:cs="Times New Roman" w:eastAsiaTheme="minorEastAsia"/>
        </w:rPr>
      </w:pPr>
      <w:r>
        <w:rPr>
          <w:rFonts w:hint="default" w:ascii="Times New Roman" w:hAnsi="Times New Roman" w:cs="Times New Roman" w:eastAsiaTheme="minorEastAsia"/>
        </w:rPr>
        <w:drawing>
          <wp:inline distT="0" distB="0" distL="0" distR="0">
            <wp:extent cx="4986020" cy="8738235"/>
            <wp:effectExtent l="0" t="0" r="5080" b="5715"/>
            <wp:docPr id="82699432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994321" name="图片 14"/>
                    <pic:cNvPicPr>
                      <a:picLocks noChangeAspect="1"/>
                    </pic:cNvPicPr>
                  </pic:nvPicPr>
                  <pic:blipFill>
                    <a:blip r:embed="rId9"/>
                    <a:srcRect b="1408"/>
                    <a:stretch>
                      <a:fillRect/>
                    </a:stretch>
                  </pic:blipFill>
                  <pic:spPr>
                    <a:xfrm>
                      <a:off x="0" y="0"/>
                      <a:ext cx="4986020" cy="873848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9630A">
      <w:pPr>
        <w:spacing w:line="360" w:lineRule="auto"/>
        <w:rPr>
          <w:rFonts w:hint="default" w:ascii="Times New Roman" w:hAnsi="Times New Roman" w:cs="Times New Roman"/>
          <w:b/>
          <w:bCs/>
          <w:sz w:val="24"/>
        </w:rPr>
      </w:pPr>
      <w:r>
        <w:rPr>
          <w:rFonts w:hint="default" w:ascii="Times New Roman" w:hAnsi="Times New Roman" w:cs="Times New Roman"/>
          <w:b/>
          <w:bCs/>
          <w:sz w:val="24"/>
        </w:rPr>
        <w:t>Supplementary Figure 5</w:t>
      </w:r>
    </w:p>
    <w:p w14:paraId="2DC97078">
      <w:pPr>
        <w:numPr>
          <w:ilvl w:val="0"/>
          <w:numId w:val="6"/>
        </w:num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Dose-response curves illustrating the inhibitory effect of 23 candidate small molecules on MIF tautomerase activity using L-dopachrome methyl ester as a substrate. </w:t>
      </w:r>
    </w:p>
    <w:p w14:paraId="23EC6C8F">
      <w:pPr>
        <w:numPr>
          <w:ilvl w:val="0"/>
          <w:numId w:val="6"/>
        </w:num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 IC50 value detection of candidate compounds inhibiting cell proliferation activity in LOVO cell lines (F0405-1797, F1110-0211, F1736-2062, F2269-0151).</w:t>
      </w:r>
    </w:p>
    <w:p w14:paraId="400D6FEF">
      <w:pPr>
        <w:numPr>
          <w:ilvl w:val="0"/>
          <w:numId w:val="6"/>
        </w:num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Predicted binding modes and molecular interaction (hydrogen bonding and hydrophobic contacts) between candidate compounds and the MIF active site, determined by molecular docking simulations (F2881-0530). </w:t>
      </w:r>
    </w:p>
    <w:p w14:paraId="0266F658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Data are presented as mean ± SD (n = 3 independent experiments for in vitro IC50 assays). IC50 values were calculated using non-linear regression analysis.</w:t>
      </w:r>
    </w:p>
    <w:p w14:paraId="5E8BF053">
      <w:pPr>
        <w:spacing w:line="360" w:lineRule="auto"/>
        <w:rPr>
          <w:rFonts w:hint="default" w:ascii="Times New Roman" w:hAnsi="Times New Roman" w:cs="Times New Roman" w:eastAsiaTheme="minorEastAsia"/>
        </w:rPr>
      </w:pPr>
      <w:r>
        <w:rPr>
          <w:rFonts w:hint="default" w:ascii="Times New Roman" w:hAnsi="Times New Roman" w:cs="Times New Roman" w:eastAsiaTheme="minorEastAsia"/>
        </w:rPr>
        <w:drawing>
          <wp:inline distT="0" distB="0" distL="0" distR="0">
            <wp:extent cx="4986020" cy="6018530"/>
            <wp:effectExtent l="0" t="0" r="5080" b="1270"/>
            <wp:docPr id="204291182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911827" name="图片 15"/>
                    <pic:cNvPicPr>
                      <a:picLocks noChangeAspect="1"/>
                    </pic:cNvPicPr>
                  </pic:nvPicPr>
                  <pic:blipFill>
                    <a:blip r:embed="rId10"/>
                    <a:srcRect b="32089"/>
                    <a:stretch>
                      <a:fillRect/>
                    </a:stretch>
                  </pic:blipFill>
                  <pic:spPr>
                    <a:xfrm>
                      <a:off x="0" y="0"/>
                      <a:ext cx="4986020" cy="601913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F8B73">
      <w:pPr>
        <w:spacing w:line="360" w:lineRule="auto"/>
        <w:rPr>
          <w:rFonts w:hint="default" w:ascii="Times New Roman" w:hAnsi="Times New Roman" w:cs="Times New Roman"/>
          <w:b/>
          <w:bCs/>
          <w:sz w:val="24"/>
        </w:rPr>
      </w:pPr>
      <w:r>
        <w:rPr>
          <w:rFonts w:hint="default" w:ascii="Times New Roman" w:hAnsi="Times New Roman" w:cs="Times New Roman"/>
          <w:b/>
          <w:bCs/>
          <w:sz w:val="24"/>
        </w:rPr>
        <w:t>Supplementary Figure 6</w:t>
      </w:r>
    </w:p>
    <w:p w14:paraId="52E598D0">
      <w:pPr>
        <w:numPr>
          <w:ilvl w:val="0"/>
          <w:numId w:val="7"/>
        </w:numPr>
        <w:spacing w:line="360" w:lineRule="auto"/>
        <w:rPr>
          <w:rFonts w:hint="default" w:ascii="Times New Roman" w:hAnsi="Times New Roman" w:cs="Times New Roman" w:eastAsiaTheme="minorEastAsia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Real-time metabolic profiling (OCR and ECAR) of cells treated with the reference inhibitor ISO-1 or the novel compound F3277-0933, measured by the Seahorse XF96 analyzer. </w:t>
      </w:r>
    </w:p>
    <w:p w14:paraId="42D5A778"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(B) </w:t>
      </w:r>
      <w:bookmarkStart w:id="2" w:name="OLE_LINK39"/>
      <w:r>
        <w:rPr>
          <w:rFonts w:hint="default" w:ascii="Times New Roman" w:hAnsi="Times New Roman" w:cs="Times New Roman"/>
          <w:sz w:val="24"/>
        </w:rPr>
        <w:t xml:space="preserve">Representative microscopic and fluorescence images of patient-derived organoids (PDOs) treated with DMSO (control), 10 μM ISO-1, or 10 μM F3277-0933 for 72 hours. Panels display bright-field morphology alongside live/dead cell discrimination via Calcein-AM (green fluorescence for live cells) and Propidium Iodide (PI, red fluorescence for dead/apoptotic cells) double staining (scale bars = 50 μm). </w:t>
      </w:r>
      <w:bookmarkEnd w:id="2"/>
    </w:p>
    <w:p w14:paraId="4D243BD4">
      <w:pPr>
        <w:spacing w:line="360" w:lineRule="auto"/>
        <w:rPr>
          <w:rFonts w:hint="default" w:ascii="Times New Roman" w:hAnsi="Times New Roman" w:cs="Times New Roman" w:eastAsiaTheme="minorEastAsia"/>
          <w:sz w:val="24"/>
        </w:rPr>
      </w:pPr>
      <w:r>
        <w:rPr>
          <w:rFonts w:hint="default" w:ascii="Times New Roman" w:hAnsi="Times New Roman" w:cs="Times New Roman"/>
          <w:sz w:val="24"/>
        </w:rPr>
        <w:t>The quantitative analysis below set shows the relative intensity of live and dead signals.  Data are presented as mean ± SD (n = 3 independent experiments). Statistical comparisons were performed using one-way ANOVA followed by Tukey’s post-hoc test.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z w:val="24"/>
        </w:rPr>
        <w:t xml:space="preserve">Exact p-values are detailed in Supplementary Table S1. ns = not significant, </w:t>
      </w:r>
      <w:r>
        <w:rPr>
          <w:rFonts w:hint="default" w:ascii="Times New Roman" w:hAnsi="Times New Roman" w:cs="Times New Roman" w:eastAsiaTheme="minorEastAsia"/>
          <w:sz w:val="24"/>
        </w:rPr>
        <w:t>*p &lt; 0.05, **p &lt; 0.01, ***p &lt; 0.001, ****p &lt; 0.0001.</w:t>
      </w:r>
    </w:p>
    <w:p w14:paraId="5BB73B9C">
      <w:pPr>
        <w:spacing w:line="360" w:lineRule="auto"/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39633661"/>
      <w:docPartObj>
        <w:docPartGallery w:val="AutoText"/>
      </w:docPartObj>
    </w:sdtPr>
    <w:sdtContent>
      <w:p w14:paraId="5B3C01F6">
        <w:pPr>
          <w:pStyle w:val="11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82433AE">
    <w:pPr>
      <w:pStyle w:val="11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9B9D51"/>
    <w:multiLevelType w:val="singleLevel"/>
    <w:tmpl w:val="8B9B9D51"/>
    <w:lvl w:ilvl="0" w:tentative="0">
      <w:start w:val="5"/>
      <w:numFmt w:val="upperLetter"/>
      <w:suff w:val="nothing"/>
      <w:lvlText w:val="(%1-"/>
      <w:lvlJc w:val="left"/>
    </w:lvl>
  </w:abstractNum>
  <w:abstractNum w:abstractNumId="1">
    <w:nsid w:val="96A464C7"/>
    <w:multiLevelType w:val="singleLevel"/>
    <w:tmpl w:val="96A464C7"/>
    <w:lvl w:ilvl="0" w:tentative="0">
      <w:start w:val="1"/>
      <w:numFmt w:val="upperLetter"/>
      <w:suff w:val="space"/>
      <w:lvlText w:val="(%1)"/>
      <w:lvlJc w:val="left"/>
    </w:lvl>
  </w:abstractNum>
  <w:abstractNum w:abstractNumId="2">
    <w:nsid w:val="AF79FCC4"/>
    <w:multiLevelType w:val="singleLevel"/>
    <w:tmpl w:val="AF79FCC4"/>
    <w:lvl w:ilvl="0" w:tentative="0">
      <w:start w:val="1"/>
      <w:numFmt w:val="upperLetter"/>
      <w:suff w:val="space"/>
      <w:lvlText w:val="(%1)"/>
      <w:lvlJc w:val="left"/>
    </w:lvl>
  </w:abstractNum>
  <w:abstractNum w:abstractNumId="3">
    <w:nsid w:val="B4388C7F"/>
    <w:multiLevelType w:val="singleLevel"/>
    <w:tmpl w:val="B4388C7F"/>
    <w:lvl w:ilvl="0" w:tentative="0">
      <w:start w:val="1"/>
      <w:numFmt w:val="upperLetter"/>
      <w:suff w:val="space"/>
      <w:lvlText w:val="(%1)"/>
      <w:lvlJc w:val="left"/>
    </w:lvl>
  </w:abstractNum>
  <w:abstractNum w:abstractNumId="4">
    <w:nsid w:val="469404B2"/>
    <w:multiLevelType w:val="singleLevel"/>
    <w:tmpl w:val="469404B2"/>
    <w:lvl w:ilvl="0" w:tentative="0">
      <w:start w:val="8"/>
      <w:numFmt w:val="upperLetter"/>
      <w:suff w:val="space"/>
      <w:lvlText w:val="(%1)"/>
      <w:lvlJc w:val="left"/>
    </w:lvl>
  </w:abstractNum>
  <w:abstractNum w:abstractNumId="5">
    <w:nsid w:val="59B2ADD1"/>
    <w:multiLevelType w:val="singleLevel"/>
    <w:tmpl w:val="59B2ADD1"/>
    <w:lvl w:ilvl="0" w:tentative="0">
      <w:start w:val="1"/>
      <w:numFmt w:val="upperLetter"/>
      <w:suff w:val="space"/>
      <w:lvlText w:val="(%1)"/>
      <w:lvlJc w:val="left"/>
    </w:lvl>
  </w:abstractNum>
  <w:abstractNum w:abstractNumId="6">
    <w:nsid w:val="604EB6B1"/>
    <w:multiLevelType w:val="singleLevel"/>
    <w:tmpl w:val="604EB6B1"/>
    <w:lvl w:ilvl="0" w:tentative="0">
      <w:start w:val="2"/>
      <w:numFmt w:val="upperLetter"/>
      <w:suff w:val="nothing"/>
      <w:lvlText w:val="(%1-"/>
      <w:lvlJc w:val="left"/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757"/>
    <w:rsid w:val="000A2EC2"/>
    <w:rsid w:val="00325CB7"/>
    <w:rsid w:val="00566EC9"/>
    <w:rsid w:val="006B762B"/>
    <w:rsid w:val="00762757"/>
    <w:rsid w:val="008906BE"/>
    <w:rsid w:val="008E2E5A"/>
    <w:rsid w:val="0092780D"/>
    <w:rsid w:val="00A168F7"/>
    <w:rsid w:val="00B175CF"/>
    <w:rsid w:val="00C71409"/>
    <w:rsid w:val="00CE2F4E"/>
    <w:rsid w:val="00CF3405"/>
    <w:rsid w:val="00DF264C"/>
    <w:rsid w:val="00E7234B"/>
    <w:rsid w:val="00E74701"/>
    <w:rsid w:val="00EE1E7F"/>
    <w:rsid w:val="00F76034"/>
    <w:rsid w:val="22943A5C"/>
    <w:rsid w:val="5001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line number"/>
    <w:basedOn w:val="16"/>
    <w:semiHidden/>
    <w:unhideWhenUsed/>
    <w:qFormat/>
    <w:uiPriority w:val="99"/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6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6"/>
    <w:link w:val="12"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6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692</Words>
  <Characters>4005</Characters>
  <Lines>33</Lines>
  <Paragraphs>9</Paragraphs>
  <TotalTime>275</TotalTime>
  <ScaleCrop>false</ScaleCrop>
  <LinksUpToDate>false</LinksUpToDate>
  <CharactersWithSpaces>4690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2026-01-31T01:15:00Z</dcterms:created>
  <dc:creator>津玮 娄</dc:creator>
  <cp:lastModifiedBy>等   ，候鸟</cp:lastModifiedBy>
  <dcterms:modified xsi:type="dcterms:W3CDTF">2026-03-03T10:56:56Z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eyJoZGlkIjoiMzBlZmE1NGY1MjVlNTc4MmQwYjgzZjFlZmZiNGE2OGIiLCJ1c2VySWQiOiI0MTQyNzIzOTkifQ==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A55703B2FAFA4ECFA15B217C785ED22B_12</vt:lpwstr>
  </property>
</Properties>
</file>