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46A50">
      <w:pPr>
        <w:spacing w:line="360" w:lineRule="auto"/>
        <w:rPr>
          <w:rFonts w:hint="default" w:ascii="Times New Roman" w:hAnsi="Times New Roman" w:cs="Times New Roman" w:eastAsiaTheme="minorEastAsia"/>
          <w:b/>
          <w:bCs/>
          <w:sz w:val="22"/>
          <w:szCs w:val="22"/>
          <w:lang w:val="en-US" w:eastAsia="zh-CN"/>
          <w14:ligatures w14:val="standardContextual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  <w14:ligatures w14:val="standardContextual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  <w14:ligatures w14:val="standardContextual"/>
        </w:rPr>
        <w:t>figures</w:t>
      </w:r>
    </w:p>
    <w:p w14:paraId="6E6F4CD6">
      <w:pPr>
        <w:spacing w:line="360" w:lineRule="auto"/>
        <w:jc w:val="both"/>
        <w:rPr>
          <w:rFonts w:hint="eastAsia" w:ascii="Times New Roman" w:hAnsi="Times New Roman" w:cs="Times New Roman" w:eastAsiaTheme="minorEastAsia"/>
          <w:b/>
          <w:bCs/>
          <w:sz w:val="22"/>
          <w:szCs w:val="22"/>
          <w:lang w:eastAsia="zh-CN"/>
          <w14:ligatures w14:val="standardContextual"/>
        </w:rPr>
      </w:pPr>
      <w:r>
        <w:rPr>
          <w:rFonts w:hint="eastAsia" w:ascii="Times New Roman" w:hAnsi="Times New Roman" w:cs="Times New Roman" w:eastAsiaTheme="minorEastAsia"/>
          <w:b/>
          <w:bCs/>
          <w:sz w:val="22"/>
          <w:szCs w:val="22"/>
          <w:lang w:eastAsia="zh-CN"/>
          <w14:ligatures w14:val="standardContextual"/>
        </w:rPr>
        <w:drawing>
          <wp:inline distT="0" distB="0" distL="114300" distR="114300">
            <wp:extent cx="2857500" cy="2697480"/>
            <wp:effectExtent l="0" t="0" r="0" b="762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6B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Figure S1.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 xml:space="preserve"> Univariate Cox regression analysis of 20 </w:t>
      </w:r>
      <w:r>
        <w:rPr>
          <w:rFonts w:hint="eastAsia" w:ascii="Times New Roman" w:hAnsi="Times New Roman" w:cs="Times New Roman"/>
          <w:b w:val="0"/>
          <w:bCs w:val="0"/>
          <w:sz w:val="22"/>
          <w:lang w:val="en-US" w:eastAsia="zh-CN"/>
        </w:rPr>
        <w:t>CRLR</w:t>
      </w:r>
      <w:r>
        <w:rPr>
          <w:rFonts w:hint="eastAsia" w:ascii="Times New Roman" w:hAnsi="Times New Roman" w:cs="Times New Roman"/>
          <w:b w:val="0"/>
          <w:bCs w:val="0"/>
          <w:sz w:val="22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2"/>
          <w:lang w:val="en-US" w:eastAsia="zh-CN"/>
        </w:rPr>
        <w:t>lncRNAs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 xml:space="preserve"> for overall survival in osteosarcoma.</w:t>
      </w:r>
    </w:p>
    <w:p w14:paraId="707BF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</w:pPr>
    </w:p>
    <w:p w14:paraId="0F2EE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drawing>
          <wp:inline distT="0" distB="0" distL="114300" distR="114300">
            <wp:extent cx="5269230" cy="4502785"/>
            <wp:effectExtent l="0" t="0" r="1270" b="5715"/>
            <wp:docPr id="3" name="图片 3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50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DF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Figure S</w:t>
      </w: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lang w:val="en-US" w:eastAsia="zh-CN" w:bidi="ar-SA"/>
        </w:rPr>
        <w:t>2</w:t>
      </w:r>
      <w:r>
        <w:rPr>
          <w:rFonts w:hint="default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.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A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nalysis of immune cell infiltration and therapeutic responsiveness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 xml:space="preserve"> o</w:t>
      </w:r>
      <w:r>
        <w:rPr>
          <w:rFonts w:hint="eastAsia" w:ascii="Times New Roman" w:hAnsi="Times New Roman" w:cs="Times New Roman"/>
          <w:b w:val="0"/>
          <w:bCs w:val="0"/>
          <w:sz w:val="22"/>
          <w:lang w:val="en-US" w:eastAsia="zh-CN"/>
        </w:rPr>
        <w:t>f the CRLR</w:t>
      </w:r>
      <w:r>
        <w:rPr>
          <w:rFonts w:hint="eastAsia" w:ascii="Times New Roman" w:hAnsi="Times New Roman" w:cs="Times New Roman"/>
          <w:b w:val="0"/>
          <w:bCs w:val="0"/>
          <w:sz w:val="22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2"/>
          <w:lang w:val="en-US" w:eastAsia="zh-CN"/>
        </w:rPr>
        <w:t xml:space="preserve">lncRNAs Signature. 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(</w:t>
      </w:r>
      <w:r>
        <w:rPr>
          <w:rFonts w:hint="default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A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) Immune cell infiltration profiles in high- and low-risk groups estimated by the CIBERSORT algorithm. Boxplots depict the relative proportions of 22 immune cell subsets, comparing infiltration levels between the two risk categories. (</w:t>
      </w:r>
      <w:r>
        <w:rPr>
          <w:rFonts w:hint="default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B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) Heatmap depicting the correlations between the immune cell infiltration and the prognostic genes. (</w:t>
      </w:r>
      <w:r>
        <w:rPr>
          <w:rFonts w:hint="default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C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) Violin plots comparing TumorPurity between the high- and low-risk groups. (</w:t>
      </w:r>
      <w:r>
        <w:rPr>
          <w:rFonts w:hint="default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D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) Boxplots comparing immunophenoscore (IPS) subsets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 xml:space="preserve">between the high- and low-risk groups. </w:t>
      </w:r>
    </w:p>
    <w:p w14:paraId="7F5FA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</w:pPr>
    </w:p>
    <w:p w14:paraId="3D2AB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drawing>
          <wp:inline distT="0" distB="0" distL="114300" distR="114300">
            <wp:extent cx="5267960" cy="6422390"/>
            <wp:effectExtent l="0" t="0" r="2540" b="3810"/>
            <wp:docPr id="4" name="图片 4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42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5FD75">
      <w:pPr>
        <w:spacing w:line="360" w:lineRule="auto"/>
        <w:rPr>
          <w:rFonts w:hint="eastAsia" w:ascii="Times New Roman" w:hAnsi="Times New Roman" w:cs="Times New Roman"/>
          <w:sz w:val="22"/>
          <w:lang w:val="en-US" w:eastAsia="zh-CN"/>
        </w:rPr>
      </w:pPr>
      <w:r>
        <w:rPr>
          <w:rFonts w:ascii="Times New Roman" w:hAnsi="Times New Roman" w:cs="Times New Roman"/>
          <w:b/>
          <w:bCs/>
          <w:sz w:val="2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S3</w:t>
      </w:r>
      <w:r>
        <w:rPr>
          <w:rFonts w:ascii="Times New Roman" w:hAnsi="Times New Roman" w:cs="Times New Roman"/>
          <w:b/>
          <w:bCs/>
          <w:sz w:val="22"/>
        </w:rPr>
        <w:t>.</w:t>
      </w: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Drug sensitivity (IC₅₀) analysis of the CRLR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noBreakHyphen/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lncRNA signature in osteosarcoma.</w:t>
      </w:r>
      <w:r>
        <w:rPr>
          <w:rFonts w:hint="eastAsia" w:ascii="Times New Roman" w:hAnsi="Times New Roman" w:cs="Times New Roman"/>
          <w:b w:val="0"/>
          <w:bCs w:val="0"/>
          <w:kern w:val="2"/>
          <w:sz w:val="22"/>
          <w:szCs w:val="22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(</w:t>
      </w:r>
      <w:r>
        <w:rPr>
          <w:rFonts w:ascii="Times New Roman" w:hAnsi="Times New Roman" w:cs="Times New Roman"/>
          <w:b/>
          <w:bCs/>
          <w:sz w:val="22"/>
        </w:rPr>
        <w:t>A</w:t>
      </w: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>-P</w:t>
      </w:r>
      <w:r>
        <w:rPr>
          <w:rFonts w:ascii="Times New Roman" w:hAnsi="Times New Roman" w:cs="Times New Roman"/>
          <w:b/>
          <w:bCs/>
          <w:sz w:val="22"/>
        </w:rPr>
        <w:t>)</w:t>
      </w: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2"/>
          <w:lang w:val="en-US" w:eastAsia="zh-CN"/>
        </w:rPr>
        <w:t>Boxplots comparing the predicted sensitivity to multiple chemotherapeutic agents between the low- and high-risk groups.</w:t>
      </w:r>
    </w:p>
    <w:p w14:paraId="10CE9428">
      <w:pPr>
        <w:spacing w:line="360" w:lineRule="auto"/>
        <w:rPr>
          <w:rFonts w:hint="default" w:ascii="Times New Roman" w:hAnsi="Times New Roman" w:cs="Times New Roman"/>
          <w:sz w:val="2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sz w:val="22"/>
          <w:lang w:val="en-US" w:eastAsia="zh-CN"/>
        </w:rPr>
        <w:drawing>
          <wp:inline distT="0" distB="0" distL="114300" distR="114300">
            <wp:extent cx="5268595" cy="6525895"/>
            <wp:effectExtent l="0" t="0" r="1905" b="1905"/>
            <wp:docPr id="2" name="图片 2" descr="乳酸化单细胞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乳酸化单细胞-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52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96F27B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Figure S4.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 xml:space="preserve"> Single-cell analysis of osteosarcoma in the GSE152048 cohort.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(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A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) Dot plot showing the scaled expression and percentage of cells expressing representative marker genes across 11 major cell types. (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B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) Bar chart showing the proportion of each tumor cell type in OS-S and OS-R samples. (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C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 xml:space="preserve">) Heatmap displaying the top </w:t>
      </w: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kern w:val="2"/>
          <w:sz w:val="22"/>
          <w:szCs w:val="22"/>
          <w:lang w:val="en-US" w:eastAsia="zh-CN" w:bidi="ar-SA"/>
        </w:rPr>
        <w:t>15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 xml:space="preserve"> signature genes characterizing each malignant osteosarcoma subcluster. (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D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) GSEA pathway enrichment heatmap of malignant osteosarcoma subclusters. (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E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) KEGG pathway enrichment analysis comparing OS-R versus OS-S samples. (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F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) Bubble plot visualizing the percentage of positive cells and average expression levels of six CRLR-lncRNAs across malignant osteosarcoma subclusters. (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2"/>
          <w:szCs w:val="22"/>
          <w:lang w:val="en-US" w:eastAsia="zh-CN" w:bidi="ar-SA"/>
        </w:rPr>
        <w:t>G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) Dot plot showing the expression of the six lactylation-related lncRNAs in OS-S and OS-R samples. Intergroup comparisons were performed using the Wilcoxon rank-sum test. *</w:t>
      </w:r>
      <w:r>
        <w:rPr>
          <w:rFonts w:hint="eastAsia" w:ascii="Times New Roman" w:hAnsi="Times New Roman" w:cs="Times New Roman" w:eastAsiaTheme="minorEastAsia"/>
          <w:b w:val="0"/>
          <w:bCs w:val="0"/>
          <w:i/>
          <w:iCs/>
          <w:kern w:val="2"/>
          <w:sz w:val="22"/>
          <w:szCs w:val="22"/>
          <w:lang w:val="en-US" w:eastAsia="zh-CN" w:bidi="ar-SA"/>
        </w:rPr>
        <w:t>P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 xml:space="preserve"> &lt; 0.05, **</w:t>
      </w:r>
      <w:r>
        <w:rPr>
          <w:rFonts w:hint="eastAsia" w:ascii="Times New Roman" w:hAnsi="Times New Roman" w:cs="Times New Roman" w:eastAsiaTheme="minorEastAsia"/>
          <w:b w:val="0"/>
          <w:bCs w:val="0"/>
          <w:i/>
          <w:iCs/>
          <w:kern w:val="2"/>
          <w:sz w:val="22"/>
          <w:szCs w:val="22"/>
          <w:lang w:val="en-US" w:eastAsia="zh-CN" w:bidi="ar-SA"/>
        </w:rPr>
        <w:t>P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 xml:space="preserve"> &lt; 0.01, ***</w:t>
      </w:r>
      <w:r>
        <w:rPr>
          <w:rFonts w:hint="eastAsia" w:ascii="Times New Roman" w:hAnsi="Times New Roman" w:cs="Times New Roman" w:eastAsiaTheme="minorEastAsia"/>
          <w:b w:val="0"/>
          <w:bCs w:val="0"/>
          <w:i/>
          <w:iCs/>
          <w:kern w:val="2"/>
          <w:sz w:val="22"/>
          <w:szCs w:val="22"/>
          <w:lang w:val="en-US" w:eastAsia="zh-CN" w:bidi="ar-SA"/>
        </w:rPr>
        <w:t>P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 xml:space="preserve"> &lt; 0.001, ns, not significant. </w:t>
      </w:r>
      <w:r>
        <w:rPr>
          <w:rFonts w:hint="eastAsia" w:ascii="Times New Roman" w:hAnsi="Times New Roman" w:cs="Times New Roman" w:eastAsiaTheme="minorEastAsia"/>
          <w:b w:val="0"/>
          <w:bCs w:val="0"/>
          <w:i/>
          <w:iCs/>
          <w:kern w:val="2"/>
          <w:sz w:val="22"/>
          <w:szCs w:val="22"/>
          <w:lang w:val="en-US" w:eastAsia="zh-CN" w:bidi="ar-SA"/>
        </w:rPr>
        <w:t>P 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2"/>
          <w:szCs w:val="22"/>
          <w:lang w:val="en-US" w:eastAsia="zh-CN" w:bidi="ar-SA"/>
        </w:rPr>
        <w:t>&lt; 0.05 was considered statistically significant.</w:t>
      </w:r>
    </w:p>
    <w:p w14:paraId="3CB7090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52720" cy="8853805"/>
            <wp:effectExtent l="0" t="0" r="5080" b="10795"/>
            <wp:docPr id="6" name="图片 6" descr="figure 12 new-2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12 new-2-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885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88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>S5</w:t>
      </w:r>
      <w:r>
        <w:rPr>
          <w:rFonts w:hint="default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LINC01976/LDHA/lactylation positive feedback loop is required for cisplatin resistance in osteosarcoma.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 xml:space="preserve"> (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>A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) Western blot analysis of pan-Kla levels in parental and cisplatin-resistant osteosarcoma cells. (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>B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) RT-qPCR analysis of glycolytic genes in U2OS-DDPr cells after LINC01976 knockdown. (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>C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) Relative intracellular lactate levels in sh-NC and sh-LINC01976#2 U2OS-DDPr cells. (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>D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) LDHA expression in normal and tumor tissues from the TARGET database. (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>E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) Kaplan-Meier survival analysis of osteosarcoma patients stratified by LDHA expression. (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>F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) RT-qPCR analysis of LINC01976 and LDHA expression in U2OS cells after LINC01976 overexpression with or without LDHA knockdown. (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>G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) Western blot analysis of relative pan-Kla and LDHA expression in 143B and U2OS cells after LINC01976 overexpression with or without LDHA knockdown. (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>H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) Relative intracellular lactate levels in U2OS cells after the indicated treatments. (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>I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) CCK-8 assays showing cisplatin IC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vertAlign w:val="subscript"/>
          <w:lang w:val="en-US" w:eastAsia="zh-CN" w:bidi="ar"/>
        </w:rPr>
        <w:t>50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 xml:space="preserve"> values in U2OS cells in the indicated groups. (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36"/>
          <w:lang w:val="en-US" w:eastAsia="zh-CN" w:bidi="ar"/>
        </w:rPr>
        <w:t>J and K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) Relative cisplatin IC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vertAlign w:val="subscript"/>
          <w:lang w:val="en-US" w:eastAsia="zh-CN" w:bidi="ar"/>
        </w:rPr>
        <w:t>50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 xml:space="preserve"> values in U2OS and 143B cells in the indicated groups. Data are presented as mean±SD. *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kern w:val="0"/>
          <w:sz w:val="22"/>
          <w:szCs w:val="36"/>
          <w:lang w:val="en-US" w:eastAsia="zh-CN" w:bidi="ar"/>
        </w:rPr>
        <w:t>P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&lt;0.05, **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kern w:val="0"/>
          <w:sz w:val="22"/>
          <w:szCs w:val="36"/>
          <w:lang w:val="en-US" w:eastAsia="zh-CN" w:bidi="ar"/>
        </w:rPr>
        <w:t>P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&lt;0.01, ***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kern w:val="0"/>
          <w:sz w:val="22"/>
          <w:szCs w:val="36"/>
          <w:lang w:val="en-US" w:eastAsia="zh-CN" w:bidi="ar"/>
        </w:rPr>
        <w:t>P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&lt;0.001, ****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kern w:val="0"/>
          <w:sz w:val="22"/>
          <w:szCs w:val="36"/>
          <w:lang w:val="en-US" w:eastAsia="zh-CN" w:bidi="ar"/>
        </w:rPr>
        <w:t>P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szCs w:val="36"/>
          <w:lang w:val="en-US" w:eastAsia="zh-CN" w:bidi="ar"/>
        </w:rPr>
        <w:t>&lt;0.0001.</w:t>
      </w:r>
    </w:p>
    <w:p w14:paraId="0337DF57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14:ligatures w14:val="standardContextual"/>
        </w:rPr>
      </w:pPr>
    </w:p>
    <w:p w14:paraId="471A929C">
      <w:pPr>
        <w:rPr>
          <w:rFonts w:ascii="Times New Roman" w:hAnsi="Times New Roman" w:cs="Times New Roman"/>
          <w:sz w:val="22"/>
          <w:szCs w:val="2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C8C9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C4999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C4999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MwZjYzMzBkMTI2ODNkZmI0ZGMyZjAyOTJiZmM5NmEifQ=="/>
  </w:docVars>
  <w:rsids>
    <w:rsidRoot w:val="6E8761FF"/>
    <w:rsid w:val="003A0BB8"/>
    <w:rsid w:val="004A78EB"/>
    <w:rsid w:val="009E468A"/>
    <w:rsid w:val="00CD4379"/>
    <w:rsid w:val="00E11A41"/>
    <w:rsid w:val="0A833CD2"/>
    <w:rsid w:val="0B005F1C"/>
    <w:rsid w:val="11E44668"/>
    <w:rsid w:val="1E6B4343"/>
    <w:rsid w:val="1F535FF1"/>
    <w:rsid w:val="20402CDE"/>
    <w:rsid w:val="28DC0900"/>
    <w:rsid w:val="2BDC1505"/>
    <w:rsid w:val="303657AF"/>
    <w:rsid w:val="35D94B0C"/>
    <w:rsid w:val="3E26112E"/>
    <w:rsid w:val="48112949"/>
    <w:rsid w:val="51186254"/>
    <w:rsid w:val="65871840"/>
    <w:rsid w:val="68135B63"/>
    <w:rsid w:val="69663EA2"/>
    <w:rsid w:val="6ACC57FB"/>
    <w:rsid w:val="6D9D06E2"/>
    <w:rsid w:val="6E8761FF"/>
    <w:rsid w:val="73B01AE0"/>
    <w:rsid w:val="74996DE4"/>
    <w:rsid w:val="7A32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" w:asciiTheme="minorHAnsi" w:hAnsiTheme="minorHAnsi" w:eastAsiaTheme="minorEastAsia"/>
      <w:kern w:val="2"/>
      <w:sz w:val="21"/>
      <w:szCs w:val="18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rFonts w:cs="仿宋" w:asciiTheme="minorHAnsi" w:hAnsiTheme="minorHAnsi" w:eastAsiaTheme="minorEastAsia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435</Words>
  <Characters>2686</Characters>
  <Lines>22</Lines>
  <Paragraphs>6</Paragraphs>
  <TotalTime>4</TotalTime>
  <ScaleCrop>false</ScaleCrop>
  <LinksUpToDate>false</LinksUpToDate>
  <CharactersWithSpaces>3114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2024-07-18T08:57:00Z</dcterms:created>
  <dc:creator>long</dc:creator>
  <cp:lastModifiedBy>L</cp:lastModifiedBy>
  <dcterms:modified xsi:type="dcterms:W3CDTF">2026-08-05T00:05:44Z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6065B5CBB5F7435FB5837420008847D0_13</vt:lpwstr>
  </property>
</Properties>
</file>