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725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240" cy="4022090"/>
            <wp:effectExtent l="9525" t="9525" r="10795" b="22225"/>
            <wp:docPr id="1" name="图片 1" descr="Graphical abs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raphical abstract"/>
                    <pic:cNvPicPr>
                      <a:picLocks noChangeAspect="1"/>
                    </pic:cNvPicPr>
                  </pic:nvPicPr>
                  <pic:blipFill>
                    <a:blip r:embed="rId4"/>
                    <a:srcRect r="844"/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402209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DDAA9F7">
      <w:pPr>
        <w:rPr>
          <w:rFonts w:hint="eastAsia" w:eastAsiaTheme="minorEastAsia"/>
          <w:lang w:eastAsia="zh-CN"/>
        </w:rPr>
      </w:pPr>
    </w:p>
    <w:p w14:paraId="4D2A37D6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Through comprehensive analysis of postoperative tissue samples from three cohorts of patients with resectable NSCLC, we found that neoadjuvant immunochemotherapy was associated with a higher prevalence of peritumoral inflammation (PI) and greater abundance and maturation of tertiary lymphoid structures (TLS). Spatial transcriptomic analysis further revealed distinct cellular compositions between PI TLS and tumor-bed TLS, including greater plasma-cell abundance in PI TLS.</w:t>
      </w: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000000"/>
    <w:rsid w:val="39E4399A"/>
    <w:rsid w:val="4CD215AD"/>
    <w:rsid w:val="637F66FA"/>
    <w:rsid w:val="6426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492</Characters>
  <Lines>0</Lines>
  <Paragraphs>0</Paragraphs>
  <TotalTime>1</TotalTime>
  <ScaleCrop>false</ScaleCrop>
  <LinksUpToDate>false</LinksUpToDate>
  <CharactersWithSpaces>561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2026-04-26T10:10:00Z</dcterms:created>
  <dc:creator>huawei</dc:creator>
  <cp:lastModifiedBy>XM</cp:lastModifiedBy>
  <dcterms:modified xsi:type="dcterms:W3CDTF">2026-08-09T07:50:54Z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eyJoZGlkIjoiMDQ5YTU4N2E0MGY4ZDliYWNhODlhNWFhZGIzY2Y3OTIiLCJ1c2VySWQiOiIzNDQxMTgwOTUifQ==</vt:lpwstr>
  </property>
  <property fmtid="{D5CDD505-2E9C-101B-9397-08002B2CF9AE}" pid="4" name="ICV">
    <vt:lpwstr>981000E048D74E3A9623FD00CBCEFF21_13</vt:lpwstr>
  </property>
</Properties>
</file>