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C2" w:rsidRPr="00575D92" w:rsidRDefault="00575D92" w:rsidP="00575D92">
      <w:pPr>
        <w:jc w:val="center"/>
        <w:rPr>
          <w:b/>
          <w:sz w:val="28"/>
          <w:szCs w:val="28"/>
        </w:rPr>
      </w:pPr>
      <w:r w:rsidRPr="00575D92">
        <w:rPr>
          <w:b/>
          <w:sz w:val="28"/>
          <w:szCs w:val="28"/>
        </w:rPr>
        <w:t xml:space="preserve">Supplementary </w:t>
      </w:r>
      <w:r w:rsidR="00263B59">
        <w:rPr>
          <w:b/>
          <w:sz w:val="28"/>
          <w:szCs w:val="28"/>
        </w:rPr>
        <w:t>Material</w:t>
      </w:r>
    </w:p>
    <w:p w:rsidR="000B7BC2" w:rsidRPr="00B52F6D" w:rsidRDefault="000B7BC2" w:rsidP="006F3697">
      <w:pPr>
        <w:spacing w:before="240" w:after="0"/>
        <w:jc w:val="center"/>
        <w:rPr>
          <w:b/>
          <w:sz w:val="28"/>
          <w:szCs w:val="28"/>
        </w:rPr>
      </w:pPr>
      <w:r w:rsidRPr="00B52F6D">
        <w:rPr>
          <w:b/>
          <w:sz w:val="28"/>
          <w:szCs w:val="28"/>
        </w:rPr>
        <w:t xml:space="preserve">Effect of high gold salt concentrations on the size and polydispersity of </w:t>
      </w:r>
    </w:p>
    <w:p w:rsidR="000B7BC2" w:rsidRPr="00B52F6D" w:rsidRDefault="000B7BC2" w:rsidP="000B7BC2">
      <w:pPr>
        <w:spacing w:after="0"/>
        <w:jc w:val="center"/>
        <w:rPr>
          <w:b/>
          <w:sz w:val="28"/>
          <w:szCs w:val="28"/>
        </w:rPr>
      </w:pPr>
      <w:r w:rsidRPr="00B52F6D">
        <w:rPr>
          <w:b/>
          <w:sz w:val="28"/>
          <w:szCs w:val="28"/>
        </w:rPr>
        <w:t xml:space="preserve">gold nanoparticles prepared </w:t>
      </w:r>
      <w:r>
        <w:rPr>
          <w:b/>
          <w:sz w:val="28"/>
          <w:szCs w:val="28"/>
        </w:rPr>
        <w:t>by an extended</w:t>
      </w:r>
      <w:r w:rsidRPr="00B52F6D">
        <w:rPr>
          <w:b/>
          <w:sz w:val="28"/>
          <w:szCs w:val="28"/>
        </w:rPr>
        <w:t xml:space="preserve"> Turkevich-Frens method</w:t>
      </w:r>
    </w:p>
    <w:p w:rsidR="000B7BC2" w:rsidRDefault="000B7BC2" w:rsidP="006F3697">
      <w:pPr>
        <w:spacing w:before="120" w:after="480"/>
        <w:jc w:val="center"/>
      </w:pPr>
      <w:r>
        <w:t>Kara Zabetakis, William Ghann, Sanjeev Kumar, Marie-Christine Daniel</w:t>
      </w:r>
      <w:r w:rsidR="00737840">
        <w:t>*</w:t>
      </w:r>
      <w:r>
        <w:t xml:space="preserve"> </w:t>
      </w:r>
    </w:p>
    <w:p w:rsidR="00980A7C" w:rsidRPr="007357EE" w:rsidRDefault="00980A7C" w:rsidP="00575D92">
      <w:pPr>
        <w:ind w:left="630" w:hanging="630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1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Pr="007357EE">
        <w:rPr>
          <w:sz w:val="24"/>
          <w:szCs w:val="24"/>
        </w:rPr>
        <w:t xml:space="preserve"> Figure 1 in the text</w:t>
      </w:r>
      <w:r w:rsidR="000B7BC2">
        <w:rPr>
          <w:sz w:val="24"/>
          <w:szCs w:val="24"/>
        </w:rPr>
        <w:t>.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1340"/>
        <w:gridCol w:w="960"/>
        <w:gridCol w:w="960"/>
        <w:gridCol w:w="1360"/>
        <w:gridCol w:w="960"/>
        <w:gridCol w:w="960"/>
        <w:gridCol w:w="1380"/>
        <w:gridCol w:w="960"/>
      </w:tblGrid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0A7C">
              <w:rPr>
                <w:rFonts w:ascii="Calibri" w:eastAsia="Times New Roman" w:hAnsi="Calibri" w:cs="Calibri"/>
                <w:b/>
                <w:bCs/>
                <w:color w:val="000000"/>
              </w:rPr>
              <w:t>0.3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0A7C">
              <w:rPr>
                <w:rFonts w:ascii="Calibri" w:eastAsia="Times New Roman" w:hAnsi="Calibri" w:cs="Calibri"/>
                <w:b/>
                <w:bCs/>
                <w:color w:val="000000"/>
              </w:rPr>
              <w:t>0.6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80A7C">
              <w:rPr>
                <w:rFonts w:ascii="Calibri" w:eastAsia="Times New Roman" w:hAnsi="Calibri" w:cs="Calibri"/>
                <w:b/>
                <w:bCs/>
                <w:color w:val="000000"/>
              </w:rPr>
              <w:t>0.8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0A7C" w:rsidRPr="00980A7C" w:rsidTr="00980A7C">
        <w:trPr>
          <w:trHeight w:val="1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0.178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0.120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0A7C" w:rsidRPr="00980A7C" w:rsidTr="00980A7C">
        <w:trPr>
          <w:trHeight w:val="29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0A7C">
              <w:rPr>
                <w:rFonts w:ascii="Calibri" w:eastAsia="Times New Roman" w:hAnsi="Calibri" w:cs="Calibri"/>
                <w:color w:val="000000"/>
              </w:rPr>
              <w:t>0.114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A7C" w:rsidRPr="00980A7C" w:rsidRDefault="00980A7C" w:rsidP="00980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B7BC2" w:rsidRDefault="000B7BC2"/>
    <w:p w:rsidR="000B7BC2" w:rsidRDefault="000B7BC2"/>
    <w:p w:rsidR="00980A7C" w:rsidRPr="007357EE" w:rsidRDefault="00980A7C" w:rsidP="00980A7C">
      <w:pPr>
        <w:ind w:left="630" w:hanging="630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2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="000B7BC2" w:rsidRPr="007357EE">
        <w:rPr>
          <w:sz w:val="24"/>
          <w:szCs w:val="24"/>
        </w:rPr>
        <w:t xml:space="preserve"> </w:t>
      </w:r>
      <w:r w:rsidRPr="007357EE">
        <w:rPr>
          <w:sz w:val="24"/>
          <w:szCs w:val="24"/>
        </w:rPr>
        <w:t>Figure 2 in the text</w:t>
      </w:r>
      <w:r w:rsidR="000B7BC2">
        <w:rPr>
          <w:sz w:val="24"/>
          <w:szCs w:val="24"/>
        </w:rPr>
        <w:t>.</w:t>
      </w:r>
    </w:p>
    <w:tbl>
      <w:tblPr>
        <w:tblW w:w="5420" w:type="dxa"/>
        <w:tblInd w:w="93" w:type="dxa"/>
        <w:tblLook w:val="04A0" w:firstRow="1" w:lastRow="0" w:firstColumn="1" w:lastColumn="0" w:noHBand="0" w:noVBand="1"/>
      </w:tblPr>
      <w:tblGrid>
        <w:gridCol w:w="1280"/>
        <w:gridCol w:w="960"/>
        <w:gridCol w:w="960"/>
        <w:gridCol w:w="1260"/>
        <w:gridCol w:w="960"/>
      </w:tblGrid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1D6">
              <w:rPr>
                <w:rFonts w:ascii="Calibri" w:eastAsia="Times New Roman" w:hAnsi="Calibri" w:cs="Calibri"/>
                <w:b/>
                <w:bCs/>
                <w:color w:val="000000"/>
              </w:rPr>
              <w:t>1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1D6">
              <w:rPr>
                <w:rFonts w:ascii="Calibri" w:eastAsia="Times New Roman" w:hAnsi="Calibri" w:cs="Calibri"/>
                <w:b/>
                <w:bCs/>
                <w:color w:val="000000"/>
              </w:rPr>
              <w:t>1.2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1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0.277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0.124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0.386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3697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697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6F3697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6F3697" w:rsidRPr="00D531D6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697" w:rsidRPr="00D531D6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697" w:rsidRPr="00D531D6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697" w:rsidRPr="00D531D6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697" w:rsidRPr="00D531D6" w:rsidRDefault="006F3697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1D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1.5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531D6">
              <w:rPr>
                <w:rFonts w:ascii="Calibri" w:eastAsia="Times New Roman" w:hAnsi="Calibri" w:cs="Calibri"/>
                <w:b/>
                <w:bCs/>
                <w:color w:val="000000"/>
              </w:rPr>
              <w:t>2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1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0.111</w:t>
            </w:r>
          </w:p>
        </w:tc>
      </w:tr>
      <w:tr w:rsidR="00D531D6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D6" w:rsidRPr="00D531D6" w:rsidRDefault="00D531D6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</w:tr>
      <w:tr w:rsidR="000D5832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</w:tr>
      <w:tr w:rsidR="000D5832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</w:tr>
      <w:tr w:rsidR="000D5832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</w:tr>
      <w:tr w:rsidR="000D5832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</w:tr>
      <w:tr w:rsidR="000D5832" w:rsidRPr="00D531D6" w:rsidTr="00D531D6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0.233</w:t>
            </w:r>
          </w:p>
        </w:tc>
      </w:tr>
      <w:tr w:rsidR="000D5832" w:rsidRPr="00D531D6" w:rsidTr="000D5832">
        <w:trPr>
          <w:trHeight w:val="2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531D6">
              <w:rPr>
                <w:rFonts w:ascii="Calibri" w:eastAsia="Times New Roman" w:hAnsi="Calibri" w:cs="Calibri"/>
                <w:color w:val="000000"/>
              </w:rPr>
              <w:t>0.225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5832" w:rsidRPr="00D531D6" w:rsidRDefault="000D5832" w:rsidP="00D53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531D6" w:rsidRDefault="00D531D6"/>
    <w:p w:rsidR="00980A7C" w:rsidRPr="007357EE" w:rsidRDefault="00980A7C" w:rsidP="00980A7C">
      <w:pPr>
        <w:ind w:left="630" w:hanging="630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3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="000B7BC2" w:rsidRPr="007357EE">
        <w:rPr>
          <w:sz w:val="24"/>
          <w:szCs w:val="24"/>
        </w:rPr>
        <w:t xml:space="preserve"> </w:t>
      </w:r>
      <w:r w:rsidRPr="007357EE">
        <w:rPr>
          <w:sz w:val="24"/>
          <w:szCs w:val="24"/>
        </w:rPr>
        <w:t>Figure 3 in the text</w:t>
      </w: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1200"/>
        <w:gridCol w:w="960"/>
        <w:gridCol w:w="880"/>
        <w:gridCol w:w="222"/>
        <w:gridCol w:w="1180"/>
        <w:gridCol w:w="960"/>
        <w:gridCol w:w="860"/>
        <w:gridCol w:w="222"/>
        <w:gridCol w:w="1220"/>
        <w:gridCol w:w="960"/>
        <w:gridCol w:w="800"/>
      </w:tblGrid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5669">
              <w:rPr>
                <w:rFonts w:ascii="Calibri" w:eastAsia="Times New Roman" w:hAnsi="Calibri" w:cs="Calibri"/>
                <w:b/>
                <w:bCs/>
                <w:color w:val="000000"/>
              </w:rPr>
              <w:t>0.3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566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0.6 mM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65669">
              <w:rPr>
                <w:rFonts w:ascii="Calibri" w:eastAsia="Times New Roman" w:hAnsi="Calibri" w:cs="Calibri"/>
                <w:b/>
                <w:bCs/>
                <w:color w:val="000000"/>
              </w:rPr>
              <w:t>0.8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65669" w:rsidRPr="00C65669" w:rsidTr="006F3697">
        <w:trPr>
          <w:trHeight w:val="153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31.70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26.52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21.75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0.178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17.34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18.57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19.38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24.99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0.092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25.19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25.38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0.076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16.90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17.97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25.94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0.088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17.55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18.73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0.120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27.43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17.54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23.05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26.81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18.29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26.33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0.106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65669" w:rsidRPr="00C65669" w:rsidTr="00C65669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26.40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>0.114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566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669" w:rsidRPr="00C65669" w:rsidRDefault="00C65669" w:rsidP="00C65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B7BC2" w:rsidRDefault="000B7BC2" w:rsidP="006F3697">
      <w:pPr>
        <w:spacing w:after="0"/>
        <w:ind w:left="634" w:hanging="634"/>
        <w:rPr>
          <w:b/>
          <w:sz w:val="24"/>
          <w:szCs w:val="24"/>
        </w:rPr>
      </w:pPr>
    </w:p>
    <w:p w:rsidR="00C65669" w:rsidRPr="007357EE" w:rsidRDefault="00C65669" w:rsidP="006F3697">
      <w:pPr>
        <w:spacing w:after="120"/>
        <w:ind w:left="634" w:hanging="634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4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="000B7BC2" w:rsidRPr="007357EE">
        <w:rPr>
          <w:sz w:val="24"/>
          <w:szCs w:val="24"/>
        </w:rPr>
        <w:t xml:space="preserve"> </w:t>
      </w:r>
      <w:r w:rsidRPr="007357EE">
        <w:rPr>
          <w:sz w:val="24"/>
          <w:szCs w:val="24"/>
        </w:rPr>
        <w:t>Figure 4 in the text</w:t>
      </w:r>
      <w:r w:rsidR="000B7BC2">
        <w:rPr>
          <w:sz w:val="24"/>
          <w:szCs w:val="24"/>
        </w:rPr>
        <w:t>.</w:t>
      </w:r>
    </w:p>
    <w:tbl>
      <w:tblPr>
        <w:tblW w:w="8360" w:type="dxa"/>
        <w:tblInd w:w="93" w:type="dxa"/>
        <w:tblLook w:val="04A0" w:firstRow="1" w:lastRow="0" w:firstColumn="1" w:lastColumn="0" w:noHBand="0" w:noVBand="1"/>
      </w:tblPr>
      <w:tblGrid>
        <w:gridCol w:w="1700"/>
        <w:gridCol w:w="1120"/>
        <w:gridCol w:w="960"/>
        <w:gridCol w:w="960"/>
        <w:gridCol w:w="1520"/>
        <w:gridCol w:w="1140"/>
        <w:gridCol w:w="960"/>
      </w:tblGrid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544A">
              <w:rPr>
                <w:rFonts w:ascii="Calibri" w:eastAsia="Times New Roman" w:hAnsi="Calibri" w:cs="Calibri"/>
                <w:b/>
                <w:bCs/>
                <w:color w:val="000000"/>
              </w:rPr>
              <w:t>1 mM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544A">
              <w:rPr>
                <w:rFonts w:ascii="Calibri" w:eastAsia="Times New Roman" w:hAnsi="Calibri" w:cs="Calibri"/>
                <w:b/>
                <w:bCs/>
                <w:color w:val="000000"/>
              </w:rPr>
              <w:t>1.2 mM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544A" w:rsidRPr="00BA544A" w:rsidTr="006F3697">
        <w:trPr>
          <w:trHeight w:val="162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6F3697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20.90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22.07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7.0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16.71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0.124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544A">
              <w:rPr>
                <w:rFonts w:ascii="Calibri" w:eastAsia="Times New Roman" w:hAnsi="Calibri" w:cs="Calibri"/>
                <w:b/>
                <w:bCs/>
                <w:color w:val="000000"/>
              </w:rPr>
              <w:t>1.5 mM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544A">
              <w:rPr>
                <w:rFonts w:ascii="Calibri" w:eastAsia="Times New Roman" w:hAnsi="Calibri" w:cs="Calibri"/>
                <w:b/>
                <w:bCs/>
                <w:color w:val="000000"/>
              </w:rPr>
              <w:t>2 mM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Ct/Au Ratio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4.0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21.76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4.5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17.34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0.111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5.0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16.17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13.86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15.15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7.7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14.93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15.83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8.0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17.39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</w:tr>
      <w:tr w:rsidR="00BA544A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10.0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44A" w:rsidRPr="00BA544A" w:rsidRDefault="00BA544A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544A">
              <w:rPr>
                <w:rFonts w:ascii="Calibri" w:eastAsia="Times New Roman" w:hAnsi="Calibri" w:cs="Calibri"/>
                <w:color w:val="000000"/>
              </w:rPr>
              <w:t>0.233</w:t>
            </w:r>
          </w:p>
        </w:tc>
      </w:tr>
      <w:tr w:rsidR="008233B5" w:rsidRPr="00BA544A" w:rsidTr="00BA544A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33B5" w:rsidRPr="00BA544A" w:rsidRDefault="008233B5" w:rsidP="00BA5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92607" w:rsidRPr="007357EE" w:rsidRDefault="00E92607" w:rsidP="00E92607">
      <w:pPr>
        <w:ind w:left="630" w:hanging="630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5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="000B7BC2" w:rsidRPr="007357EE">
        <w:rPr>
          <w:sz w:val="24"/>
          <w:szCs w:val="24"/>
        </w:rPr>
        <w:t xml:space="preserve"> </w:t>
      </w:r>
      <w:r w:rsidRPr="007357EE">
        <w:rPr>
          <w:sz w:val="24"/>
          <w:szCs w:val="24"/>
        </w:rPr>
        <w:t>Figure 5 in the text</w:t>
      </w:r>
      <w:r w:rsidR="000B7BC2">
        <w:rPr>
          <w:sz w:val="24"/>
          <w:szCs w:val="24"/>
        </w:rPr>
        <w:t>.</w:t>
      </w: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1580"/>
        <w:gridCol w:w="1340"/>
        <w:gridCol w:w="960"/>
        <w:gridCol w:w="960"/>
        <w:gridCol w:w="1660"/>
        <w:gridCol w:w="1280"/>
        <w:gridCol w:w="960"/>
      </w:tblGrid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4C3F">
              <w:rPr>
                <w:rFonts w:ascii="Calibri" w:eastAsia="Times New Roman" w:hAnsi="Calibri" w:cs="Calibri"/>
                <w:b/>
                <w:bCs/>
                <w:color w:val="000000"/>
              </w:rPr>
              <w:t>Ct/Au ratio 2:1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4C3F">
              <w:rPr>
                <w:rFonts w:ascii="Calibri" w:eastAsia="Times New Roman" w:hAnsi="Calibri" w:cs="Calibri"/>
                <w:b/>
                <w:bCs/>
                <w:color w:val="000000"/>
              </w:rPr>
              <w:t>Ct/Au ratio 3:1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[Au</w:t>
            </w:r>
            <w:r w:rsidRPr="000B7BC2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AF4C3F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[Au</w:t>
            </w:r>
            <w:r w:rsidRPr="000B7BC2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AF4C3F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31.70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0.178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26.52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26.41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</w:tr>
      <w:tr w:rsidR="00AF4C3F" w:rsidRPr="00AF4C3F" w:rsidTr="008233B5">
        <w:trPr>
          <w:trHeight w:val="63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8233B5">
        <w:trPr>
          <w:trHeight w:val="10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4C3F">
              <w:rPr>
                <w:rFonts w:ascii="Calibri" w:eastAsia="Times New Roman" w:hAnsi="Calibri" w:cs="Calibri"/>
                <w:b/>
                <w:bCs/>
                <w:color w:val="000000"/>
              </w:rPr>
              <w:t>Ct/Au ratio 4:1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4C3F">
              <w:rPr>
                <w:rFonts w:ascii="Calibri" w:eastAsia="Times New Roman" w:hAnsi="Calibri" w:cs="Calibri"/>
                <w:b/>
                <w:bCs/>
                <w:color w:val="000000"/>
              </w:rPr>
              <w:t>Ct/Au ratio 5:1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8233B5">
        <w:trPr>
          <w:trHeight w:val="108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[Au</w:t>
            </w:r>
            <w:r w:rsidRPr="000B7BC2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AF4C3F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[Au</w:t>
            </w:r>
            <w:r w:rsidRPr="000B7BC2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AF4C3F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17.34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14.83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15.57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14.15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16.17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18.57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</w:tr>
      <w:tr w:rsidR="00AF4C3F" w:rsidRPr="00AF4C3F" w:rsidTr="00AF4C3F">
        <w:trPr>
          <w:trHeight w:val="29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21.76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4C3F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C3F" w:rsidRPr="00AF4C3F" w:rsidRDefault="00AF4C3F" w:rsidP="00AF4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B7BC2" w:rsidRDefault="000B7BC2" w:rsidP="000B7BC2">
      <w:pPr>
        <w:spacing w:after="120"/>
        <w:ind w:left="634" w:hanging="634"/>
        <w:rPr>
          <w:b/>
          <w:sz w:val="24"/>
          <w:szCs w:val="24"/>
        </w:rPr>
      </w:pPr>
    </w:p>
    <w:p w:rsidR="007357EE" w:rsidRPr="007357EE" w:rsidRDefault="007357EE" w:rsidP="007357EE">
      <w:pPr>
        <w:ind w:left="630" w:hanging="630"/>
        <w:rPr>
          <w:sz w:val="24"/>
          <w:szCs w:val="24"/>
        </w:rPr>
      </w:pPr>
      <w:r w:rsidRPr="007357EE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6</w:t>
      </w:r>
      <w:r w:rsidRPr="007357EE">
        <w:rPr>
          <w:b/>
          <w:sz w:val="24"/>
          <w:szCs w:val="24"/>
        </w:rPr>
        <w:t>.</w:t>
      </w:r>
      <w:r w:rsidRPr="007357EE">
        <w:rPr>
          <w:sz w:val="24"/>
          <w:szCs w:val="24"/>
        </w:rPr>
        <w:t xml:space="preserve"> </w:t>
      </w:r>
      <w:r w:rsidR="000B7BC2">
        <w:rPr>
          <w:sz w:val="24"/>
          <w:szCs w:val="24"/>
        </w:rPr>
        <w:t>Data used in</w:t>
      </w:r>
      <w:r w:rsidRPr="007357EE">
        <w:rPr>
          <w:sz w:val="24"/>
          <w:szCs w:val="24"/>
        </w:rPr>
        <w:t xml:space="preserve"> Figure </w:t>
      </w:r>
      <w:r w:rsidR="008233B5">
        <w:rPr>
          <w:sz w:val="24"/>
          <w:szCs w:val="24"/>
        </w:rPr>
        <w:t>6</w:t>
      </w:r>
      <w:r w:rsidRPr="007357EE">
        <w:rPr>
          <w:sz w:val="24"/>
          <w:szCs w:val="24"/>
        </w:rPr>
        <w:t xml:space="preserve"> in the text</w:t>
      </w:r>
      <w:r w:rsidR="000B7BC2">
        <w:rPr>
          <w:sz w:val="24"/>
          <w:szCs w:val="24"/>
        </w:rPr>
        <w:t>.</w:t>
      </w: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1700"/>
        <w:gridCol w:w="1340"/>
        <w:gridCol w:w="960"/>
        <w:gridCol w:w="960"/>
        <w:gridCol w:w="1760"/>
        <w:gridCol w:w="1280"/>
        <w:gridCol w:w="960"/>
      </w:tblGrid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57EE">
              <w:rPr>
                <w:rFonts w:ascii="Calibri" w:eastAsia="Times New Roman" w:hAnsi="Calibri" w:cs="Calibri"/>
                <w:b/>
                <w:bCs/>
                <w:color w:val="000000"/>
              </w:rPr>
              <w:t>Ct/Au ratio 6:1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57EE">
              <w:rPr>
                <w:rFonts w:ascii="Calibri" w:eastAsia="Times New Roman" w:hAnsi="Calibri" w:cs="Calibri"/>
                <w:b/>
                <w:bCs/>
                <w:color w:val="000000"/>
              </w:rPr>
              <w:t>Ct/Au ratio 8:1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[Au</w:t>
            </w:r>
            <w:r w:rsidRPr="007658FB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7357EE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[Au</w:t>
            </w:r>
            <w:r w:rsidRPr="007658FB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7357EE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19.38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15.43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24.99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0.092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14.45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14.38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13.89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15.17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13.71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17.39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15.15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57EE">
              <w:rPr>
                <w:rFonts w:ascii="Calibri" w:eastAsia="Times New Roman" w:hAnsi="Calibri" w:cs="Calibri"/>
                <w:b/>
                <w:bCs/>
                <w:color w:val="000000"/>
              </w:rPr>
              <w:t>Ct/Au ratio 10:1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57EE">
              <w:rPr>
                <w:rFonts w:ascii="Calibri" w:eastAsia="Times New Roman" w:hAnsi="Calibri" w:cs="Calibri"/>
                <w:b/>
                <w:bCs/>
                <w:color w:val="000000"/>
              </w:rPr>
              <w:t>Ct/Au ratio 12:1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[Au</w:t>
            </w:r>
            <w:r w:rsidRPr="007658FB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7357EE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[Au</w:t>
            </w:r>
            <w:r w:rsidRPr="007658FB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7357EE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25.38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0.076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16.90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17.55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16.71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0.124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17.91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19.84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0.225</w:t>
            </w: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8233B5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357EE">
              <w:rPr>
                <w:rFonts w:ascii="Calibri" w:eastAsia="Times New Roman" w:hAnsi="Calibri" w:cs="Calibri"/>
                <w:b/>
                <w:bCs/>
                <w:color w:val="000000"/>
              </w:rPr>
              <w:t>Ct/Au ratio 14:1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[Au</w:t>
            </w:r>
            <w:r w:rsidRPr="007658FB">
              <w:rPr>
                <w:rFonts w:ascii="Calibri" w:eastAsia="Times New Roman" w:hAnsi="Calibri" w:cs="Calibri"/>
                <w:color w:val="000000"/>
                <w:vertAlign w:val="superscript"/>
              </w:rPr>
              <w:t>3+</w:t>
            </w:r>
            <w:r w:rsidRPr="007357EE">
              <w:rPr>
                <w:rFonts w:ascii="Calibri" w:eastAsia="Times New Roman" w:hAnsi="Calibri" w:cs="Calibri"/>
                <w:color w:val="000000"/>
              </w:rPr>
              <w:t>] (mM)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size (nm)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PDI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27.43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23.93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0.386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357EE" w:rsidRPr="007357EE" w:rsidTr="007357EE">
        <w:trPr>
          <w:trHeight w:val="29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357EE">
              <w:rPr>
                <w:rFonts w:ascii="Calibri" w:eastAsia="Times New Roman" w:hAnsi="Calibri" w:cs="Calibri"/>
                <w:color w:val="000000"/>
              </w:rPr>
              <w:t>19.64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357EE">
              <w:rPr>
                <w:rFonts w:ascii="Arial" w:eastAsia="Times New Roman" w:hAnsi="Arial" w:cs="Arial"/>
                <w:sz w:val="20"/>
                <w:szCs w:val="20"/>
              </w:rPr>
              <w:t>0.268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57EE" w:rsidRPr="007357EE" w:rsidRDefault="007357EE" w:rsidP="007357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531D6" w:rsidRDefault="00D531D6" w:rsidP="000B7BC2">
      <w:pPr>
        <w:spacing w:after="360"/>
      </w:pPr>
    </w:p>
    <w:p w:rsidR="008233B5" w:rsidRDefault="008233B5">
      <w:pPr>
        <w:rPr>
          <w:sz w:val="24"/>
          <w:szCs w:val="24"/>
        </w:rPr>
      </w:pPr>
      <w:r w:rsidRPr="008233B5">
        <w:rPr>
          <w:b/>
          <w:sz w:val="24"/>
          <w:szCs w:val="24"/>
        </w:rPr>
        <w:t>Table S</w:t>
      </w:r>
      <w:r w:rsidR="000B7BC2">
        <w:rPr>
          <w:b/>
          <w:sz w:val="24"/>
          <w:szCs w:val="24"/>
        </w:rPr>
        <w:t>7</w:t>
      </w:r>
      <w:r w:rsidRPr="008233B5">
        <w:rPr>
          <w:b/>
          <w:sz w:val="24"/>
          <w:szCs w:val="24"/>
        </w:rPr>
        <w:t>.</w:t>
      </w:r>
      <w:r w:rsidRPr="008233B5">
        <w:rPr>
          <w:sz w:val="24"/>
          <w:szCs w:val="24"/>
        </w:rPr>
        <w:t xml:space="preserve"> </w:t>
      </w:r>
      <w:r w:rsidR="00F00F5C" w:rsidRPr="00F00F5C">
        <w:rPr>
          <w:sz w:val="24"/>
          <w:szCs w:val="24"/>
        </w:rPr>
        <w:t xml:space="preserve">Predicted GNPs diameters (nm) using the original </w:t>
      </w:r>
      <w:r w:rsidR="00545E07" w:rsidRPr="00F00F5C">
        <w:rPr>
          <w:sz w:val="24"/>
          <w:szCs w:val="24"/>
        </w:rPr>
        <w:t>model</w:t>
      </w:r>
      <w:r w:rsidR="00545E07">
        <w:rPr>
          <w:sz w:val="24"/>
          <w:szCs w:val="24"/>
        </w:rPr>
        <w:t xml:space="preserve"> of</w:t>
      </w:r>
      <w:r w:rsidR="00545E07" w:rsidRPr="00F00F5C">
        <w:rPr>
          <w:sz w:val="24"/>
          <w:szCs w:val="24"/>
        </w:rPr>
        <w:t xml:space="preserve"> Kumar</w:t>
      </w:r>
      <w:r w:rsidR="00545E07">
        <w:rPr>
          <w:sz w:val="24"/>
          <w:szCs w:val="24"/>
        </w:rPr>
        <w:t xml:space="preserve"> et al.</w:t>
      </w:r>
      <w:r w:rsidR="00545E07">
        <w:rPr>
          <w:sz w:val="24"/>
          <w:szCs w:val="24"/>
        </w:rPr>
        <w:fldChar w:fldCharType="begin"/>
      </w:r>
      <w:r w:rsidR="00516B46">
        <w:rPr>
          <w:sz w:val="24"/>
          <w:szCs w:val="24"/>
        </w:rPr>
        <w:instrText xml:space="preserve"> ADDIN EN.CITE &lt;EndNote&gt;&lt;Cite&gt;&lt;Author&gt;Kumar&lt;/Author&gt;&lt;Year&gt;2007&lt;/Year&gt;&lt;RecNum&gt;18&lt;/RecNum&gt;&lt;record&gt;&lt;rec-number&gt;18&lt;/rec-number&gt;&lt;foreign-keys&gt;&lt;key app="EN" db-id="0tdsffsaqd9r5cerd5u5xzfns29v9vwr0sfe"&gt;18&lt;/key&gt;&lt;/foreign-keys&gt;&lt;ref-type name="Journal Article"&gt;17&lt;/ref-type&gt;&lt;contributors&gt;&lt;authors&gt;&lt;author&gt;Kumar, Sanjeev&lt;/author&gt;&lt;author&gt;Gandhi, K. S.&lt;/author&gt;&lt;author&gt;Kumar, R.&lt;/author&gt;&lt;/authors&gt;&lt;/contributors&gt;&lt;titles&gt;&lt;title&gt;Modeling of formation of gold nanoparticles by citrate method&lt;/title&gt;&lt;secondary-title&gt;Ind. Eng. Chem. Res.&lt;/secondary-title&gt;&lt;/titles&gt;&lt;periodical&gt;&lt;full-title&gt;Ind. Eng. Chem. Res.&lt;/full-title&gt;&lt;/periodical&gt;&lt;pages&gt;3128-3136&lt;/pages&gt;&lt;volume&gt;46&lt;/volume&gt;&lt;number&gt;10&lt;/number&gt;&lt;keywords&gt;&lt;keyword&gt;gold nanoparticle formation particle size citrate redn modeling&lt;/keyword&gt;&lt;/keywords&gt;&lt;dates&gt;&lt;year&gt;2007&lt;/year&gt;&lt;/dates&gt;&lt;publisher&gt;American Chemical Society&lt;/publisher&gt;&lt;isbn&gt;0888-5885&lt;/isbn&gt;&lt;urls&gt;&lt;/urls&gt;&lt;electronic-resource-num&gt;10.1021/ie060672j&lt;/electronic-resource-num&gt;&lt;/record&gt;&lt;/Cite&gt;&lt;/EndNote&gt;</w:instrText>
      </w:r>
      <w:r w:rsidR="00545E07">
        <w:rPr>
          <w:sz w:val="24"/>
          <w:szCs w:val="24"/>
        </w:rPr>
        <w:fldChar w:fldCharType="separate"/>
      </w:r>
      <w:r w:rsidR="00545E07" w:rsidRPr="00545E07">
        <w:rPr>
          <w:sz w:val="24"/>
          <w:szCs w:val="24"/>
          <w:vertAlign w:val="superscript"/>
        </w:rPr>
        <w:t>1</w:t>
      </w:r>
      <w:r w:rsidR="00545E07">
        <w:rPr>
          <w:sz w:val="24"/>
          <w:szCs w:val="24"/>
        </w:rPr>
        <w:fldChar w:fldCharType="end"/>
      </w:r>
    </w:p>
    <w:p w:rsidR="00F00F5C" w:rsidRDefault="00F00F5C" w:rsidP="00F00F5C">
      <w:pPr>
        <w:jc w:val="center"/>
        <w:rPr>
          <w:sz w:val="24"/>
          <w:szCs w:val="24"/>
        </w:rPr>
      </w:pPr>
      <w:r w:rsidRPr="00F00F5C">
        <w:rPr>
          <w:noProof/>
        </w:rPr>
        <w:drawing>
          <wp:inline distT="0" distB="0" distL="0" distR="0" wp14:anchorId="22004CFC" wp14:editId="00961E91">
            <wp:extent cx="4641380" cy="2011680"/>
            <wp:effectExtent l="0" t="0" r="698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3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C2" w:rsidRDefault="000B7BC2" w:rsidP="00F00F5C">
      <w:pPr>
        <w:ind w:left="990" w:hanging="990"/>
        <w:rPr>
          <w:b/>
          <w:bCs/>
          <w:sz w:val="24"/>
          <w:szCs w:val="24"/>
        </w:rPr>
      </w:pPr>
    </w:p>
    <w:p w:rsidR="000B7BC2" w:rsidRDefault="000B7BC2" w:rsidP="00F00F5C">
      <w:pPr>
        <w:ind w:left="990" w:hanging="990"/>
        <w:rPr>
          <w:b/>
          <w:bCs/>
          <w:sz w:val="24"/>
          <w:szCs w:val="24"/>
        </w:rPr>
      </w:pPr>
    </w:p>
    <w:p w:rsidR="000B7BC2" w:rsidRDefault="000B7BC2" w:rsidP="00F00F5C">
      <w:pPr>
        <w:ind w:left="990" w:hanging="990"/>
        <w:rPr>
          <w:b/>
          <w:bCs/>
          <w:sz w:val="24"/>
          <w:szCs w:val="24"/>
        </w:rPr>
      </w:pPr>
    </w:p>
    <w:p w:rsidR="000B7BC2" w:rsidRDefault="000B7BC2" w:rsidP="00F00F5C">
      <w:pPr>
        <w:ind w:left="990" w:hanging="990"/>
        <w:rPr>
          <w:b/>
          <w:bCs/>
          <w:sz w:val="24"/>
          <w:szCs w:val="24"/>
        </w:rPr>
      </w:pPr>
    </w:p>
    <w:p w:rsidR="000B7BC2" w:rsidRDefault="000B7BC2" w:rsidP="00F00F5C">
      <w:pPr>
        <w:ind w:left="990" w:hanging="990"/>
        <w:rPr>
          <w:b/>
          <w:bCs/>
          <w:sz w:val="24"/>
          <w:szCs w:val="24"/>
        </w:rPr>
      </w:pPr>
    </w:p>
    <w:p w:rsidR="00F00F5C" w:rsidRDefault="00F00F5C" w:rsidP="00F00F5C">
      <w:pPr>
        <w:ind w:left="990" w:hanging="990"/>
        <w:rPr>
          <w:sz w:val="24"/>
          <w:szCs w:val="24"/>
        </w:rPr>
      </w:pPr>
      <w:r w:rsidRPr="00F00F5C">
        <w:rPr>
          <w:b/>
          <w:bCs/>
          <w:sz w:val="24"/>
          <w:szCs w:val="24"/>
        </w:rPr>
        <w:t>Table S</w:t>
      </w:r>
      <w:r w:rsidR="000B7BC2">
        <w:rPr>
          <w:b/>
          <w:bCs/>
          <w:sz w:val="24"/>
          <w:szCs w:val="24"/>
        </w:rPr>
        <w:t>8</w:t>
      </w:r>
      <w:r w:rsidRPr="00F00F5C">
        <w:rPr>
          <w:b/>
          <w:bCs/>
          <w:sz w:val="24"/>
          <w:szCs w:val="24"/>
        </w:rPr>
        <w:t xml:space="preserve">. </w:t>
      </w:r>
      <w:r w:rsidRPr="00F00F5C">
        <w:rPr>
          <w:sz w:val="24"/>
          <w:szCs w:val="24"/>
        </w:rPr>
        <w:t xml:space="preserve">Predicted GNPs diameters (nm) using the </w:t>
      </w:r>
      <w:r w:rsidR="007658FB" w:rsidRPr="00F00F5C">
        <w:rPr>
          <w:sz w:val="24"/>
          <w:szCs w:val="24"/>
        </w:rPr>
        <w:t>model</w:t>
      </w:r>
      <w:r w:rsidR="007658FB">
        <w:rPr>
          <w:sz w:val="24"/>
          <w:szCs w:val="24"/>
        </w:rPr>
        <w:t xml:space="preserve"> of</w:t>
      </w:r>
      <w:r w:rsidR="007658FB" w:rsidRPr="00F00F5C">
        <w:rPr>
          <w:sz w:val="24"/>
          <w:szCs w:val="24"/>
        </w:rPr>
        <w:t xml:space="preserve"> Kumar</w:t>
      </w:r>
      <w:r w:rsidR="007658FB">
        <w:rPr>
          <w:sz w:val="24"/>
          <w:szCs w:val="24"/>
        </w:rPr>
        <w:t xml:space="preserve"> et al.</w:t>
      </w:r>
      <w:r w:rsidR="00545E07">
        <w:rPr>
          <w:sz w:val="24"/>
          <w:szCs w:val="24"/>
        </w:rPr>
        <w:fldChar w:fldCharType="begin"/>
      </w:r>
      <w:r w:rsidR="00516B46">
        <w:rPr>
          <w:sz w:val="24"/>
          <w:szCs w:val="24"/>
        </w:rPr>
        <w:instrText xml:space="preserve"> ADDIN EN.CITE &lt;EndNote&gt;&lt;Cite&gt;&lt;Author&gt;Kumar&lt;/Author&gt;&lt;Year&gt;2007&lt;/Year&gt;&lt;RecNum&gt;18&lt;/RecNum&gt;&lt;record&gt;&lt;rec-number&gt;18&lt;/rec-number&gt;&lt;foreign-keys&gt;&lt;key app="EN" db-id="0tdsffsaqd9r5cerd5u5xzfns29v9vwr0sfe"&gt;18&lt;/key&gt;&lt;/foreign-keys&gt;&lt;ref-type name="Journal Article"&gt;17&lt;/ref-type&gt;&lt;contributors&gt;&lt;authors&gt;&lt;author&gt;Kumar, Sanjeev&lt;/author&gt;&lt;author&gt;Gandhi, K. S.&lt;/author&gt;&lt;author&gt;Kumar, R.&lt;/author&gt;&lt;/authors&gt;&lt;/contributors&gt;&lt;titles&gt;&lt;title&gt;Modeling of formation of gold nanoparticles by citrate method&lt;/title&gt;&lt;secondary-title&gt;Ind. Eng. Chem. Res.&lt;/secondary-title&gt;&lt;/titles&gt;&lt;periodical&gt;&lt;full-title&gt;Ind. Eng. Chem. Res.&lt;/full-title&gt;&lt;/periodical&gt;&lt;pages&gt;3128-3136&lt;/pages&gt;&lt;volume&gt;46&lt;/volume&gt;&lt;number&gt;10&lt;/number&gt;&lt;keywords&gt;&lt;keyword&gt;gold nanoparticle formation particle size citrate redn modeling&lt;/keyword&gt;&lt;/keywords&gt;&lt;dates&gt;&lt;year&gt;2007&lt;/year&gt;&lt;/dates&gt;&lt;publisher&gt;American Chemical Society&lt;/publisher&gt;&lt;isbn&gt;0888-5885&lt;/isbn&gt;&lt;urls&gt;&lt;/urls&gt;&lt;electronic-resource-num&gt;10.1021/ie060672j&lt;/electronic-resource-num&gt;&lt;/record&gt;&lt;/Cite&gt;&lt;/EndNote&gt;</w:instrText>
      </w:r>
      <w:r w:rsidR="00545E07">
        <w:rPr>
          <w:sz w:val="24"/>
          <w:szCs w:val="24"/>
        </w:rPr>
        <w:fldChar w:fldCharType="separate"/>
      </w:r>
      <w:r w:rsidR="00545E07" w:rsidRPr="00545E07">
        <w:rPr>
          <w:sz w:val="24"/>
          <w:szCs w:val="24"/>
          <w:vertAlign w:val="superscript"/>
        </w:rPr>
        <w:t>1</w:t>
      </w:r>
      <w:r w:rsidR="00545E07">
        <w:rPr>
          <w:sz w:val="24"/>
          <w:szCs w:val="24"/>
        </w:rPr>
        <w:fldChar w:fldCharType="end"/>
      </w:r>
      <w:r w:rsidR="00545E07">
        <w:rPr>
          <w:sz w:val="24"/>
          <w:szCs w:val="24"/>
        </w:rPr>
        <w:t xml:space="preserve"> with a</w:t>
      </w:r>
      <w:r w:rsidRPr="00F00F5C">
        <w:rPr>
          <w:sz w:val="24"/>
          <w:szCs w:val="24"/>
        </w:rPr>
        <w:t xml:space="preserve"> surface potential </w:t>
      </w:r>
      <w:r w:rsidR="00545E07" w:rsidRPr="00F00F5C">
        <w:rPr>
          <w:sz w:val="24"/>
          <w:szCs w:val="24"/>
        </w:rPr>
        <w:t xml:space="preserve">increase </w:t>
      </w:r>
      <w:r w:rsidR="003353F2">
        <w:rPr>
          <w:sz w:val="24"/>
          <w:szCs w:val="24"/>
        </w:rPr>
        <w:t>of</w:t>
      </w:r>
      <w:r w:rsidRPr="00F00F5C">
        <w:rPr>
          <w:sz w:val="24"/>
          <w:szCs w:val="24"/>
        </w:rPr>
        <w:t xml:space="preserve"> 11%</w:t>
      </w:r>
      <w:r>
        <w:rPr>
          <w:sz w:val="24"/>
          <w:szCs w:val="24"/>
        </w:rPr>
        <w:t>.</w:t>
      </w:r>
    </w:p>
    <w:p w:rsidR="00F00F5C" w:rsidRPr="00F00F5C" w:rsidRDefault="00F00F5C" w:rsidP="00F00F5C">
      <w:pPr>
        <w:ind w:left="990" w:hanging="990"/>
        <w:rPr>
          <w:sz w:val="24"/>
          <w:szCs w:val="24"/>
        </w:rPr>
      </w:pPr>
      <w:r w:rsidRPr="00F00F5C">
        <w:rPr>
          <w:noProof/>
        </w:rPr>
        <w:drawing>
          <wp:inline distT="0" distB="0" distL="0" distR="0" wp14:anchorId="64E5113F" wp14:editId="42D38EE1">
            <wp:extent cx="5943600" cy="179093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C2" w:rsidRDefault="000B7BC2" w:rsidP="000B7BC2">
      <w:pPr>
        <w:ind w:left="990" w:hanging="990"/>
        <w:jc w:val="both"/>
        <w:rPr>
          <w:b/>
          <w:sz w:val="24"/>
          <w:szCs w:val="24"/>
        </w:rPr>
      </w:pPr>
    </w:p>
    <w:p w:rsidR="000B7BC2" w:rsidRPr="00F5448A" w:rsidRDefault="000B7BC2" w:rsidP="000B7BC2">
      <w:pPr>
        <w:ind w:left="990" w:hanging="99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Table S9. </w:t>
      </w:r>
      <w:r w:rsidRPr="00F5448A">
        <w:rPr>
          <w:sz w:val="24"/>
          <w:szCs w:val="24"/>
        </w:rPr>
        <w:t>Mean Sizes of GNP solutions from starting [Au</w:t>
      </w:r>
      <w:r w:rsidRPr="00F5448A">
        <w:rPr>
          <w:sz w:val="24"/>
          <w:szCs w:val="24"/>
          <w:vertAlign w:val="superscript"/>
        </w:rPr>
        <w:t>3+</w:t>
      </w:r>
      <w:r w:rsidRPr="00F5448A">
        <w:rPr>
          <w:sz w:val="24"/>
          <w:szCs w:val="24"/>
        </w:rPr>
        <w:t>] of 0.3 mM</w:t>
      </w:r>
      <w:r>
        <w:rPr>
          <w:sz w:val="24"/>
          <w:szCs w:val="24"/>
        </w:rPr>
        <w:t xml:space="preserve"> to</w:t>
      </w:r>
      <w:r w:rsidRPr="00F5448A">
        <w:rPr>
          <w:sz w:val="24"/>
          <w:szCs w:val="24"/>
        </w:rPr>
        <w:t xml:space="preserve"> 2 m</w:t>
      </w:r>
      <w:r>
        <w:rPr>
          <w:sz w:val="24"/>
          <w:szCs w:val="24"/>
        </w:rPr>
        <w:t>M and using Ct/Au ratios of 4:1</w:t>
      </w:r>
      <w:r w:rsidRPr="00F5448A">
        <w:rPr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 w:rsidRPr="00F5448A">
        <w:rPr>
          <w:sz w:val="24"/>
          <w:szCs w:val="24"/>
        </w:rPr>
        <w:t xml:space="preserve"> 10:1.</w:t>
      </w:r>
      <w:r>
        <w:rPr>
          <w:sz w:val="24"/>
          <w:szCs w:val="24"/>
        </w:rPr>
        <w:t xml:space="preserve"> </w:t>
      </w:r>
      <w:r w:rsidRPr="00F5448A">
        <w:rPr>
          <w:sz w:val="24"/>
          <w:szCs w:val="24"/>
        </w:rPr>
        <w:t xml:space="preserve">Corresponding TEM images are displayed in Figure </w:t>
      </w:r>
      <w:r>
        <w:rPr>
          <w:sz w:val="24"/>
          <w:szCs w:val="24"/>
        </w:rPr>
        <w:t>9</w:t>
      </w:r>
      <w:r w:rsidRPr="00F5448A">
        <w:rPr>
          <w:sz w:val="24"/>
          <w:szCs w:val="24"/>
        </w:rPr>
        <w:t>. Each mean size was calculated based on measurements of more</w:t>
      </w:r>
      <w:r>
        <w:rPr>
          <w:sz w:val="24"/>
          <w:szCs w:val="24"/>
        </w:rPr>
        <w:t xml:space="preserve"> 200 gold nanoparticles from no</w:t>
      </w:r>
      <w:r w:rsidRPr="00F5448A">
        <w:rPr>
          <w:sz w:val="24"/>
          <w:szCs w:val="24"/>
        </w:rPr>
        <w:t xml:space="preserve"> less than five TEM images.</w:t>
      </w:r>
    </w:p>
    <w:p w:rsidR="000B7BC2" w:rsidRDefault="000B7BC2" w:rsidP="000B7BC2">
      <w:pPr>
        <w:ind w:left="630" w:hanging="630"/>
        <w:jc w:val="center"/>
        <w:rPr>
          <w:b/>
          <w:sz w:val="24"/>
          <w:szCs w:val="24"/>
        </w:rPr>
      </w:pPr>
      <w:r w:rsidRPr="00F5448A">
        <w:rPr>
          <w:noProof/>
        </w:rPr>
        <w:drawing>
          <wp:inline distT="0" distB="0" distL="0" distR="0" wp14:anchorId="0B237AEC" wp14:editId="6B2F5C8A">
            <wp:extent cx="4754880" cy="2723430"/>
            <wp:effectExtent l="0" t="0" r="762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7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5C" w:rsidRDefault="00F00F5C" w:rsidP="00F00F5C">
      <w:pPr>
        <w:ind w:left="990" w:hanging="990"/>
        <w:rPr>
          <w:sz w:val="24"/>
          <w:szCs w:val="24"/>
        </w:rPr>
      </w:pPr>
    </w:p>
    <w:p w:rsidR="000D5832" w:rsidRDefault="000D5832" w:rsidP="00F00F5C">
      <w:pPr>
        <w:ind w:left="990" w:hanging="990"/>
        <w:rPr>
          <w:sz w:val="24"/>
          <w:szCs w:val="24"/>
        </w:rPr>
      </w:pPr>
    </w:p>
    <w:p w:rsidR="006F3697" w:rsidRDefault="006F3697" w:rsidP="00F00F5C">
      <w:pPr>
        <w:ind w:left="990" w:hanging="990"/>
        <w:rPr>
          <w:sz w:val="24"/>
          <w:szCs w:val="24"/>
        </w:rPr>
      </w:pPr>
    </w:p>
    <w:p w:rsidR="000D5832" w:rsidRDefault="000D5832" w:rsidP="00F00F5C">
      <w:pPr>
        <w:ind w:left="990" w:hanging="990"/>
        <w:rPr>
          <w:sz w:val="24"/>
          <w:szCs w:val="24"/>
        </w:rPr>
      </w:pPr>
    </w:p>
    <w:p w:rsidR="000D5832" w:rsidRDefault="000A1185" w:rsidP="00F00F5C">
      <w:pPr>
        <w:ind w:left="990" w:hanging="990"/>
        <w:rPr>
          <w:sz w:val="24"/>
          <w:szCs w:val="24"/>
        </w:rPr>
      </w:pPr>
      <w:r w:rsidRPr="000A1185">
        <w:rPr>
          <w:b/>
          <w:sz w:val="24"/>
          <w:szCs w:val="24"/>
        </w:rPr>
        <w:t>Table S10</w:t>
      </w:r>
      <w:r>
        <w:rPr>
          <w:sz w:val="24"/>
          <w:szCs w:val="24"/>
        </w:rPr>
        <w:t xml:space="preserve">. Ranges of pH values corresponding to </w:t>
      </w:r>
      <w:r w:rsidR="00031075">
        <w:rPr>
          <w:sz w:val="24"/>
          <w:szCs w:val="24"/>
        </w:rPr>
        <w:t>the ranges of C</w:t>
      </w:r>
      <w:r>
        <w:rPr>
          <w:sz w:val="24"/>
          <w:szCs w:val="24"/>
        </w:rPr>
        <w:t>t/Au ratios used in this work, for [Au</w:t>
      </w:r>
      <w:r w:rsidRPr="000A1185">
        <w:rPr>
          <w:sz w:val="24"/>
          <w:szCs w:val="24"/>
          <w:vertAlign w:val="superscript"/>
        </w:rPr>
        <w:t>3+</w:t>
      </w:r>
      <w:r>
        <w:rPr>
          <w:sz w:val="24"/>
          <w:szCs w:val="24"/>
        </w:rPr>
        <w:t>] of 0.3 mM to 2.0 mM.</w:t>
      </w:r>
    </w:p>
    <w:p w:rsidR="000A1185" w:rsidRDefault="000A1185" w:rsidP="000A1185">
      <w:pPr>
        <w:ind w:left="990" w:hanging="990"/>
        <w:jc w:val="center"/>
        <w:rPr>
          <w:sz w:val="24"/>
          <w:szCs w:val="24"/>
        </w:rPr>
      </w:pPr>
      <w:r w:rsidRPr="000A1185">
        <w:drawing>
          <wp:inline distT="0" distB="0" distL="0" distR="0">
            <wp:extent cx="2839544" cy="274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4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BB" w:rsidRDefault="008908BB" w:rsidP="008908BB">
      <w:pPr>
        <w:ind w:left="990" w:hanging="990"/>
        <w:rPr>
          <w:sz w:val="24"/>
          <w:szCs w:val="24"/>
        </w:rPr>
      </w:pPr>
    </w:p>
    <w:p w:rsidR="00955BE3" w:rsidRDefault="00955BE3" w:rsidP="008908BB">
      <w:pPr>
        <w:ind w:left="990" w:hanging="990"/>
        <w:rPr>
          <w:sz w:val="24"/>
          <w:szCs w:val="24"/>
        </w:rPr>
      </w:pPr>
    </w:p>
    <w:p w:rsidR="009B4EB1" w:rsidRDefault="00955BE3" w:rsidP="00955BE3">
      <w:pPr>
        <w:ind w:left="990" w:hanging="990"/>
        <w:jc w:val="center"/>
        <w:rPr>
          <w:sz w:val="24"/>
          <w:szCs w:val="24"/>
        </w:rPr>
      </w:pPr>
      <w:r w:rsidRPr="00955BE3">
        <w:drawing>
          <wp:inline distT="0" distB="0" distL="0" distR="0" wp14:anchorId="5B966CBF" wp14:editId="34D6C124">
            <wp:extent cx="5652975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BB" w:rsidRDefault="008908BB" w:rsidP="008908BB">
      <w:pPr>
        <w:ind w:left="990" w:hanging="990"/>
        <w:jc w:val="both"/>
        <w:rPr>
          <w:sz w:val="24"/>
          <w:szCs w:val="24"/>
        </w:rPr>
      </w:pPr>
      <w:r w:rsidRPr="00BF5B66">
        <w:rPr>
          <w:b/>
          <w:sz w:val="24"/>
          <w:szCs w:val="24"/>
        </w:rPr>
        <w:t>Figure S1.</w:t>
      </w:r>
      <w:r>
        <w:rPr>
          <w:sz w:val="24"/>
          <w:szCs w:val="24"/>
        </w:rPr>
        <w:t xml:space="preserve"> Reproducibility of the </w:t>
      </w:r>
      <w:r w:rsidR="00AC2EDD">
        <w:rPr>
          <w:sz w:val="24"/>
          <w:szCs w:val="24"/>
        </w:rPr>
        <w:t>reported</w:t>
      </w:r>
      <w:r w:rsidR="00AC2E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conditions. Representative examples with starting </w:t>
      </w:r>
      <w:r>
        <w:rPr>
          <w:sz w:val="24"/>
          <w:szCs w:val="24"/>
        </w:rPr>
        <w:t>[Au</w:t>
      </w:r>
      <w:r w:rsidRPr="000A1185">
        <w:rPr>
          <w:sz w:val="24"/>
          <w:szCs w:val="24"/>
          <w:vertAlign w:val="superscript"/>
        </w:rPr>
        <w:t>3+</w:t>
      </w:r>
      <w:r>
        <w:rPr>
          <w:sz w:val="24"/>
          <w:szCs w:val="24"/>
        </w:rPr>
        <w:t xml:space="preserve">] of </w:t>
      </w:r>
      <w:r>
        <w:rPr>
          <w:sz w:val="24"/>
          <w:szCs w:val="24"/>
        </w:rPr>
        <w:t>1.5</w:t>
      </w:r>
      <w:r>
        <w:rPr>
          <w:sz w:val="24"/>
          <w:szCs w:val="24"/>
        </w:rPr>
        <w:t xml:space="preserve"> mM</w:t>
      </w:r>
      <w:r>
        <w:rPr>
          <w:sz w:val="24"/>
          <w:szCs w:val="24"/>
        </w:rPr>
        <w:t xml:space="preserve"> </w:t>
      </w:r>
      <w:r w:rsidR="00031075">
        <w:rPr>
          <w:sz w:val="24"/>
          <w:szCs w:val="24"/>
        </w:rPr>
        <w:t>and C</w:t>
      </w:r>
      <w:r>
        <w:rPr>
          <w:sz w:val="24"/>
          <w:szCs w:val="24"/>
        </w:rPr>
        <w:t xml:space="preserve">t/Au ratios of 4:1, 6:1 and 10:1. A) Zave sizes obtained for triplicate reactions; B) Graph displaying the mean sizes obtained, with their </w:t>
      </w:r>
      <w:r>
        <w:rPr>
          <w:sz w:val="24"/>
          <w:szCs w:val="24"/>
        </w:rPr>
        <w:t xml:space="preserve">respective </w:t>
      </w:r>
      <w:r w:rsidR="00955BE3">
        <w:rPr>
          <w:sz w:val="24"/>
          <w:szCs w:val="24"/>
        </w:rPr>
        <w:t>error bars</w:t>
      </w:r>
      <w:r>
        <w:rPr>
          <w:sz w:val="24"/>
          <w:szCs w:val="24"/>
        </w:rPr>
        <w:t>.</w:t>
      </w:r>
      <w:r w:rsidR="00AC2EDD">
        <w:rPr>
          <w:sz w:val="24"/>
          <w:szCs w:val="24"/>
        </w:rPr>
        <w:t xml:space="preserve"> The </w:t>
      </w:r>
      <w:r w:rsidR="00955BE3">
        <w:rPr>
          <w:sz w:val="24"/>
          <w:szCs w:val="24"/>
        </w:rPr>
        <w:t>dashed</w:t>
      </w:r>
      <w:r w:rsidR="00AC2EDD">
        <w:rPr>
          <w:sz w:val="24"/>
          <w:szCs w:val="24"/>
        </w:rPr>
        <w:t xml:space="preserve"> line represents the size trend observed in Figure 4 in the manuscript.</w:t>
      </w:r>
    </w:p>
    <w:p w:rsidR="009B4EB1" w:rsidRDefault="009B4EB1" w:rsidP="009B4EB1">
      <w:pPr>
        <w:ind w:left="990" w:hanging="990"/>
        <w:jc w:val="center"/>
        <w:rPr>
          <w:sz w:val="24"/>
          <w:szCs w:val="24"/>
        </w:rPr>
      </w:pPr>
      <w:r w:rsidRPr="009B4EB1">
        <w:drawing>
          <wp:inline distT="0" distB="0" distL="0" distR="0" wp14:anchorId="1E7FE5A8" wp14:editId="2B9A2597">
            <wp:extent cx="5793941" cy="3474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41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EDD" w:rsidRDefault="007C2045" w:rsidP="008908BB">
      <w:pPr>
        <w:ind w:left="990" w:hanging="990"/>
        <w:jc w:val="both"/>
        <w:rPr>
          <w:sz w:val="24"/>
          <w:szCs w:val="24"/>
        </w:rPr>
      </w:pPr>
      <w:r w:rsidRPr="00BF5B66">
        <w:rPr>
          <w:sz w:val="24"/>
          <w:szCs w:val="24"/>
        </w:rPr>
        <w:drawing>
          <wp:anchor distT="0" distB="0" distL="114300" distR="114300" simplePos="0" relativeHeight="251656190" behindDoc="0" locked="0" layoutInCell="1" allowOverlap="1" wp14:anchorId="7CCCDA34" wp14:editId="59DC05EF">
            <wp:simplePos x="0" y="0"/>
            <wp:positionH relativeFrom="column">
              <wp:posOffset>5302250</wp:posOffset>
            </wp:positionH>
            <wp:positionV relativeFrom="paragraph">
              <wp:posOffset>911860</wp:posOffset>
            </wp:positionV>
            <wp:extent cx="274320" cy="106680"/>
            <wp:effectExtent l="0" t="0" r="0" b="7620"/>
            <wp:wrapNone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37" t="62261" r="4477" b="34309"/>
                    <a:stretch/>
                  </pic:blipFill>
                  <pic:spPr bwMode="auto">
                    <a:xfrm>
                      <a:off x="0" y="0"/>
                      <a:ext cx="274320" cy="106680"/>
                    </a:xfrm>
                    <a:prstGeom prst="hexagon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B66">
        <w:rPr>
          <w:sz w:val="24"/>
          <w:szCs w:val="24"/>
        </w:rPr>
        <w:drawing>
          <wp:anchor distT="0" distB="0" distL="114300" distR="114300" simplePos="0" relativeHeight="251657215" behindDoc="0" locked="0" layoutInCell="1" allowOverlap="1" wp14:anchorId="49BACF3F" wp14:editId="1EAD8D3D">
            <wp:simplePos x="0" y="0"/>
            <wp:positionH relativeFrom="column">
              <wp:posOffset>654050</wp:posOffset>
            </wp:positionH>
            <wp:positionV relativeFrom="paragraph">
              <wp:posOffset>471170</wp:posOffset>
            </wp:positionV>
            <wp:extent cx="182880" cy="140335"/>
            <wp:effectExtent l="0" t="0" r="7620" b="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71" t="4617" r="27187" b="92086"/>
                    <a:stretch/>
                  </pic:blipFill>
                  <pic:spPr bwMode="auto">
                    <a:xfrm>
                      <a:off x="0" y="0"/>
                      <a:ext cx="182880" cy="140335"/>
                    </a:xfrm>
                    <a:prstGeom prst="hexagon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101F7A" wp14:editId="1C943548">
            <wp:simplePos x="0" y="0"/>
            <wp:positionH relativeFrom="column">
              <wp:posOffset>4514850</wp:posOffset>
            </wp:positionH>
            <wp:positionV relativeFrom="paragraph">
              <wp:posOffset>231775</wp:posOffset>
            </wp:positionV>
            <wp:extent cx="154305" cy="164465"/>
            <wp:effectExtent l="0" t="0" r="0" b="6985"/>
            <wp:wrapNone/>
            <wp:docPr id="10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58" t="3891" r="19212" b="92812"/>
                    <a:stretch/>
                  </pic:blipFill>
                  <pic:spPr bwMode="auto">
                    <a:xfrm>
                      <a:off x="0" y="0"/>
                      <a:ext cx="15430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EDD" w:rsidRPr="00BF5B66">
        <w:rPr>
          <w:b/>
          <w:sz w:val="24"/>
          <w:szCs w:val="24"/>
        </w:rPr>
        <w:t>Figure S2.</w:t>
      </w:r>
      <w:r w:rsidR="00AC2EDD">
        <w:rPr>
          <w:sz w:val="24"/>
          <w:szCs w:val="24"/>
        </w:rPr>
        <w:t xml:space="preserve"> </w:t>
      </w:r>
      <w:r w:rsidR="00BF5B66" w:rsidRPr="00BF5B66">
        <w:rPr>
          <w:sz w:val="24"/>
          <w:szCs w:val="24"/>
        </w:rPr>
        <w:t>Overlays of experimental data and simulations for the sizes of GNPs from 0.3 mM</w:t>
      </w:r>
      <w:r>
        <w:rPr>
          <w:sz w:val="24"/>
          <w:szCs w:val="24"/>
        </w:rPr>
        <w:t xml:space="preserve"> (violet)</w:t>
      </w:r>
      <w:r w:rsidR="00BF5B66" w:rsidRPr="00BF5B66">
        <w:rPr>
          <w:sz w:val="24"/>
          <w:szCs w:val="24"/>
        </w:rPr>
        <w:t xml:space="preserve">, 0.6 mM </w:t>
      </w:r>
      <w:r>
        <w:rPr>
          <w:sz w:val="24"/>
          <w:szCs w:val="24"/>
        </w:rPr>
        <w:t xml:space="preserve">(magenta) </w:t>
      </w:r>
      <w:r w:rsidR="00BF5B66" w:rsidRPr="00BF5B66">
        <w:rPr>
          <w:sz w:val="24"/>
          <w:szCs w:val="24"/>
        </w:rPr>
        <w:t>and 0.8 mM</w:t>
      </w:r>
      <w:r>
        <w:rPr>
          <w:sz w:val="24"/>
          <w:szCs w:val="24"/>
        </w:rPr>
        <w:t xml:space="preserve"> (green)</w:t>
      </w:r>
      <w:r w:rsidR="00BF5B66" w:rsidRPr="00BF5B66">
        <w:rPr>
          <w:sz w:val="24"/>
          <w:szCs w:val="24"/>
        </w:rPr>
        <w:t xml:space="preserve"> initial [Au</w:t>
      </w:r>
      <w:r w:rsidR="00BF5B66" w:rsidRPr="00BF5B66">
        <w:rPr>
          <w:sz w:val="24"/>
          <w:szCs w:val="24"/>
          <w:vertAlign w:val="superscript"/>
        </w:rPr>
        <w:t>3+</w:t>
      </w:r>
      <w:r w:rsidR="00BF5B66" w:rsidRPr="00BF5B66">
        <w:rPr>
          <w:sz w:val="24"/>
          <w:szCs w:val="24"/>
        </w:rPr>
        <w:t xml:space="preserve">]. ( </w:t>
      </w:r>
      <w:r w:rsidR="00BF5B6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BF5B66" w:rsidRPr="00BF5B66">
        <w:rPr>
          <w:sz w:val="24"/>
          <w:szCs w:val="24"/>
        </w:rPr>
        <w:t xml:space="preserve">) Experimental data; (  </w:t>
      </w:r>
      <w:r w:rsidR="00BF5B66">
        <w:rPr>
          <w:sz w:val="24"/>
          <w:szCs w:val="24"/>
        </w:rPr>
        <w:t xml:space="preserve">  </w:t>
      </w:r>
      <w:r w:rsidR="00BF5B66" w:rsidRPr="00BF5B66">
        <w:rPr>
          <w:sz w:val="24"/>
          <w:szCs w:val="24"/>
        </w:rPr>
        <w:t xml:space="preserve">) Predictions using the Kumar’s model in which the zeta potential was increased by (A) 5.5% </w:t>
      </w:r>
      <w:r w:rsidR="0010337A" w:rsidRPr="00BF5B66">
        <w:rPr>
          <w:sz w:val="24"/>
          <w:szCs w:val="24"/>
        </w:rPr>
        <w:t>and (B) 11%</w:t>
      </w:r>
      <w:r w:rsidR="0010337A">
        <w:rPr>
          <w:sz w:val="24"/>
          <w:szCs w:val="24"/>
        </w:rPr>
        <w:t xml:space="preserve"> for GNPs from 0.6 mM and 0.8 mM</w:t>
      </w:r>
      <w:r>
        <w:rPr>
          <w:sz w:val="24"/>
          <w:szCs w:val="24"/>
        </w:rPr>
        <w:t xml:space="preserve">; in both (A) and (B), the Kumar’s model was used as is for GNPs from 0.3 mM </w:t>
      </w:r>
      <w:r w:rsidRPr="00BF5B66">
        <w:rPr>
          <w:sz w:val="24"/>
          <w:szCs w:val="24"/>
        </w:rPr>
        <w:t>[Au</w:t>
      </w:r>
      <w:r w:rsidRPr="00BF5B66">
        <w:rPr>
          <w:sz w:val="24"/>
          <w:szCs w:val="24"/>
          <w:vertAlign w:val="superscript"/>
        </w:rPr>
        <w:t>3+</w:t>
      </w:r>
      <w:r w:rsidRPr="00BF5B66">
        <w:rPr>
          <w:sz w:val="24"/>
          <w:szCs w:val="24"/>
        </w:rPr>
        <w:t>]</w:t>
      </w:r>
      <w:r w:rsidR="00BF5B66" w:rsidRPr="00BF5B66">
        <w:rPr>
          <w:sz w:val="24"/>
          <w:szCs w:val="24"/>
        </w:rPr>
        <w:t xml:space="preserve">. The residuals (    </w:t>
      </w:r>
      <w:r>
        <w:rPr>
          <w:sz w:val="24"/>
          <w:szCs w:val="24"/>
        </w:rPr>
        <w:t xml:space="preserve">    </w:t>
      </w:r>
      <w:r w:rsidR="00BF5B66" w:rsidRPr="00BF5B66">
        <w:rPr>
          <w:sz w:val="24"/>
          <w:szCs w:val="24"/>
        </w:rPr>
        <w:t>) have been calculated as the difference between the experimental values and the theoretical ones. In order to determine the residuals, a spline curve-based extrapolation</w:t>
      </w:r>
      <w:r w:rsidR="00516B46">
        <w:rPr>
          <w:sz w:val="24"/>
          <w:szCs w:val="24"/>
        </w:rPr>
        <w:fldChar w:fldCharType="begin"/>
      </w:r>
      <w:r w:rsidR="00516B46">
        <w:rPr>
          <w:sz w:val="24"/>
          <w:szCs w:val="24"/>
        </w:rPr>
        <w:instrText xml:space="preserve"> ADDIN EN.CITE &lt;EndNote&gt;&lt;Cite&gt;&lt;Author&gt;Press&lt;/Author&gt;&lt;Year&gt;2002&lt;/Year&gt;&lt;RecNum&gt;37&lt;/RecNum&gt;&lt;record&gt;&lt;rec-number&gt;37&lt;/rec-number&gt;&lt;foreign-keys&gt;&lt;key app="EN" db-id="0tdsffsaqd9r5cerd5u5xzfns29v9vwr0sfe"&gt;37&lt;/key&gt;&lt;/foreign-keys&gt;&lt;ref-type name="Book"&gt;6&lt;/ref-type&gt;&lt;contributors&gt;&lt;authors&gt;&lt;author&gt;Press, William H. &lt;/author&gt;&lt;author&gt;Teukolsky, Saul A. &lt;/author&gt;&lt;author&gt;Vetterling, William T. &lt;/author&gt;&lt;author&gt; Flannery, Brian P.&lt;/author&gt;&lt;/authors&gt;&lt;/contributors&gt;&lt;titles&gt;&lt;title&gt;Numerical Recipes in C. The Art of Scientific Computing&lt;/title&gt;&lt;/titles&gt;&lt;edition&gt;Second Edition&lt;/edition&gt;&lt;dates&gt;&lt;year&gt;2002&lt;/year&gt;&lt;/dates&gt;&lt;publisher&gt;Cambridge University Press&lt;/publisher&gt;&lt;urls&gt;&lt;/urls&gt;&lt;/record&gt;&lt;/Cite&gt;&lt;/EndNote&gt;</w:instrText>
      </w:r>
      <w:r w:rsidR="00516B46">
        <w:rPr>
          <w:sz w:val="24"/>
          <w:szCs w:val="24"/>
        </w:rPr>
        <w:fldChar w:fldCharType="separate"/>
      </w:r>
      <w:r w:rsidR="00516B46" w:rsidRPr="00516B46">
        <w:rPr>
          <w:sz w:val="24"/>
          <w:szCs w:val="24"/>
          <w:vertAlign w:val="superscript"/>
        </w:rPr>
        <w:t>2</w:t>
      </w:r>
      <w:r w:rsidR="00516B46">
        <w:rPr>
          <w:sz w:val="24"/>
          <w:szCs w:val="24"/>
        </w:rPr>
        <w:fldChar w:fldCharType="end"/>
      </w:r>
      <w:r w:rsidR="00BF5B66" w:rsidRPr="00BF5B66">
        <w:rPr>
          <w:sz w:val="24"/>
          <w:szCs w:val="24"/>
        </w:rPr>
        <w:t xml:space="preserve"> has been applied to both experimental and theoretical set of data. The lines are guides for the eye.</w:t>
      </w:r>
      <w:bookmarkStart w:id="0" w:name="_GoBack"/>
      <w:bookmarkEnd w:id="0"/>
    </w:p>
    <w:p w:rsidR="000A1185" w:rsidRPr="00F00F5C" w:rsidRDefault="000A1185" w:rsidP="00F00F5C">
      <w:pPr>
        <w:ind w:left="990" w:hanging="990"/>
        <w:rPr>
          <w:sz w:val="24"/>
          <w:szCs w:val="24"/>
        </w:rPr>
      </w:pPr>
    </w:p>
    <w:p w:rsidR="00516B46" w:rsidRPr="00516B46" w:rsidRDefault="00545E07" w:rsidP="00516B46">
      <w:pPr>
        <w:spacing w:after="0" w:line="240" w:lineRule="auto"/>
        <w:rPr>
          <w:rFonts w:ascii="Calibri" w:hAnsi="Calibri" w:cs="Calibri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ADDIN EN.REFLIST </w:instrText>
      </w:r>
      <w:r>
        <w:rPr>
          <w:sz w:val="24"/>
          <w:szCs w:val="24"/>
        </w:rPr>
        <w:fldChar w:fldCharType="separate"/>
      </w:r>
      <w:r w:rsidR="00516B46" w:rsidRPr="00516B46">
        <w:rPr>
          <w:rFonts w:ascii="Calibri" w:hAnsi="Calibri" w:cs="Calibri"/>
          <w:szCs w:val="24"/>
        </w:rPr>
        <w:tab/>
        <w:t>(1)</w:t>
      </w:r>
      <w:r w:rsidR="00516B46" w:rsidRPr="00516B46">
        <w:rPr>
          <w:rFonts w:ascii="Calibri" w:hAnsi="Calibri" w:cs="Calibri"/>
          <w:szCs w:val="24"/>
        </w:rPr>
        <w:tab/>
        <w:t xml:space="preserve">Kumar, S.; Gandhi, K. S.; Kumar, R. </w:t>
      </w:r>
      <w:r w:rsidR="00516B46" w:rsidRPr="00516B46">
        <w:rPr>
          <w:rFonts w:ascii="Calibri" w:hAnsi="Calibri" w:cs="Calibri"/>
          <w:i/>
          <w:szCs w:val="24"/>
        </w:rPr>
        <w:t>Ind. Eng. Chem. Res.</w:t>
      </w:r>
      <w:r w:rsidR="00516B46" w:rsidRPr="00516B46">
        <w:rPr>
          <w:rFonts w:ascii="Calibri" w:hAnsi="Calibri" w:cs="Calibri"/>
          <w:szCs w:val="24"/>
        </w:rPr>
        <w:t xml:space="preserve"> </w:t>
      </w:r>
      <w:r w:rsidR="00516B46" w:rsidRPr="00516B46">
        <w:rPr>
          <w:rFonts w:ascii="Calibri" w:hAnsi="Calibri" w:cs="Calibri"/>
          <w:b/>
          <w:szCs w:val="24"/>
        </w:rPr>
        <w:t>2007</w:t>
      </w:r>
      <w:r w:rsidR="00516B46" w:rsidRPr="00516B46">
        <w:rPr>
          <w:rFonts w:ascii="Calibri" w:hAnsi="Calibri" w:cs="Calibri"/>
          <w:szCs w:val="24"/>
        </w:rPr>
        <w:t xml:space="preserve">, </w:t>
      </w:r>
      <w:r w:rsidR="00516B46" w:rsidRPr="00516B46">
        <w:rPr>
          <w:rFonts w:ascii="Calibri" w:hAnsi="Calibri" w:cs="Calibri"/>
          <w:i/>
          <w:szCs w:val="24"/>
        </w:rPr>
        <w:t>46</w:t>
      </w:r>
      <w:r w:rsidR="00516B46" w:rsidRPr="00516B46">
        <w:rPr>
          <w:rFonts w:ascii="Calibri" w:hAnsi="Calibri" w:cs="Calibri"/>
          <w:szCs w:val="24"/>
        </w:rPr>
        <w:t>, 3128-3136.</w:t>
      </w:r>
    </w:p>
    <w:p w:rsidR="00516B46" w:rsidRPr="00516B46" w:rsidRDefault="00516B46" w:rsidP="00516B46">
      <w:pPr>
        <w:spacing w:after="0" w:line="240" w:lineRule="auto"/>
        <w:rPr>
          <w:rFonts w:ascii="Calibri" w:hAnsi="Calibri" w:cs="Calibri"/>
          <w:szCs w:val="24"/>
        </w:rPr>
      </w:pPr>
      <w:r w:rsidRPr="00516B46">
        <w:rPr>
          <w:rFonts w:ascii="Calibri" w:hAnsi="Calibri" w:cs="Calibri"/>
          <w:szCs w:val="24"/>
        </w:rPr>
        <w:tab/>
        <w:t>(2)</w:t>
      </w:r>
      <w:r w:rsidRPr="00516B46">
        <w:rPr>
          <w:rFonts w:ascii="Calibri" w:hAnsi="Calibri" w:cs="Calibri"/>
          <w:szCs w:val="24"/>
        </w:rPr>
        <w:tab/>
        <w:t xml:space="preserve">Press, W. H.; Teukolsky, S. A.; Vetterling, W. T.; Flannery, B. P. </w:t>
      </w:r>
      <w:r w:rsidRPr="00516B46">
        <w:rPr>
          <w:rFonts w:ascii="Calibri" w:hAnsi="Calibri" w:cs="Calibri"/>
          <w:i/>
          <w:szCs w:val="24"/>
        </w:rPr>
        <w:t>Numerical Recipes in C. The Art of Scientific Computing</w:t>
      </w:r>
      <w:r w:rsidRPr="00516B46">
        <w:rPr>
          <w:rFonts w:ascii="Calibri" w:hAnsi="Calibri" w:cs="Calibri"/>
          <w:szCs w:val="24"/>
        </w:rPr>
        <w:t>; Second Edition ed.; Cambridge University Press, 2002.</w:t>
      </w:r>
    </w:p>
    <w:p w:rsidR="00516B46" w:rsidRPr="00516B46" w:rsidRDefault="00516B46" w:rsidP="00516B46">
      <w:pPr>
        <w:spacing w:after="0" w:line="240" w:lineRule="auto"/>
        <w:rPr>
          <w:rFonts w:ascii="Calibri" w:hAnsi="Calibri" w:cs="Calibri"/>
          <w:szCs w:val="24"/>
        </w:rPr>
      </w:pPr>
    </w:p>
    <w:p w:rsidR="00F00F5C" w:rsidRPr="008233B5" w:rsidRDefault="00545E07" w:rsidP="00516B46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sectPr w:rsidR="00F00F5C" w:rsidRPr="008233B5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38" w:rsidRDefault="000F7738" w:rsidP="00C1405B">
      <w:pPr>
        <w:spacing w:after="0" w:line="240" w:lineRule="auto"/>
      </w:pPr>
      <w:r>
        <w:separator/>
      </w:r>
    </w:p>
  </w:endnote>
  <w:endnote w:type="continuationSeparator" w:id="0">
    <w:p w:rsidR="000F7738" w:rsidRDefault="000F7738" w:rsidP="00C1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242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832" w:rsidRDefault="000D58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7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5832" w:rsidRDefault="000D58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38" w:rsidRDefault="000F7738" w:rsidP="00C1405B">
      <w:pPr>
        <w:spacing w:after="0" w:line="240" w:lineRule="auto"/>
      </w:pPr>
      <w:r>
        <w:separator/>
      </w:r>
    </w:p>
  </w:footnote>
  <w:footnote w:type="continuationSeparator" w:id="0">
    <w:p w:rsidR="000F7738" w:rsidRDefault="000F7738" w:rsidP="00C14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References Kara paper.enl&lt;/item&gt;&lt;/Libraries&gt;&lt;/ENLibraries&gt;"/>
  </w:docVars>
  <w:rsids>
    <w:rsidRoot w:val="00575D92"/>
    <w:rsid w:val="00031075"/>
    <w:rsid w:val="00043420"/>
    <w:rsid w:val="00043B42"/>
    <w:rsid w:val="000A1185"/>
    <w:rsid w:val="000B7BC2"/>
    <w:rsid w:val="000D5832"/>
    <w:rsid w:val="000F7738"/>
    <w:rsid w:val="0010337A"/>
    <w:rsid w:val="00263B59"/>
    <w:rsid w:val="003353F2"/>
    <w:rsid w:val="00415E19"/>
    <w:rsid w:val="00516B46"/>
    <w:rsid w:val="00545E07"/>
    <w:rsid w:val="00575D92"/>
    <w:rsid w:val="00687DE6"/>
    <w:rsid w:val="006F3697"/>
    <w:rsid w:val="007357EE"/>
    <w:rsid w:val="00737840"/>
    <w:rsid w:val="007658FB"/>
    <w:rsid w:val="007B0B81"/>
    <w:rsid w:val="007C2045"/>
    <w:rsid w:val="007F3A2A"/>
    <w:rsid w:val="008233B5"/>
    <w:rsid w:val="008908BB"/>
    <w:rsid w:val="00921453"/>
    <w:rsid w:val="00955BE3"/>
    <w:rsid w:val="00980A7C"/>
    <w:rsid w:val="009B4EB1"/>
    <w:rsid w:val="00AC2EDD"/>
    <w:rsid w:val="00AF4C3F"/>
    <w:rsid w:val="00B60E46"/>
    <w:rsid w:val="00BA544A"/>
    <w:rsid w:val="00BF5B66"/>
    <w:rsid w:val="00C1405B"/>
    <w:rsid w:val="00C65669"/>
    <w:rsid w:val="00D531D6"/>
    <w:rsid w:val="00E31429"/>
    <w:rsid w:val="00E820F2"/>
    <w:rsid w:val="00E92607"/>
    <w:rsid w:val="00F00F5C"/>
    <w:rsid w:val="00F5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5D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05B"/>
  </w:style>
  <w:style w:type="paragraph" w:styleId="Footer">
    <w:name w:val="footer"/>
    <w:basedOn w:val="Normal"/>
    <w:link w:val="FooterChar"/>
    <w:uiPriority w:val="99"/>
    <w:unhideWhenUsed/>
    <w:rsid w:val="00C14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5D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05B"/>
  </w:style>
  <w:style w:type="paragraph" w:styleId="Footer">
    <w:name w:val="footer"/>
    <w:basedOn w:val="Normal"/>
    <w:link w:val="FooterChar"/>
    <w:uiPriority w:val="99"/>
    <w:unhideWhenUsed/>
    <w:rsid w:val="00C14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7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2012-08-10T02:04:00Z</cp:lastPrinted>
  <dcterms:created xsi:type="dcterms:W3CDTF">2012-09-12T20:12:00Z</dcterms:created>
  <dcterms:modified xsi:type="dcterms:W3CDTF">2012-09-13T02:51:00Z</dcterms:modified>
</cp:coreProperties>
</file>