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ind w:right="627"/>
        <w:jc w:val="center"/>
        <w:rPr>
          <w:rFonts w:ascii="Times New Roman" w:hAnsi="Times New Roman" w:cs="Times New Roman"/>
          <w:b/>
          <w:color w:val="auto"/>
          <w:sz w:val="20"/>
          <w:szCs w:val="20"/>
        </w:rPr>
      </w:pPr>
      <w:r>
        <w:rPr>
          <w:rFonts w:hint="eastAsia" w:ascii="Times New Roman" w:hAnsi="Times New Roman" w:cs="Times New Roman"/>
          <w:b/>
          <w:bCs/>
          <w:sz w:val="20"/>
          <w:szCs w:val="20"/>
          <w:lang w:val="en-US" w:eastAsia="zh-CN"/>
        </w:rPr>
        <w:t xml:space="preserve">Sup. Table 1 </w:t>
      </w:r>
      <w:r>
        <w:rPr>
          <w:rFonts w:ascii="Times New Roman" w:hAnsi="Times New Roman" w:cs="Times New Roman"/>
          <w:b/>
          <w:color w:val="auto"/>
          <w:sz w:val="20"/>
          <w:szCs w:val="20"/>
        </w:rPr>
        <w:t>PRISMA NMA Checklist of Items to Include When Reporting A Systematic Review Involving a Network Meta-analysis</w:t>
      </w:r>
    </w:p>
    <w:p>
      <w:pPr>
        <w:pStyle w:val="10"/>
        <w:ind w:left="-284" w:right="627"/>
        <w:jc w:val="both"/>
        <w:rPr>
          <w:rFonts w:ascii="Times New Roman" w:hAnsi="Times New Roman" w:cs="Times New Roman"/>
          <w:sz w:val="22"/>
          <w:szCs w:val="22"/>
        </w:rPr>
      </w:pPr>
    </w:p>
    <w:tbl>
      <w:tblPr>
        <w:tblStyle w:val="5"/>
        <w:tblW w:w="0" w:type="auto"/>
        <w:tblInd w:w="-318" w:type="dxa"/>
        <w:tblLayout w:type="autofit"/>
        <w:tblCellMar>
          <w:top w:w="0" w:type="dxa"/>
          <w:left w:w="108" w:type="dxa"/>
          <w:bottom w:w="0" w:type="dxa"/>
          <w:right w:w="108" w:type="dxa"/>
        </w:tblCellMar>
      </w:tblPr>
      <w:tblGrid>
        <w:gridCol w:w="1931"/>
        <w:gridCol w:w="627"/>
        <w:gridCol w:w="5202"/>
        <w:gridCol w:w="1080"/>
      </w:tblGrid>
      <w:tr>
        <w:tblPrEx>
          <w:tblCellMar>
            <w:top w:w="0" w:type="dxa"/>
            <w:left w:w="108" w:type="dxa"/>
            <w:bottom w:w="0" w:type="dxa"/>
            <w:right w:w="108" w:type="dxa"/>
          </w:tblCellMar>
        </w:tblPrEx>
        <w:trPr>
          <w:trHeight w:val="323" w:hRule="atLeast"/>
        </w:trPr>
        <w:tc>
          <w:tcPr>
            <w:tcW w:w="0" w:type="auto"/>
            <w:tcBorders>
              <w:top w:val="single" w:color="000000" w:sz="2" w:space="0"/>
              <w:bottom w:val="single" w:color="auto" w:sz="4" w:space="0"/>
            </w:tcBorders>
            <w:shd w:val="clear" w:color="auto" w:fill="auto"/>
          </w:tcPr>
          <w:p>
            <w:pPr>
              <w:pStyle w:val="10"/>
              <w:jc w:val="center"/>
              <w:rPr>
                <w:rFonts w:hint="default" w:ascii="Times New Roman" w:hAnsi="Times New Roman" w:cs="Times New Roman"/>
                <w:b/>
                <w:color w:val="auto"/>
                <w:sz w:val="20"/>
                <w:szCs w:val="20"/>
              </w:rPr>
            </w:pPr>
            <w:r>
              <w:rPr>
                <w:rFonts w:hint="default" w:ascii="Times New Roman" w:hAnsi="Times New Roman" w:cs="Times New Roman"/>
                <w:b/>
                <w:color w:val="auto"/>
                <w:sz w:val="20"/>
                <w:szCs w:val="20"/>
              </w:rPr>
              <w:t>Section/Topic</w:t>
            </w:r>
          </w:p>
        </w:tc>
        <w:tc>
          <w:tcPr>
            <w:tcW w:w="627" w:type="dxa"/>
            <w:tcBorders>
              <w:top w:val="single" w:color="000000" w:sz="2" w:space="0"/>
              <w:bottom w:val="single" w:color="auto" w:sz="4" w:space="0"/>
            </w:tcBorders>
            <w:shd w:val="clear" w:color="auto" w:fill="auto"/>
          </w:tcPr>
          <w:p>
            <w:pPr>
              <w:pStyle w:val="10"/>
              <w:jc w:val="center"/>
              <w:rPr>
                <w:rFonts w:hint="default" w:ascii="Times New Roman" w:hAnsi="Times New Roman" w:cs="Times New Roman"/>
                <w:b/>
                <w:color w:val="auto"/>
                <w:sz w:val="20"/>
                <w:szCs w:val="20"/>
              </w:rPr>
            </w:pPr>
            <w:r>
              <w:rPr>
                <w:rFonts w:hint="default" w:ascii="Times New Roman" w:hAnsi="Times New Roman" w:cs="Times New Roman"/>
                <w:b/>
                <w:color w:val="auto"/>
                <w:sz w:val="20"/>
                <w:szCs w:val="20"/>
              </w:rPr>
              <w:t>Item #</w:t>
            </w:r>
          </w:p>
        </w:tc>
        <w:tc>
          <w:tcPr>
            <w:tcW w:w="5202" w:type="dxa"/>
            <w:tcBorders>
              <w:top w:val="single" w:color="000000" w:sz="2" w:space="0"/>
              <w:bottom w:val="single" w:color="auto" w:sz="4" w:space="0"/>
              <w:right w:val="single" w:color="auto" w:sz="4" w:space="0"/>
            </w:tcBorders>
            <w:shd w:val="clear" w:color="auto" w:fill="auto"/>
          </w:tcPr>
          <w:p>
            <w:pPr>
              <w:pStyle w:val="10"/>
              <w:jc w:val="center"/>
              <w:rPr>
                <w:rFonts w:hint="default" w:ascii="Times New Roman" w:hAnsi="Times New Roman" w:cs="Times New Roman"/>
                <w:b/>
                <w:color w:val="auto"/>
                <w:sz w:val="20"/>
                <w:szCs w:val="20"/>
              </w:rPr>
            </w:pPr>
            <w:r>
              <w:rPr>
                <w:rFonts w:hint="default" w:ascii="Times New Roman" w:hAnsi="Times New Roman" w:cs="Times New Roman"/>
                <w:b/>
                <w:color w:val="auto"/>
                <w:sz w:val="20"/>
                <w:szCs w:val="20"/>
              </w:rPr>
              <w:t>Checklist Item</w:t>
            </w:r>
          </w:p>
        </w:tc>
        <w:tc>
          <w:tcPr>
            <w:tcW w:w="0" w:type="auto"/>
            <w:tcBorders>
              <w:top w:val="single" w:color="000000" w:sz="2" w:space="0"/>
              <w:left w:val="single" w:color="auto" w:sz="4" w:space="0"/>
              <w:bottom w:val="single" w:color="auto" w:sz="4" w:space="0"/>
            </w:tcBorders>
            <w:shd w:val="clear" w:color="auto" w:fill="auto"/>
          </w:tcPr>
          <w:p>
            <w:pPr>
              <w:pStyle w:val="10"/>
              <w:jc w:val="center"/>
              <w:rPr>
                <w:rFonts w:hint="default" w:ascii="Times New Roman" w:hAnsi="Times New Roman" w:cs="Times New Roman"/>
                <w:b/>
                <w:color w:val="auto"/>
                <w:sz w:val="20"/>
                <w:szCs w:val="20"/>
              </w:rPr>
            </w:pPr>
            <w:r>
              <w:rPr>
                <w:rFonts w:hint="default" w:ascii="Times New Roman" w:hAnsi="Times New Roman" w:cs="Times New Roman"/>
                <w:b/>
                <w:color w:val="auto"/>
                <w:sz w:val="20"/>
                <w:szCs w:val="20"/>
              </w:rPr>
              <w:t>Reported on Page #</w:t>
            </w:r>
          </w:p>
        </w:tc>
      </w:tr>
      <w:tr>
        <w:tblPrEx>
          <w:tblCellMar>
            <w:top w:w="0" w:type="dxa"/>
            <w:left w:w="108" w:type="dxa"/>
            <w:bottom w:w="0" w:type="dxa"/>
            <w:right w:w="108" w:type="dxa"/>
          </w:tblCellMar>
        </w:tblPrEx>
        <w:trPr>
          <w:trHeight w:val="323" w:hRule="atLeast"/>
        </w:trPr>
        <w:tc>
          <w:tcPr>
            <w:tcW w:w="0" w:type="auto"/>
            <w:tcBorders>
              <w:top w:val="single" w:color="auto" w:sz="4" w:space="0"/>
            </w:tcBorders>
            <w:shd w:val="clear" w:color="auto" w:fill="auto"/>
          </w:tcPr>
          <w:p>
            <w:pPr>
              <w:pStyle w:val="10"/>
              <w:rPr>
                <w:rFonts w:hint="default" w:ascii="Times New Roman" w:hAnsi="Times New Roman" w:cs="Times New Roman"/>
                <w:b/>
                <w:color w:val="auto"/>
                <w:sz w:val="20"/>
                <w:szCs w:val="20"/>
              </w:rPr>
            </w:pPr>
            <w:r>
              <w:rPr>
                <w:rFonts w:hint="default" w:ascii="Times New Roman" w:hAnsi="Times New Roman" w:cs="Times New Roman"/>
                <w:b/>
                <w:bCs/>
                <w:sz w:val="20"/>
                <w:szCs w:val="20"/>
              </w:rPr>
              <w:t>TITLE</w:t>
            </w:r>
          </w:p>
        </w:tc>
        <w:tc>
          <w:tcPr>
            <w:tcW w:w="627" w:type="dxa"/>
            <w:tcBorders>
              <w:top w:val="single" w:color="auto" w:sz="4" w:space="0"/>
            </w:tcBorders>
            <w:shd w:val="clear" w:color="auto" w:fill="auto"/>
          </w:tcPr>
          <w:p>
            <w:pPr>
              <w:pStyle w:val="10"/>
              <w:rPr>
                <w:rFonts w:hint="default" w:ascii="Times New Roman" w:hAnsi="Times New Roman" w:cs="Times New Roman"/>
                <w:b/>
                <w:color w:val="auto"/>
                <w:sz w:val="20"/>
                <w:szCs w:val="20"/>
              </w:rPr>
            </w:pPr>
          </w:p>
        </w:tc>
        <w:tc>
          <w:tcPr>
            <w:tcW w:w="5202" w:type="dxa"/>
            <w:tcBorders>
              <w:top w:val="single" w:color="auto" w:sz="4" w:space="0"/>
              <w:right w:val="single" w:color="auto" w:sz="4" w:space="0"/>
            </w:tcBorders>
            <w:shd w:val="clear" w:color="auto" w:fill="auto"/>
          </w:tcPr>
          <w:p>
            <w:pPr>
              <w:pStyle w:val="10"/>
              <w:rPr>
                <w:rFonts w:hint="default" w:ascii="Times New Roman" w:hAnsi="Times New Roman" w:cs="Times New Roman"/>
                <w:b/>
                <w:color w:val="auto"/>
                <w:sz w:val="20"/>
                <w:szCs w:val="20"/>
              </w:rPr>
            </w:pPr>
          </w:p>
        </w:tc>
        <w:tc>
          <w:tcPr>
            <w:tcW w:w="0" w:type="auto"/>
            <w:tcBorders>
              <w:top w:val="single" w:color="auto" w:sz="4" w:space="0"/>
              <w:left w:val="single" w:color="auto" w:sz="4" w:space="0"/>
            </w:tcBorders>
            <w:shd w:val="clear" w:color="auto" w:fill="auto"/>
          </w:tcPr>
          <w:p>
            <w:pPr>
              <w:pStyle w:val="10"/>
              <w:rPr>
                <w:rFonts w:hint="default" w:ascii="Times New Roman" w:hAnsi="Times New Roman" w:cs="Times New Roman"/>
                <w:b/>
                <w:color w:val="auto"/>
                <w:sz w:val="20"/>
                <w:szCs w:val="20"/>
              </w:rPr>
            </w:pPr>
          </w:p>
        </w:tc>
      </w:tr>
      <w:tr>
        <w:tblPrEx>
          <w:tblCellMar>
            <w:top w:w="0" w:type="dxa"/>
            <w:left w:w="108" w:type="dxa"/>
            <w:bottom w:w="0" w:type="dxa"/>
            <w:right w:w="108" w:type="dxa"/>
          </w:tblCellMar>
        </w:tblPrEx>
        <w:trPr>
          <w:trHeight w:val="323"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Title</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w:t>
            </w:r>
          </w:p>
        </w:tc>
        <w:tc>
          <w:tcPr>
            <w:tcW w:w="5202" w:type="dxa"/>
            <w:tcBorders>
              <w:right w:val="single" w:color="auto" w:sz="4" w:space="0"/>
            </w:tcBorders>
            <w:shd w:val="clear" w:color="auto" w:fill="D9D9D9"/>
          </w:tcPr>
          <w:p>
            <w:pPr>
              <w:pStyle w:val="10"/>
              <w:rPr>
                <w:rFonts w:hint="eastAsia" w:ascii="Times New Roman" w:hAnsi="Times New Roman" w:eastAsia="宋体" w:cs="Times New Roman"/>
                <w:sz w:val="20"/>
                <w:szCs w:val="20"/>
                <w:lang w:val="en-US" w:eastAsia="zh-CN"/>
              </w:rPr>
            </w:pPr>
            <w:r>
              <w:rPr>
                <w:rFonts w:hint="default" w:ascii="Times New Roman" w:hAnsi="Times New Roman" w:cs="Times New Roman"/>
                <w:sz w:val="20"/>
                <w:szCs w:val="20"/>
              </w:rPr>
              <w:t xml:space="preserve">Effects of novel glucose-lowering drugs on the </w:t>
            </w:r>
            <w:bookmarkStart w:id="0" w:name="OLE_LINK40"/>
            <w:r>
              <w:rPr>
                <w:rFonts w:hint="default" w:ascii="Times New Roman" w:hAnsi="Times New Roman" w:cs="Times New Roman"/>
                <w:sz w:val="20"/>
                <w:szCs w:val="20"/>
              </w:rPr>
              <w:t>COVID-19 patients with diabetes</w:t>
            </w:r>
            <w:bookmarkEnd w:id="0"/>
            <w:r>
              <w:rPr>
                <w:rFonts w:hint="default" w:ascii="Times New Roman" w:hAnsi="Times New Roman" w:cs="Times New Roman"/>
                <w:sz w:val="20"/>
                <w:szCs w:val="20"/>
              </w:rPr>
              <w:t>: A network meta-analysis of clinical outcomes</w:t>
            </w:r>
            <w:r>
              <w:rPr>
                <w:rFonts w:hint="eastAsia" w:ascii="Times New Roman" w:hAnsi="Times New Roman" w:eastAsia="宋体" w:cs="Times New Roman"/>
                <w:sz w:val="20"/>
                <w:szCs w:val="20"/>
                <w:lang w:val="en-US" w:eastAsia="zh-CN"/>
              </w:rPr>
              <w:t>.</w:t>
            </w:r>
          </w:p>
        </w:tc>
        <w:tc>
          <w:tcPr>
            <w:tcW w:w="0" w:type="auto"/>
            <w:tcBorders>
              <w:left w:val="single" w:color="auto" w:sz="4" w:space="0"/>
            </w:tcBorders>
            <w:shd w:val="clear" w:color="auto" w:fill="D9D9D9"/>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323" w:hRule="atLeast"/>
        </w:trPr>
        <w:tc>
          <w:tcPr>
            <w:tcW w:w="0" w:type="auto"/>
            <w:shd w:val="clear" w:color="auto" w:fill="auto"/>
          </w:tcPr>
          <w:p>
            <w:pPr>
              <w:pStyle w:val="10"/>
              <w:rPr>
                <w:rFonts w:hint="default" w:ascii="Times New Roman" w:hAnsi="Times New Roman" w:cs="Times New Roman"/>
                <w:b/>
                <w:bCs/>
                <w:sz w:val="20"/>
                <w:szCs w:val="20"/>
              </w:rPr>
            </w:pP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323" w:hRule="atLeast"/>
        </w:trPr>
        <w:tc>
          <w:tcPr>
            <w:tcW w:w="0" w:type="auto"/>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b/>
                <w:bCs/>
                <w:sz w:val="20"/>
                <w:szCs w:val="20"/>
              </w:rPr>
              <w:t>ABSTRACT</w:t>
            </w: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810"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Structured summary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2</w:t>
            </w:r>
          </w:p>
        </w:tc>
        <w:tc>
          <w:tcPr>
            <w:tcW w:w="5202" w:type="dxa"/>
            <w:tcBorders>
              <w:right w:val="single" w:color="auto" w:sz="4" w:space="0"/>
            </w:tcBorders>
            <w:shd w:val="clear" w:color="auto" w:fill="auto"/>
          </w:tcPr>
          <w:p>
            <w:pPr>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sz w:val="20"/>
                <w:szCs w:val="20"/>
                <w:lang w:val="en-US" w:eastAsia="zh-CN"/>
              </w:rPr>
            </w:pPr>
            <w:bookmarkStart w:id="1" w:name="OLE_LINK46"/>
            <w:r>
              <w:rPr>
                <w:rFonts w:hint="default" w:ascii="Times New Roman" w:hAnsi="Times New Roman" w:cs="Times New Roman"/>
                <w:b/>
                <w:bCs/>
                <w:sz w:val="20"/>
                <w:szCs w:val="20"/>
              </w:rPr>
              <w:t>Aim</w:t>
            </w:r>
            <w:r>
              <w:rPr>
                <w:rFonts w:hint="default" w:ascii="Times New Roman" w:hAnsi="Times New Roman" w:cs="Times New Roman"/>
                <w:b/>
                <w:bCs/>
                <w:sz w:val="20"/>
                <w:szCs w:val="20"/>
                <w:lang w:val="en-US" w:eastAsia="zh-CN"/>
              </w:rPr>
              <w:t xml:space="preserve">: </w:t>
            </w:r>
            <w:bookmarkStart w:id="2" w:name="OLE_LINK47"/>
            <w:r>
              <w:rPr>
                <w:rFonts w:hint="default" w:ascii="Times New Roman" w:hAnsi="Times New Roman" w:cs="Times New Roman"/>
                <w:sz w:val="20"/>
                <w:szCs w:val="20"/>
              </w:rPr>
              <w:t>This study aimed to assess the effects of sodium-glucose co-transporter inhibitor (SGLT2i), glucagon-like peptide-1 receptor agonists (</w:t>
            </w:r>
            <w:bookmarkStart w:id="3" w:name="OLE_LINK22"/>
            <w:r>
              <w:rPr>
                <w:rFonts w:hint="default" w:ascii="Times New Roman" w:hAnsi="Times New Roman" w:cs="Times New Roman"/>
                <w:sz w:val="20"/>
                <w:szCs w:val="20"/>
              </w:rPr>
              <w:t>GLP</w:t>
            </w:r>
            <w:bookmarkEnd w:id="3"/>
            <w:r>
              <w:rPr>
                <w:rFonts w:hint="default" w:ascii="Times New Roman" w:hAnsi="Times New Roman" w:cs="Times New Roman"/>
                <w:sz w:val="20"/>
                <w:szCs w:val="20"/>
              </w:rPr>
              <w:t>-1RA), and dipeptidyl peptidase-4  inhibitors (DPP4i) on individuals subjected to diabetes and COVID-19</w:t>
            </w:r>
            <w:bookmarkEnd w:id="2"/>
            <w:r>
              <w:rPr>
                <w:rFonts w:hint="default" w:ascii="Times New Roman" w:hAnsi="Times New Roman" w:cs="Times New Roman"/>
                <w:sz w:val="20"/>
                <w:szCs w:val="20"/>
                <w:lang w:val="en-US" w:eastAsia="zh-CN"/>
              </w:rPr>
              <w:t xml:space="preserve">. </w:t>
            </w:r>
            <w:r>
              <w:rPr>
                <w:rFonts w:hint="default" w:ascii="Times New Roman" w:hAnsi="Times New Roman" w:cs="Times New Roman"/>
                <w:b/>
                <w:bCs/>
                <w:sz w:val="20"/>
                <w:szCs w:val="20"/>
              </w:rPr>
              <w:t>Methods</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sz w:val="20"/>
                <w:szCs w:val="20"/>
              </w:rPr>
              <w:t>PubMed, Embase, Web of science, and Cochrane Library were systematically searched to cover studies (except for case reports and review studies) published until August 30, 2022.</w:t>
            </w:r>
            <w:bookmarkStart w:id="4" w:name="OLE_LINK27"/>
            <w:r>
              <w:rPr>
                <w:rFonts w:hint="default" w:ascii="Times New Roman" w:hAnsi="Times New Roman" w:eastAsia="Helvetica" w:cs="Times New Roman"/>
                <w:color w:val="333333"/>
                <w:sz w:val="20"/>
                <w:szCs w:val="20"/>
                <w:shd w:val="clear" w:color="auto" w:fill="FFFFFF"/>
              </w:rPr>
              <w:t> </w:t>
            </w:r>
            <w:r>
              <w:rPr>
                <w:rFonts w:hint="default" w:ascii="Times New Roman" w:hAnsi="Times New Roman" w:cs="Times New Roman"/>
                <w:sz w:val="20"/>
                <w:szCs w:val="20"/>
              </w:rPr>
              <w:t>The primary outcome was the mortality of diabetic COVID-19 patients. The secondary outcomes comprised the requiring intensive care unit (ICU) admission and mechanical ventilation</w:t>
            </w:r>
            <w:bookmarkEnd w:id="4"/>
            <w:r>
              <w:rPr>
                <w:rFonts w:hint="default" w:ascii="Times New Roman" w:hAnsi="Times New Roman" w:cs="Times New Roman"/>
                <w:sz w:val="20"/>
                <w:szCs w:val="20"/>
              </w:rPr>
              <w:t>. Two reviewers independently screened studies, abstracted data, and assessed risk-of-bias.</w:t>
            </w:r>
            <w:bookmarkStart w:id="5" w:name="OLE_LINK15"/>
            <w:r>
              <w:rPr>
                <w:rFonts w:hint="default" w:ascii="Times New Roman" w:hAnsi="Times New Roman" w:cs="Times New Roman"/>
                <w:sz w:val="20"/>
                <w:szCs w:val="20"/>
              </w:rPr>
              <w:t xml:space="preserve"> Furthermore, the network meta-analyses (NMA)</w:t>
            </w:r>
            <w:bookmarkEnd w:id="5"/>
            <w:r>
              <w:rPr>
                <w:rFonts w:hint="default" w:ascii="Times New Roman" w:hAnsi="Times New Roman" w:cs="Times New Roman"/>
                <w:sz w:val="20"/>
                <w:szCs w:val="20"/>
              </w:rPr>
              <w:t xml:space="preserve"> were conducted.</w:t>
            </w:r>
            <w:r>
              <w:rPr>
                <w:rFonts w:hint="default" w:ascii="Times New Roman" w:hAnsi="Times New Roman" w:cs="Times New Roman"/>
                <w:sz w:val="20"/>
                <w:szCs w:val="20"/>
                <w:lang w:val="en-US" w:eastAsia="zh-CN"/>
              </w:rPr>
              <w:t xml:space="preserve"> </w:t>
            </w:r>
            <w:r>
              <w:rPr>
                <w:rFonts w:hint="default" w:ascii="Times New Roman" w:hAnsi="Times New Roman" w:cs="Times New Roman"/>
                <w:b/>
                <w:bCs/>
                <w:sz w:val="20"/>
                <w:szCs w:val="20"/>
              </w:rPr>
              <w:t>Results</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sz w:val="20"/>
                <w:szCs w:val="20"/>
              </w:rPr>
              <w:t xml:space="preserve">A total of 12 trials were involved in the analysis. </w:t>
            </w:r>
            <w:r>
              <w:rPr>
                <w:rFonts w:hint="default" w:ascii="Times New Roman" w:hAnsi="Times New Roman" w:cs="Times New Roman"/>
                <w:color w:val="000000" w:themeColor="text1"/>
                <w:sz w:val="20"/>
                <w:szCs w:val="20"/>
                <w14:textFill>
                  <w14:solidFill>
                    <w14:schemeClr w14:val="tx1"/>
                  </w14:solidFill>
                </w14:textFill>
              </w:rPr>
              <w:t>The OR and 95% CI of mortality for SGLT2i compared with SGLT2i+GLP-1RA and DPP4i was 0.41 (0.17,0.97) and 0.69 (0.49,0.98), respectively. The OR and 95% CI of</w:t>
            </w:r>
            <w:bookmarkStart w:id="6" w:name="OLE_LINK37"/>
            <w:r>
              <w:rPr>
                <w:rFonts w:hint="default" w:ascii="Times New Roman" w:hAnsi="Times New Roman" w:cs="Times New Roman"/>
                <w:color w:val="000000" w:themeColor="text1"/>
                <w:sz w:val="20"/>
                <w:szCs w:val="20"/>
                <w14:textFill>
                  <w14:solidFill>
                    <w14:schemeClr w14:val="tx1"/>
                  </w14:solidFill>
                </w14:textFill>
              </w:rPr>
              <w:t xml:space="preserve"> </w:t>
            </w:r>
            <w:bookmarkStart w:id="7" w:name="OLE_LINK35"/>
            <w:r>
              <w:rPr>
                <w:rFonts w:hint="default" w:ascii="Times New Roman" w:hAnsi="Times New Roman" w:cs="Times New Roman"/>
                <w:color w:val="000000" w:themeColor="text1"/>
                <w:sz w:val="20"/>
                <w:szCs w:val="20"/>
                <w14:textFill>
                  <w14:solidFill>
                    <w14:schemeClr w14:val="tx1"/>
                  </w14:solidFill>
                </w14:textFill>
              </w:rPr>
              <w:t>requiring mechanical ventilation</w:t>
            </w:r>
            <w:bookmarkEnd w:id="6"/>
            <w:bookmarkEnd w:id="7"/>
            <w:r>
              <w:rPr>
                <w:rFonts w:hint="default" w:ascii="Times New Roman" w:hAnsi="Times New Roman" w:cs="Times New Roman"/>
                <w:color w:val="000000" w:themeColor="text1"/>
                <w:sz w:val="20"/>
                <w:szCs w:val="20"/>
                <w14:textFill>
                  <w14:solidFill>
                    <w14:schemeClr w14:val="tx1"/>
                  </w14:solidFill>
                </w14:textFill>
              </w:rPr>
              <w:t xml:space="preserve"> for SGLT2i compared with the DPP4i reached 0.85 (0.75,0.97).</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bCs/>
                <w:sz w:val="20"/>
                <w:szCs w:val="20"/>
              </w:rPr>
              <w:t>Conclusions</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color w:val="auto"/>
                <w:sz w:val="20"/>
                <w:szCs w:val="20"/>
              </w:rPr>
              <w:t>As revealed by the result of this study,</w:t>
            </w:r>
            <w:bookmarkStart w:id="8" w:name="OLE_LINK36"/>
            <w:r>
              <w:rPr>
                <w:rFonts w:hint="default" w:ascii="Times New Roman" w:hAnsi="Times New Roman" w:cs="Times New Roman"/>
                <w:color w:val="auto"/>
                <w:sz w:val="20"/>
                <w:szCs w:val="20"/>
                <w:lang w:val="en-US" w:eastAsia="zh-CN"/>
              </w:rPr>
              <w:t xml:space="preserve"> SGLT2i is associated with lower mortality rate in diabetic COVID-19 patients among novel glucose-lowering drugs.</w:t>
            </w:r>
            <w:bookmarkEnd w:id="8"/>
            <w:r>
              <w:rPr>
                <w:rFonts w:hint="default" w:ascii="Times New Roman" w:hAnsi="Times New Roman" w:cs="Times New Roman"/>
                <w:color w:val="auto"/>
                <w:sz w:val="20"/>
                <w:szCs w:val="20"/>
                <w:lang w:val="en-US" w:eastAsia="zh-CN"/>
              </w:rPr>
              <w:t xml:space="preserve"> And SGLT2i is linked to lower requiring mechanical ventilation. These findings can have a large impact on the clinicians' decisions amid the COVID-19 pandemic.</w:t>
            </w:r>
            <w:bookmarkEnd w:id="1"/>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b/>
                <w:bCs/>
                <w:color w:val="auto"/>
                <w:sz w:val="20"/>
                <w:szCs w:val="20"/>
                <w:lang w:val="en-US" w:eastAsia="zh-CN"/>
              </w:rPr>
              <w:t>Keywords:</w:t>
            </w:r>
            <w:r>
              <w:rPr>
                <w:rFonts w:hint="eastAsia" w:ascii="Times New Roman" w:hAnsi="Times New Roman" w:cs="Times New Roman"/>
                <w:color w:val="auto"/>
                <w:sz w:val="20"/>
                <w:szCs w:val="20"/>
                <w:lang w:val="en-US" w:eastAsia="zh-CN"/>
              </w:rPr>
              <w:t xml:space="preserve"> COVID-19, Diabetes, SGLT2 inhibitors, GLP-1 agonist, DPP-4 inhibitors</w:t>
            </w:r>
          </w:p>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408" w:hRule="atLeast"/>
        </w:trPr>
        <w:tc>
          <w:tcPr>
            <w:tcW w:w="0" w:type="auto"/>
            <w:shd w:val="clear" w:color="auto" w:fill="auto"/>
          </w:tcPr>
          <w:p>
            <w:pPr>
              <w:pStyle w:val="10"/>
              <w:rPr>
                <w:rFonts w:hint="default" w:ascii="Times New Roman" w:hAnsi="Times New Roman" w:cs="Times New Roman"/>
                <w:b/>
                <w:bCs/>
                <w:sz w:val="20"/>
                <w:szCs w:val="20"/>
              </w:rPr>
            </w:pP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408" w:hRule="atLeast"/>
        </w:trPr>
        <w:tc>
          <w:tcPr>
            <w:tcW w:w="0" w:type="auto"/>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b/>
                <w:bCs/>
                <w:sz w:val="20"/>
                <w:szCs w:val="20"/>
              </w:rPr>
              <w:t>INTRODUCTION</w:t>
            </w: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333"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Rationale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3</w:t>
            </w:r>
          </w:p>
        </w:tc>
        <w:tc>
          <w:tcPr>
            <w:tcW w:w="5202" w:type="dxa"/>
            <w:tcBorders>
              <w:right w:val="single" w:color="auto" w:sz="4" w:space="0"/>
            </w:tcBorders>
            <w:shd w:val="clear" w:color="auto" w:fill="D9D9D9"/>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Since the end of 2019, SARS-CoV-2 has emerged as a novel disease-causing microorganism leading to the COVID-19 pandemic. By the end of October 2022, more than 622 million people had been infected with SARS-CoV-2 globally, approximately 6 million of whom died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1</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The COVID-19 pandemic was superimposed on the pre-existing </w:t>
            </w:r>
            <w:bookmarkStart w:id="9" w:name="OLE_LINK5"/>
            <w:r>
              <w:rPr>
                <w:rFonts w:hint="default" w:ascii="Times New Roman" w:hAnsi="Times New Roman" w:cs="Times New Roman"/>
                <w:color w:val="000000" w:themeColor="text1"/>
                <w:sz w:val="20"/>
                <w:szCs w:val="20"/>
                <w14:textFill>
                  <w14:solidFill>
                    <w14:schemeClr w14:val="tx1"/>
                  </w14:solidFill>
                </w14:textFill>
              </w:rPr>
              <w:t>diabetes</w:t>
            </w:r>
            <w:bookmarkEnd w:id="9"/>
            <w:r>
              <w:rPr>
                <w:rFonts w:hint="default" w:ascii="Times New Roman" w:hAnsi="Times New Roman" w:cs="Times New Roman"/>
                <w:color w:val="000000" w:themeColor="text1"/>
                <w:sz w:val="20"/>
                <w:szCs w:val="20"/>
                <w14:textFill>
                  <w14:solidFill>
                    <w14:schemeClr w14:val="tx1"/>
                  </w14:solidFill>
                </w14:textFill>
              </w:rPr>
              <w:t xml:space="preserve"> pandemic, creating a large population of diabetic COVID-19 patients. </w:t>
            </w:r>
          </w:p>
          <w:p>
            <w:pPr>
              <w:pageBreakBefore w:val="0"/>
              <w:widowControl w:val="0"/>
              <w:kinsoku/>
              <w:wordWrap/>
              <w:overflowPunct/>
              <w:topLinePunct w:val="0"/>
              <w:autoSpaceDE/>
              <w:autoSpaceDN w:val="0"/>
              <w:bidi w:val="0"/>
              <w:adjustRightInd/>
              <w:snapToGrid w:val="0"/>
              <w:spacing w:line="240" w:lineRule="auto"/>
              <w:ind w:firstLine="400" w:firstLineChars="200"/>
              <w:jc w:val="left"/>
              <w:textAlignment w:val="bottom"/>
              <w:rPr>
                <w:rFonts w:hint="default" w:ascii="Times New Roman" w:hAnsi="Times New Roman" w:cs="Times New Roman"/>
                <w:color w:val="000000" w:themeColor="text1"/>
                <w:sz w:val="20"/>
                <w:szCs w:val="20"/>
                <w:lang w:val="en-US" w:eastAsia="zh-CN"/>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Existing research has suggested that diabetes is an independent risk factor for worse outcomes and in-hospital mortality in COVID-19 patients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2-5</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In addition, other co-morbidities common to patients with diabetes, such as cardiovascular disease (CVD) and obesity, put COVID-19 patients at greater risk of poor clinical outcomes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6, 7</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Chronic hyperglycemia can impair innate and humoral immunity. In addition, diabetes is correlated with chronic, low-grade inflammatory states that affect glucose regulation and peripheral insulin sensitivit</w:t>
            </w:r>
            <w:bookmarkStart w:id="10" w:name="OLE_LINK34"/>
            <w:r>
              <w:rPr>
                <w:rFonts w:hint="eastAsia" w:ascii="Times New Roman" w:hAnsi="Times New Roman" w:cs="Times New Roman"/>
                <w:color w:val="000000" w:themeColor="text1"/>
                <w:sz w:val="20"/>
                <w:szCs w:val="20"/>
                <w:lang w:val="en-US" w:eastAsia="zh-CN"/>
                <w14:textFill>
                  <w14:solidFill>
                    <w14:schemeClr w14:val="tx1"/>
                  </w14:solidFill>
                </w14:textFill>
              </w:rPr>
              <w:t>y [</w:t>
            </w:r>
            <w:r>
              <w:rPr>
                <w:rFonts w:hint="default" w:ascii="Times New Roman" w:hAnsi="Times New Roman" w:cs="Times New Roman"/>
                <w:color w:val="000000" w:themeColor="text1"/>
                <w:sz w:val="20"/>
                <w:szCs w:val="20"/>
                <w:lang w:val="en-US" w:eastAsia="zh-CN"/>
                <w14:textFill>
                  <w14:solidFill>
                    <w14:schemeClr w14:val="tx1"/>
                  </w14:solidFill>
                </w14:textFill>
              </w:rPr>
              <w:t>8</w:t>
            </w:r>
            <w:bookmarkEnd w:id="10"/>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There is a two-way correlation between COVID-19 and diabetes. Diabetics are at an increased risk of complications when infected with COVID-19; besides, SARS-CoV-2 may serve as a diabetic agent by binding to ACE2 in pancreatic β cells, thus resulting in acute dysfunction and altered glucose regulation</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9</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All approved oral antidiabetic agents can be safe in T2DM patients and COVID-1</w:t>
            </w:r>
            <w:r>
              <w:rPr>
                <w:rFonts w:hint="eastAsia" w:ascii="Times New Roman" w:hAnsi="Times New Roman" w:cs="Times New Roman"/>
                <w:color w:val="000000" w:themeColor="text1"/>
                <w:sz w:val="20"/>
                <w:szCs w:val="20"/>
                <w:lang w:val="en-US" w:eastAsia="zh-CN"/>
                <w14:textFill>
                  <w14:solidFill>
                    <w14:schemeClr w14:val="tx1"/>
                  </w14:solidFill>
                </w14:textFill>
              </w:rPr>
              <w:t>9 [</w:t>
            </w:r>
            <w:r>
              <w:rPr>
                <w:rFonts w:hint="default" w:ascii="Times New Roman" w:hAnsi="Times New Roman" w:cs="Times New Roman"/>
                <w:color w:val="000000" w:themeColor="text1"/>
                <w:sz w:val="20"/>
                <w:szCs w:val="20"/>
                <w:lang w:val="en-US" w:eastAsia="zh-CN"/>
                <w14:textFill>
                  <w14:solidFill>
                    <w14:schemeClr w14:val="tx1"/>
                  </w14:solidFill>
                </w14:textFill>
              </w:rPr>
              <w:t>10</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whereas no conclusive data have been available to indicate a mortality benefit with any class of the above-mentioned drugs in the absence of large randomized controlled trials. However, metabolic management of patients should be optimized to improve outcomes and reduce the burden on health systems. </w:t>
            </w:r>
          </w:p>
          <w:p>
            <w:pPr>
              <w:pageBreakBefore w:val="0"/>
              <w:widowControl w:val="0"/>
              <w:kinsoku/>
              <w:wordWrap/>
              <w:overflowPunct/>
              <w:topLinePunct w:val="0"/>
              <w:autoSpaceDE/>
              <w:bidi w:val="0"/>
              <w:adjustRightInd/>
              <w:snapToGrid w:val="0"/>
              <w:spacing w:line="240" w:lineRule="auto"/>
              <w:ind w:firstLine="400" w:firstLineChars="200"/>
              <w:textAlignment w:val="bottom"/>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Whether commonly used glucose-lowering agents in diabetes patients affect COVID-19 patient prognosis should be determined since the mechanism of action of glucose-lowering drugs may affect the natural course of SARS-CoV-2 infection. Moreover, insights should be gained into whether the above-described drugs are harmful, neutral, or beneficial for COVID-19 patients. Besides, a relatively beneficial treatment option should be urgently selected from the many available for diabetic COVID-19 patients. Existing research has reported that antidiabetic drugs exert antidiabetic effects and anti-inflammatory and immunomodulatory effects</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2, </w:t>
            </w:r>
            <w:r>
              <w:rPr>
                <w:rFonts w:hint="default" w:ascii="Times New Roman" w:hAnsi="Times New Roman" w:cs="Times New Roman"/>
                <w:color w:val="000000" w:themeColor="text1"/>
                <w:sz w:val="20"/>
                <w:szCs w:val="20"/>
                <w:lang w:val="en-US" w:eastAsia="zh-CN"/>
                <w14:textFill>
                  <w14:solidFill>
                    <w14:schemeClr w14:val="tx1"/>
                  </w14:solidFill>
                </w14:textFill>
              </w:rPr>
              <w:t>11</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Numerous studies have investigated the effects of antidiabetic drugs on the clinical outcomes of COVID-19 diabetes patients. Several paired meta-analyses have examined the effects of specific antidiabetic agents on COVID-19 mortality and serious adverse outcomes, which comprise metformin, dipeptidyl peptidase 4 inhibitors (DPP4i), sulfonylureas, as well as insulin and glucagon-like peptide-1 receptor agonists (GLP-1RA)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11</w:t>
            </w:r>
            <w:r>
              <w:rPr>
                <w:rFonts w:hint="default" w:ascii="Times New Roman" w:hAnsi="Times New Roman" w:cs="Times New Roman"/>
                <w:color w:val="000000" w:themeColor="text1"/>
                <w:sz w:val="20"/>
                <w:szCs w:val="20"/>
                <w14:textFill>
                  <w14:solidFill>
                    <w14:schemeClr w14:val="tx1"/>
                  </w14:solidFill>
                </w14:textFill>
              </w:rPr>
              <w:t>-1</w:t>
            </w:r>
            <w:r>
              <w:rPr>
                <w:rFonts w:hint="default" w:ascii="Times New Roman" w:hAnsi="Times New Roman" w:cs="Times New Roman"/>
                <w:color w:val="000000" w:themeColor="text1"/>
                <w:sz w:val="20"/>
                <w:szCs w:val="20"/>
                <w:lang w:val="en-US" w:eastAsia="zh-CN"/>
                <w14:textFill>
                  <w14:solidFill>
                    <w14:schemeClr w14:val="tx1"/>
                  </w14:solidFill>
                </w14:textFill>
              </w:rPr>
              <w:t>3</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However, the above-mentioned studies only compared patients who used specific antidiabetic drugs with non-users. The risk of death between different antidiabetic drugs in the above-described patients remains unclear. </w:t>
            </w:r>
          </w:p>
          <w:p>
            <w:pPr>
              <w:pStyle w:val="10"/>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Sodium-glucose co-transporter inhibitor (SGLT2i), GLP-1RA, and DPP4i have been confirmed as novel glucose-lowering agents for the management of diabetes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1</w:t>
            </w:r>
            <w:r>
              <w:rPr>
                <w:rFonts w:hint="default" w:ascii="Times New Roman" w:hAnsi="Times New Roman" w:cs="Times New Roman"/>
                <w:color w:val="000000" w:themeColor="text1"/>
                <w:sz w:val="20"/>
                <w:szCs w:val="20"/>
                <w:lang w:val="en-US" w:eastAsia="zh-CN"/>
                <w14:textFill>
                  <w14:solidFill>
                    <w14:schemeClr w14:val="tx1"/>
                  </w14:solidFill>
                </w14:textFill>
              </w:rPr>
              <w:t>4</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Novel glucose-lowering medications may reduce adverse COVID-19 outcomes for their anti-inflammatory properties, whereas rare research has systematically investigated the potential role of different pharmacological classes in adverse COVID-19 outcomes </w:t>
            </w:r>
            <w:bookmarkStart w:id="11" w:name="OLE_LINK3"/>
            <w:r>
              <w:rPr>
                <w:rFonts w:hint="default" w:ascii="Times New Roman" w:hAnsi="Times New Roman" w:cs="Times New Roman"/>
                <w:color w:val="000000" w:themeColor="text1"/>
                <w:sz w:val="20"/>
                <w:szCs w:val="20"/>
                <w14:textFill>
                  <w14:solidFill>
                    <w14:schemeClr w14:val="tx1"/>
                  </w14:solidFill>
                </w14:textFill>
              </w:rPr>
              <w:t>thus far</w:t>
            </w:r>
            <w:bookmarkEnd w:id="11"/>
            <w:bookmarkStart w:id="12" w:name="OLE_LINK41"/>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15</w:t>
            </w:r>
            <w:bookmarkEnd w:id="12"/>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0"/>
                <w:szCs w:val="20"/>
                <w14:textFill>
                  <w14:solidFill>
                    <w14:schemeClr w14:val="tx1"/>
                  </w14:solidFill>
                </w14:textFill>
              </w:rPr>
              <w:t xml:space="preserve">Previous research has reported that </w:t>
            </w:r>
            <w:r>
              <w:rPr>
                <w:rFonts w:hint="default" w:ascii="Times New Roman" w:hAnsi="Times New Roman" w:cs="Times New Roman"/>
                <w:color w:val="000000" w:themeColor="text1"/>
                <w:sz w:val="20"/>
                <w:szCs w:val="20"/>
                <w14:textFill>
                  <w14:solidFill>
                    <w14:schemeClr w14:val="tx1"/>
                  </w14:solidFill>
                </w14:textFill>
              </w:rPr>
              <w:t>DPP-4i plays a beneficial role in T2DM patients hospitalized for COVID-19</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15,16</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eastAsia="宋体" w:cs="Times New Roman"/>
                <w:color w:val="000000" w:themeColor="text1"/>
                <w:sz w:val="20"/>
                <w:szCs w:val="20"/>
                <w14:textFill>
                  <w14:solidFill>
                    <w14:schemeClr w14:val="tx1"/>
                  </w14:solidFill>
                </w14:textFill>
              </w:rPr>
              <w:t>.</w:t>
            </w:r>
            <w:r>
              <w:rPr>
                <w:rFonts w:hint="default" w:ascii="Times New Roman" w:hAnsi="Times New Roman" w:eastAsia="宋体"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SGLT2i and GLP-1 RA exhibit several anti-inflammatory properties, which may be correlated with better outcomes</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15,17</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eastAsia="宋体" w:cs="Times New Roman"/>
                <w:color w:val="000000" w:themeColor="text1"/>
                <w:sz w:val="20"/>
                <w:szCs w:val="20"/>
                <w14:textFill>
                  <w14:solidFill>
                    <w14:schemeClr w14:val="tx1"/>
                  </w14:solidFill>
                </w14:textFill>
              </w:rPr>
              <w:t>.</w:t>
            </w:r>
            <w:r>
              <w:rPr>
                <w:rFonts w:hint="default" w:ascii="Times New Roman" w:hAnsi="Times New Roman" w:eastAsia="宋体"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In contrast, safety concerns have been raised for SGLT2i and GLP-1 RA since they up-regulate ACE2 expression, such that SARS-CoV-2 binding to the cells is mediated</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18</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However, RAAS inhibitor drugs, which also up-regulate ACE2 expression, do not appear to be correlated with an increased risk of incident COVID-19 or worse outcomes in prevalent COVID-19</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19</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There are no independent studies assessing the effects of the three novel hypoglycemic agents in diabetic COVID-19 patients. Accordingly, no clear consensus has been reached on using the above three agents in the above-mentioned patients. On that basis, this knowledge gap was filled through network meta-analyses (NMA) and the assessment of </w:t>
            </w:r>
            <w:bookmarkStart w:id="13" w:name="OLE_LINK17"/>
            <w:r>
              <w:rPr>
                <w:rFonts w:hint="default" w:ascii="Times New Roman" w:hAnsi="Times New Roman" w:cs="Times New Roman"/>
                <w:color w:val="000000" w:themeColor="text1"/>
                <w:sz w:val="20"/>
                <w:szCs w:val="20"/>
                <w14:textFill>
                  <w14:solidFill>
                    <w14:schemeClr w14:val="tx1"/>
                  </w14:solidFill>
                </w14:textFill>
              </w:rPr>
              <w:t>three novel glucose-lowering drugs</w:t>
            </w:r>
            <w:bookmarkEnd w:id="13"/>
            <w:r>
              <w:rPr>
                <w:rFonts w:hint="default" w:ascii="Times New Roman" w:hAnsi="Times New Roman" w:cs="Times New Roman"/>
                <w:color w:val="000000" w:themeColor="text1"/>
                <w:sz w:val="20"/>
                <w:szCs w:val="20"/>
                <w14:textFill>
                  <w14:solidFill>
                    <w14:schemeClr w14:val="tx1"/>
                  </w14:solidFill>
                </w14:textFill>
              </w:rPr>
              <w:t xml:space="preserve"> (i.e., SGLT-2i, GLP-1RA, and DPP4i) on mortality and morbidity of severe disease in diabetic COVID-19 patients. Mortality in diabetic COVID-19 patients served as the primary outcome. In terms of the secondary outcome of this study, the incidence of severe disease (requiring intensive care unitadmission; mechanical ventilation) in diabetic COVID-19 patients was also assesse</w:t>
            </w:r>
          </w:p>
        </w:tc>
        <w:tc>
          <w:tcPr>
            <w:tcW w:w="0" w:type="auto"/>
            <w:tcBorders>
              <w:left w:val="single" w:color="auto" w:sz="4" w:space="0"/>
            </w:tcBorders>
            <w:shd w:val="clear" w:color="auto" w:fill="D9D9D9"/>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68"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Objectives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4</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This study aimed to assess the effects of sodium-glucose co-transporter inhibitor (SGLT2i), glucagon-like peptide-1 receptor agonists (GLP-1RA), and dipeptidyl peptidase-4  inhibitors (DPP4i) on individuals subjected to diabetes and COVID-19</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143" w:hRule="atLeast"/>
        </w:trPr>
        <w:tc>
          <w:tcPr>
            <w:tcW w:w="0" w:type="auto"/>
            <w:shd w:val="clear" w:color="auto" w:fill="auto"/>
          </w:tcPr>
          <w:p>
            <w:pPr>
              <w:pStyle w:val="10"/>
              <w:rPr>
                <w:rFonts w:hint="default" w:ascii="Times New Roman" w:hAnsi="Times New Roman" w:cs="Times New Roman"/>
                <w:sz w:val="20"/>
                <w:szCs w:val="20"/>
              </w:rPr>
            </w:pP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68" w:hRule="atLeast"/>
        </w:trPr>
        <w:tc>
          <w:tcPr>
            <w:tcW w:w="0" w:type="auto"/>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b/>
                <w:bCs/>
                <w:sz w:val="20"/>
                <w:szCs w:val="20"/>
              </w:rPr>
              <w:t>METHODS</w:t>
            </w: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78"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Protocol and registration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5</w:t>
            </w:r>
          </w:p>
        </w:tc>
        <w:tc>
          <w:tcPr>
            <w:tcW w:w="5202" w:type="dxa"/>
            <w:tcBorders>
              <w:right w:val="single" w:color="auto" w:sz="4" w:space="0"/>
            </w:tcBorders>
            <w:shd w:val="clear" w:color="auto" w:fill="D9D9D9"/>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The PROSPERO registration number was CRD42022355190.</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Our meta-analysis was consistent with the PRISMA statement</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and also the network meta-analysis extension statement of</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PRISMA </w:t>
            </w:r>
            <w:r>
              <w:rPr>
                <w:rFonts w:hint="default" w:ascii="Times New Roman" w:hAnsi="Times New Roman" w:cs="Times New Roman"/>
                <w:b w:val="0"/>
                <w:bCs w:val="0"/>
                <w:color w:val="000000" w:themeColor="text1"/>
                <w:sz w:val="20"/>
                <w:szCs w:val="20"/>
                <w14:textFill>
                  <w14:solidFill>
                    <w14:schemeClr w14:val="tx1"/>
                  </w14:solidFill>
                </w14:textFill>
              </w:rPr>
              <w:t>(Sup. Table</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1)</w:t>
            </w: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426"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Eligibility criteria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6</w:t>
            </w:r>
          </w:p>
        </w:tc>
        <w:tc>
          <w:tcPr>
            <w:tcW w:w="5202" w:type="dxa"/>
            <w:tcBorders>
              <w:right w:val="single" w:color="auto" w:sz="4" w:space="0"/>
            </w:tcBorders>
            <w:shd w:val="clear" w:color="auto" w:fill="auto"/>
          </w:tcPr>
          <w:p>
            <w:pPr>
              <w:pStyle w:val="3"/>
              <w:pageBreakBefore w:val="0"/>
              <w:widowControl w:val="0"/>
              <w:numPr>
                <w:ilvl w:val="1"/>
                <w:numId w:val="0"/>
              </w:numPr>
              <w:kinsoku/>
              <w:wordWrap/>
              <w:overflowPunct/>
              <w:topLinePunct w:val="0"/>
              <w:bidi w:val="0"/>
              <w:adjustRightInd/>
              <w:spacing w:line="240" w:lineRule="auto"/>
              <w:ind w:leftChars="0"/>
              <w:rPr>
                <w:rFonts w:hint="default" w:ascii="Times New Roman" w:hAnsi="Times New Roman" w:cs="Times New Roman"/>
                <w:sz w:val="20"/>
                <w:szCs w:val="20"/>
              </w:rPr>
            </w:pPr>
            <w:r>
              <w:rPr>
                <w:rFonts w:hint="default" w:ascii="Times New Roman" w:hAnsi="Times New Roman" w:cs="Times New Roman"/>
                <w:b/>
                <w:bCs/>
                <w:color w:val="000000" w:themeColor="text1"/>
                <w:sz w:val="20"/>
                <w:szCs w:val="20"/>
                <w14:textFill>
                  <w14:solidFill>
                    <w14:schemeClr w14:val="tx1"/>
                  </w14:solidFill>
                </w14:textFill>
              </w:rPr>
              <w:t>Inclusion criteria</w:t>
            </w:r>
            <w:bookmarkStart w:id="14" w:name="OLE_LINK51"/>
            <w:r>
              <w:rPr>
                <w:rFonts w:hint="eastAsia" w:cs="Times New Roman"/>
                <w:b/>
                <w:bCs/>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Study type that met the non-randomized trials and observational studies. Study subjects are adults (aged ≥18 years) with diabetic COVID-19. Intervention measures are novel glucose-lowering drugs (e.g., SGLT2i, GLP-1RA, and DPP4i ). All the covered literature should report any one of the primary or secondary outcome indicators, the primary outcome was the mortality of diabetic COVID-19 patients, the secondary outcomes were the requiring intensive care unit (ICU) admission and mechanical ventilation. Studies published in English were searched</w:t>
            </w:r>
            <w:bookmarkEnd w:id="14"/>
            <w:r>
              <w:rPr>
                <w:rFonts w:hint="default" w:ascii="Times New Roman" w:hAnsi="Times New Roman" w:cs="Times New Roman"/>
                <w:b w:val="0"/>
                <w:bCs w:val="0"/>
                <w:color w:val="000000" w:themeColor="text1"/>
                <w:sz w:val="20"/>
                <w:szCs w:val="20"/>
                <w14:textFill>
                  <w14:solidFill>
                    <w14:schemeClr w14:val="tx1"/>
                  </w14:solidFill>
                </w14:textFill>
              </w:rPr>
              <w:t>.</w:t>
            </w:r>
            <w:r>
              <w:rPr>
                <w:rFonts w:hint="eastAsia"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bCs/>
                <w:color w:val="000000" w:themeColor="text1"/>
                <w:sz w:val="20"/>
                <w:szCs w:val="20"/>
                <w14:textFill>
                  <w14:solidFill>
                    <w14:schemeClr w14:val="tx1"/>
                  </w14:solidFill>
                </w14:textFill>
              </w:rPr>
              <w:t>Exclusion criteria</w:t>
            </w:r>
            <w:r>
              <w:rPr>
                <w:rFonts w:hint="eastAsia" w:cs="Times New Roman"/>
                <w:b/>
                <w:bCs/>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Exclusion criteria are presented as follows: case reports, review studies and abstracts, duplicate publications in the literature, literature for which complete data could not be extracted, animal studies, non-adult patient, and non-English language studies.</w:t>
            </w: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78"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Information sources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7</w:t>
            </w:r>
          </w:p>
        </w:tc>
        <w:tc>
          <w:tcPr>
            <w:tcW w:w="5202" w:type="dxa"/>
            <w:tcBorders>
              <w:right w:val="single" w:color="auto" w:sz="4" w:space="0"/>
            </w:tcBorders>
            <w:shd w:val="clear" w:color="auto" w:fill="D9D9D9"/>
          </w:tcPr>
          <w:p>
            <w:pPr>
              <w:pStyle w:val="10"/>
              <w:rPr>
                <w:rFonts w:hint="eastAsia" w:ascii="Times New Roman" w:hAnsi="Times New Roman" w:eastAsia="宋体" w:cs="Times New Roman"/>
                <w:sz w:val="20"/>
                <w:szCs w:val="20"/>
                <w:lang w:val="en-US" w:eastAsia="zh-CN"/>
              </w:rPr>
            </w:pPr>
            <w:r>
              <w:rPr>
                <w:rFonts w:hint="default" w:ascii="Times New Roman" w:hAnsi="Times New Roman" w:cs="Times New Roman"/>
                <w:color w:val="000000" w:themeColor="text1"/>
                <w:sz w:val="20"/>
                <w:szCs w:val="20"/>
                <w14:textFill>
                  <w14:solidFill>
                    <w14:schemeClr w14:val="tx1"/>
                  </w14:solidFill>
                </w14:textFill>
              </w:rPr>
              <w:t>PubMed, Embase, Web of Science, and Cochrane Library were systematically searched for relevant studies up to August 30, 2022</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w:t>
            </w: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303"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Search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8</w:t>
            </w:r>
          </w:p>
        </w:tc>
        <w:tc>
          <w:tcPr>
            <w:tcW w:w="5202" w:type="dxa"/>
            <w:tcBorders>
              <w:right w:val="single" w:color="auto" w:sz="4" w:space="0"/>
            </w:tcBorders>
            <w:shd w:val="clear" w:color="auto" w:fill="auto"/>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Search terms </w:t>
            </w:r>
            <w:bookmarkStart w:id="15" w:name="OLE_LINK29"/>
            <w:r>
              <w:rPr>
                <w:rFonts w:hint="default" w:ascii="Times New Roman" w:hAnsi="Times New Roman" w:cs="Times New Roman"/>
                <w:color w:val="000000" w:themeColor="text1"/>
                <w:sz w:val="20"/>
                <w:szCs w:val="20"/>
                <w14:textFill>
                  <w14:solidFill>
                    <w14:schemeClr w14:val="tx1"/>
                  </w14:solidFill>
                </w14:textFill>
              </w:rPr>
              <w:t>comprised novel glucose-lowering drugs (</w:t>
            </w:r>
            <w:bookmarkEnd w:id="15"/>
            <w:r>
              <w:rPr>
                <w:rFonts w:hint="default" w:ascii="Times New Roman" w:hAnsi="Times New Roman" w:cs="Times New Roman"/>
                <w:color w:val="000000" w:themeColor="text1"/>
                <w:sz w:val="20"/>
                <w:szCs w:val="20"/>
                <w14:textFill>
                  <w14:solidFill>
                    <w14:schemeClr w14:val="tx1"/>
                  </w14:solidFill>
                </w14:textFill>
              </w:rPr>
              <w:t>e.g., SGLT2i, GLP-1RA, and DPP4i), diabetes, and COVID-19.</w:t>
            </w:r>
            <w:r>
              <w:rPr>
                <w:rFonts w:hint="default" w:ascii="Times New Roman" w:hAnsi="Times New Roman" w:cs="Times New Roman"/>
                <w:color w:val="FF0000"/>
                <w:sz w:val="20"/>
                <w:szCs w:val="20"/>
              </w:rPr>
              <w:t xml:space="preserve"> </w:t>
            </w:r>
            <w:r>
              <w:rPr>
                <w:rFonts w:hint="default" w:ascii="Times New Roman" w:hAnsi="Times New Roman" w:cs="Times New Roman"/>
                <w:color w:val="000000" w:themeColor="text1"/>
                <w:sz w:val="20"/>
                <w:szCs w:val="20"/>
                <w14:textFill>
                  <w14:solidFill>
                    <w14:schemeClr w14:val="tx1"/>
                  </w14:solidFill>
                </w14:textFill>
              </w:rPr>
              <w:t>T</w:t>
            </w:r>
            <w:r>
              <w:rPr>
                <w:rFonts w:hint="default" w:ascii="Times New Roman" w:hAnsi="Times New Roman" w:cs="Times New Roman"/>
                <w:b w:val="0"/>
                <w:bCs w:val="0"/>
                <w:color w:val="000000" w:themeColor="text1"/>
                <w:sz w:val="20"/>
                <w:szCs w:val="20"/>
                <w14:textFill>
                  <w14:solidFill>
                    <w14:schemeClr w14:val="tx1"/>
                  </w14:solidFill>
                </w14:textFill>
              </w:rPr>
              <w:t>he detailed and complete search strategy is presented in Sup</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Table</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2</w:t>
            </w:r>
            <w:r>
              <w:rPr>
                <w:rFonts w:hint="default" w:ascii="Times New Roman" w:hAnsi="Times New Roman" w:cs="Times New Roman"/>
                <w:b w:val="0"/>
                <w:bCs w:val="0"/>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Imported the retrieved studies into EndnoteX9 and extracted them by filtering their titles and abstracts. Duplicate studies and multiple reports using the same data were removed. After initial screening, ineligible studies were excluded by reading the complete text, and the final remaining studies were covered.</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78"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Study selection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9</w:t>
            </w:r>
          </w:p>
        </w:tc>
        <w:tc>
          <w:tcPr>
            <w:tcW w:w="5202" w:type="dxa"/>
            <w:tcBorders>
              <w:right w:val="single" w:color="auto" w:sz="4" w:space="0"/>
            </w:tcBorders>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The relevant data were extracted by two independent evaluators (Y</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Y</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LZ </w:t>
            </w:r>
            <w:r>
              <w:rPr>
                <w:rFonts w:hint="default" w:ascii="Times New Roman" w:hAnsi="Times New Roman" w:cs="Times New Roman"/>
                <w:color w:val="000000" w:themeColor="text1"/>
                <w:sz w:val="20"/>
                <w:szCs w:val="20"/>
                <w14:textFill>
                  <w14:solidFill>
                    <w14:schemeClr w14:val="tx1"/>
                  </w14:solidFill>
                </w14:textFill>
              </w:rPr>
              <w:t>) using a predetermined data collection form in accordance with the inclusion criteria.</w:t>
            </w:r>
            <w:bookmarkStart w:id="16" w:name="OLE_LINK2"/>
            <w:r>
              <w:rPr>
                <w:rFonts w:hint="eastAsia" w:ascii="Times New Roman" w:hAnsi="Times New Roman" w:eastAsia="宋体"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Any disagreements</w:t>
            </w:r>
            <w:bookmarkEnd w:id="16"/>
            <w:r>
              <w:rPr>
                <w:rFonts w:hint="default" w:ascii="Times New Roman" w:hAnsi="Times New Roman" w:cs="Times New Roman"/>
                <w:color w:val="000000" w:themeColor="text1"/>
                <w:sz w:val="20"/>
                <w:szCs w:val="20"/>
                <w14:textFill>
                  <w14:solidFill>
                    <w14:schemeClr w14:val="tx1"/>
                  </w14:solidFill>
                </w14:textFill>
              </w:rPr>
              <w:t xml:space="preserve"> in the data extraction process would be resolved through discussions with a third reviewer (</w:t>
            </w:r>
            <w:r>
              <w:rPr>
                <w:rFonts w:hint="default" w:ascii="Times New Roman" w:hAnsi="Times New Roman" w:cs="Times New Roman"/>
                <w:color w:val="000000" w:themeColor="text1"/>
                <w:sz w:val="20"/>
                <w:szCs w:val="20"/>
                <w:lang w:val="en-US" w:eastAsia="zh-CN"/>
                <w14:textFill>
                  <w14:solidFill>
                    <w14:schemeClr w14:val="tx1"/>
                  </w14:solidFill>
                </w14:textFill>
              </w:rPr>
              <w:t>CL</w:t>
            </w:r>
            <w:r>
              <w:rPr>
                <w:rFonts w:hint="default" w:ascii="Times New Roman" w:hAnsi="Times New Roman" w:cs="Times New Roman"/>
                <w:color w:val="000000" w:themeColor="text1"/>
                <w:sz w:val="20"/>
                <w:szCs w:val="20"/>
                <w14:textFill>
                  <w14:solidFill>
                    <w14:schemeClr w14:val="tx1"/>
                  </w14:solidFill>
                </w14:textFill>
              </w:rPr>
              <w:t>).</w:t>
            </w:r>
          </w:p>
        </w:tc>
        <w:tc>
          <w:tcPr>
            <w:tcW w:w="0" w:type="auto"/>
            <w:tcBorders>
              <w:left w:val="single" w:color="auto" w:sz="4" w:space="0"/>
            </w:tcBorders>
            <w:shd w:val="clear" w:color="auto" w:fill="D9D9D9"/>
          </w:tcPr>
          <w:p>
            <w:pPr>
              <w:spacing w:after="0" w:line="240" w:lineRule="auto"/>
              <w:rPr>
                <w:rFonts w:hint="default" w:ascii="Times New Roman" w:hAnsi="Times New Roman" w:cs="Times New Roman"/>
                <w:sz w:val="20"/>
                <w:szCs w:val="20"/>
              </w:rPr>
            </w:pPr>
          </w:p>
        </w:tc>
      </w:tr>
      <w:tr>
        <w:tblPrEx>
          <w:tblCellMar>
            <w:top w:w="0" w:type="dxa"/>
            <w:left w:w="108" w:type="dxa"/>
            <w:bottom w:w="0" w:type="dxa"/>
            <w:right w:w="108" w:type="dxa"/>
          </w:tblCellMar>
        </w:tblPrEx>
        <w:trPr>
          <w:trHeight w:val="578"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Data collection process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10</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The primary data extracted comprised study characteristics (e.g., first author, publication date, country, and study design), characteristics of the patient (e.g., sample size, mean age, and proportion of males), as well as study outcome data. </w:t>
            </w:r>
            <w:r>
              <w:rPr>
                <w:rFonts w:hint="default" w:ascii="Times New Roman" w:hAnsi="Times New Roman" w:cs="Times New Roman"/>
                <w:sz w:val="20"/>
                <w:szCs w:val="20"/>
              </w:rPr>
              <w:t xml:space="preserve"> </w:t>
            </w:r>
          </w:p>
        </w:tc>
        <w:tc>
          <w:tcPr>
            <w:tcW w:w="0" w:type="auto"/>
            <w:tcBorders>
              <w:left w:val="single" w:color="auto" w:sz="4" w:space="0"/>
            </w:tcBorders>
            <w:shd w:val="clear" w:color="auto" w:fill="auto"/>
          </w:tcPr>
          <w:p>
            <w:pPr>
              <w:spacing w:after="0" w:line="240" w:lineRule="auto"/>
              <w:rPr>
                <w:rFonts w:hint="default" w:ascii="Times New Roman" w:hAnsi="Times New Roman" w:cs="Times New Roman"/>
                <w:sz w:val="20"/>
                <w:szCs w:val="20"/>
              </w:rPr>
            </w:pPr>
          </w:p>
        </w:tc>
      </w:tr>
      <w:tr>
        <w:tblPrEx>
          <w:tblCellMar>
            <w:top w:w="0" w:type="dxa"/>
            <w:left w:w="108" w:type="dxa"/>
            <w:bottom w:w="0" w:type="dxa"/>
            <w:right w:w="108" w:type="dxa"/>
          </w:tblCellMar>
        </w:tblPrEx>
        <w:trPr>
          <w:trHeight w:val="578"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Data items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11</w:t>
            </w:r>
          </w:p>
        </w:tc>
        <w:tc>
          <w:tcPr>
            <w:tcW w:w="5202" w:type="dxa"/>
            <w:tcBorders>
              <w:right w:val="single" w:color="auto" w:sz="4" w:space="0"/>
            </w:tcBorders>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 xml:space="preserve">The primary data extracted comprised study characteristics (e.g., first author, publication date, country, and study design), characteristics of the patient (e.g., sample size, mean age, and proportion of males), as well as study outcome data.  </w:t>
            </w:r>
          </w:p>
        </w:tc>
        <w:tc>
          <w:tcPr>
            <w:tcW w:w="0" w:type="auto"/>
            <w:tcBorders>
              <w:left w:val="single" w:color="auto" w:sz="4" w:space="0"/>
            </w:tcBorders>
            <w:shd w:val="clear" w:color="auto" w:fill="D9D9D9"/>
          </w:tcPr>
          <w:p>
            <w:pPr>
              <w:spacing w:after="0" w:line="240" w:lineRule="auto"/>
              <w:rPr>
                <w:rFonts w:hint="default" w:ascii="Times New Roman" w:hAnsi="Times New Roman" w:cs="Times New Roman"/>
                <w:sz w:val="20"/>
                <w:szCs w:val="20"/>
              </w:rPr>
            </w:pPr>
          </w:p>
        </w:tc>
      </w:tr>
      <w:tr>
        <w:tblPrEx>
          <w:tblCellMar>
            <w:top w:w="0" w:type="dxa"/>
            <w:left w:w="108" w:type="dxa"/>
            <w:bottom w:w="0" w:type="dxa"/>
            <w:right w:w="108" w:type="dxa"/>
          </w:tblCellMar>
        </w:tblPrEx>
        <w:trPr>
          <w:trHeight w:val="578" w:hRule="atLeast"/>
        </w:trPr>
        <w:tc>
          <w:tcPr>
            <w:tcW w:w="0" w:type="auto"/>
            <w:shd w:val="clear" w:color="auto" w:fill="auto"/>
          </w:tcPr>
          <w:p>
            <w:pPr>
              <w:pStyle w:val="10"/>
              <w:ind w:left="176"/>
              <w:rPr>
                <w:rFonts w:hint="default" w:ascii="Times New Roman" w:hAnsi="Times New Roman" w:cs="Times New Roman"/>
                <w:b/>
                <w:sz w:val="20"/>
                <w:szCs w:val="20"/>
              </w:rPr>
            </w:pPr>
            <w:r>
              <w:rPr>
                <w:rFonts w:hint="default" w:ascii="Times New Roman" w:hAnsi="Times New Roman" w:cs="Times New Roman"/>
                <w:b/>
                <w:color w:val="000000" w:themeColor="text1"/>
                <w:sz w:val="20"/>
                <w:szCs w:val="20"/>
                <w14:textFill>
                  <w14:solidFill>
                    <w14:schemeClr w14:val="tx1"/>
                  </w14:solidFill>
                </w14:textFill>
              </w:rPr>
              <w:t>Geometry of the network</w:t>
            </w:r>
          </w:p>
        </w:tc>
        <w:tc>
          <w:tcPr>
            <w:tcW w:w="627" w:type="dxa"/>
            <w:shd w:val="clear" w:color="auto" w:fill="auto"/>
          </w:tcPr>
          <w:p>
            <w:pPr>
              <w:pStyle w:val="10"/>
              <w:rPr>
                <w:rFonts w:hint="default" w:ascii="Times New Roman" w:hAnsi="Times New Roman" w:cs="Times New Roman"/>
                <w:b/>
                <w:sz w:val="20"/>
                <w:szCs w:val="20"/>
              </w:rPr>
            </w:pPr>
            <w:r>
              <w:rPr>
                <w:rFonts w:hint="default" w:ascii="Times New Roman" w:hAnsi="Times New Roman" w:cs="Times New Roman"/>
                <w:b/>
                <w:sz w:val="20"/>
                <w:szCs w:val="20"/>
              </w:rPr>
              <w:t>S1</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bookmarkStart w:id="17" w:name="OLE_LINK4"/>
            <w:r>
              <w:rPr>
                <w:rFonts w:hint="default" w:ascii="Times New Roman" w:hAnsi="Times New Roman" w:cs="Times New Roman"/>
                <w:sz w:val="20"/>
                <w:szCs w:val="20"/>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bookmarkEnd w:id="17"/>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78"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Risk of bias within individual studies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12</w:t>
            </w:r>
          </w:p>
        </w:tc>
        <w:tc>
          <w:tcPr>
            <w:tcW w:w="5202" w:type="dxa"/>
            <w:tcBorders>
              <w:right w:val="single" w:color="auto" w:sz="4" w:space="0"/>
            </w:tcBorders>
            <w:shd w:val="clear" w:color="auto" w:fill="D9D9D9"/>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The risk of bias assessment was conducted by two independent authors using the Newcastle-Ottawa Scale (NOS)</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20</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Any disagreements during risk of bias assessment would be resolved by discussion.  </w:t>
            </w: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333"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Summary measures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13</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odds ratio (OR) and 95% confidence interval (CI)</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Planned methods of analysis</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14</w:t>
            </w:r>
          </w:p>
        </w:tc>
        <w:tc>
          <w:tcPr>
            <w:tcW w:w="5202" w:type="dxa"/>
            <w:tcBorders>
              <w:right w:val="single" w:color="auto" w:sz="4" w:space="0"/>
            </w:tcBorders>
            <w:shd w:val="clear" w:color="auto" w:fill="D9D9D9"/>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bookmarkStart w:id="18" w:name="OLE_LINK55"/>
            <w:r>
              <w:rPr>
                <w:rFonts w:hint="default" w:ascii="Times New Roman" w:hAnsi="Times New Roman" w:cs="Times New Roman"/>
                <w:color w:val="000000" w:themeColor="text1"/>
                <w:sz w:val="20"/>
                <w:szCs w:val="20"/>
                <w14:textFill>
                  <w14:solidFill>
                    <w14:schemeClr w14:val="tx1"/>
                  </w14:solidFill>
                </w14:textFill>
              </w:rPr>
              <w:t xml:space="preserve">The ratio (OR) and 95% confidence interval served as the effect size indicators for the dichotomous variables (e.g., mortality, requiring intensive care unit admission, and mechanical ventilation). The heterogeneity between studies was estimated through the </w:t>
            </w:r>
            <w:r>
              <w:rPr>
                <w:rFonts w:hint="default" w:ascii="Times New Roman" w:hAnsi="Times New Roman" w:cs="Times New Roman"/>
                <w:i/>
                <w:iCs/>
                <w:color w:val="000000" w:themeColor="text1"/>
                <w:sz w:val="20"/>
                <w:szCs w:val="20"/>
                <w14:textFill>
                  <w14:solidFill>
                    <w14:schemeClr w14:val="tx1"/>
                  </w14:solidFill>
                </w14:textFill>
              </w:rPr>
              <w:t>I</w:t>
            </w:r>
            <w:r>
              <w:rPr>
                <w:rFonts w:hint="default" w:ascii="Times New Roman" w:hAnsi="Times New Roman" w:cs="Times New Roman"/>
                <w:i/>
                <w:iCs/>
                <w:color w:val="000000" w:themeColor="text1"/>
                <w:sz w:val="20"/>
                <w:szCs w:val="20"/>
                <w:vertAlign w:val="superscript"/>
                <w14:textFill>
                  <w14:solidFill>
                    <w14:schemeClr w14:val="tx1"/>
                  </w14:solidFill>
                </w14:textFill>
              </w:rPr>
              <w:t>2</w:t>
            </w:r>
            <w:r>
              <w:rPr>
                <w:rFonts w:hint="default" w:ascii="Times New Roman" w:hAnsi="Times New Roman" w:cs="Times New Roman"/>
                <w:color w:val="000000" w:themeColor="text1"/>
                <w:sz w:val="20"/>
                <w:szCs w:val="20"/>
                <w14:textFill>
                  <w14:solidFill>
                    <w14:schemeClr w14:val="tx1"/>
                  </w14:solidFill>
                </w14:textFill>
              </w:rPr>
              <w:t xml:space="preserve"> test. After the exclusion of effects exerted by significant clinical heterogeneity, the random-effects model was employed for the meta-analysis</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The network meta-analyses (NMA) were conducted using STATA 16.0 software based on a frequency-based random effects model, in which the study outcome measures were networked by the group command. Data processing, network evidence plots, funnel plots, forest plots, and surface area under the cumulative rankograms (SUCRA) were completed sequentially. The area enclosed by the curve and the horizontal axis in the SUCRA plot can indicate the percentage of treatment effectiveness (SUCRA value), which is ranked without any uncertainty. The ranking of the treatment modality will be improved with the rise of the SUCRA value. Publication bias of the relevant literature was assessed using funnel plots.</w:t>
            </w:r>
            <w:r>
              <w:rPr>
                <w:rFonts w:hint="default" w:ascii="Times New Roman" w:hAnsi="Times New Roman" w:cs="Times New Roman"/>
                <w:i/>
                <w:iCs/>
                <w:color w:val="000000" w:themeColor="text1"/>
                <w:sz w:val="20"/>
                <w:szCs w:val="20"/>
                <w14:textFill>
                  <w14:solidFill>
                    <w14:schemeClr w14:val="tx1"/>
                  </w14:solidFill>
                </w14:textFill>
              </w:rPr>
              <w:t xml:space="preserve"> P</w:t>
            </w:r>
            <w:r>
              <w:rPr>
                <w:rFonts w:hint="default" w:ascii="Times New Roman" w:hAnsi="Times New Roman" w:cs="Times New Roman"/>
                <w:color w:val="000000" w:themeColor="text1"/>
                <w:sz w:val="20"/>
                <w:szCs w:val="20"/>
                <w14:textFill>
                  <w14:solidFill>
                    <w14:schemeClr w14:val="tx1"/>
                  </w14:solidFill>
                </w14:textFill>
              </w:rPr>
              <w:t>&lt;0.05 indicated a difference that achieved statistical significance.</w:t>
            </w:r>
            <w:bookmarkEnd w:id="18"/>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b/>
                <w:sz w:val="20"/>
                <w:szCs w:val="20"/>
              </w:rPr>
            </w:pPr>
            <w:r>
              <w:rPr>
                <w:rFonts w:hint="default" w:ascii="Times New Roman" w:hAnsi="Times New Roman" w:cs="Times New Roman"/>
                <w:b/>
                <w:sz w:val="20"/>
                <w:szCs w:val="20"/>
              </w:rPr>
              <w:t>Assessment of Inconsistency</w:t>
            </w:r>
          </w:p>
        </w:tc>
        <w:tc>
          <w:tcPr>
            <w:tcW w:w="627" w:type="dxa"/>
            <w:shd w:val="clear" w:color="auto" w:fill="auto"/>
          </w:tcPr>
          <w:p>
            <w:pPr>
              <w:pStyle w:val="10"/>
              <w:rPr>
                <w:rFonts w:hint="default" w:ascii="Times New Roman" w:hAnsi="Times New Roman" w:cs="Times New Roman"/>
                <w:b/>
                <w:sz w:val="20"/>
                <w:szCs w:val="20"/>
              </w:rPr>
            </w:pPr>
            <w:r>
              <w:rPr>
                <w:rFonts w:hint="default" w:ascii="Times New Roman" w:hAnsi="Times New Roman" w:cs="Times New Roman"/>
                <w:b/>
                <w:sz w:val="20"/>
                <w:szCs w:val="20"/>
              </w:rPr>
              <w:t>S2</w:t>
            </w:r>
          </w:p>
        </w:tc>
        <w:tc>
          <w:tcPr>
            <w:tcW w:w="5202" w:type="dxa"/>
            <w:tcBorders>
              <w:right w:val="single" w:color="auto" w:sz="4" w:space="0"/>
            </w:tcBorders>
            <w:shd w:val="clear" w:color="auto" w:fill="auto"/>
          </w:tcPr>
          <w:p>
            <w:pPr>
              <w:pStyle w:val="10"/>
              <w:rPr>
                <w:rFonts w:hint="default" w:ascii="Times New Roman" w:hAnsi="Times New Roman" w:cs="Times New Roman"/>
                <w:b/>
                <w:i/>
                <w:sz w:val="20"/>
                <w:szCs w:val="20"/>
              </w:rPr>
            </w:pPr>
            <w:r>
              <w:rPr>
                <w:rFonts w:hint="default" w:ascii="Times New Roman" w:hAnsi="Times New Roman" w:cs="Times New Roman"/>
                <w:sz w:val="20"/>
                <w:szCs w:val="20"/>
              </w:rPr>
              <w:t>The node-splitting was applied to check the existence of inconsistency.</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Risk of bias across studies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15</w:t>
            </w:r>
          </w:p>
        </w:tc>
        <w:tc>
          <w:tcPr>
            <w:tcW w:w="5202" w:type="dxa"/>
            <w:tcBorders>
              <w:right w:val="single" w:color="auto" w:sz="4" w:space="0"/>
            </w:tcBorders>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Funnel plots were performed to detect potential publication bias of the inclusive studies.</w:t>
            </w:r>
          </w:p>
        </w:tc>
        <w:tc>
          <w:tcPr>
            <w:tcW w:w="0" w:type="auto"/>
            <w:tcBorders>
              <w:left w:val="single" w:color="auto" w:sz="4" w:space="0"/>
            </w:tcBorders>
            <w:shd w:val="clear" w:color="auto" w:fill="D9D9D9"/>
          </w:tcPr>
          <w:p>
            <w:pPr>
              <w:pStyle w:val="10"/>
              <w:rPr>
                <w:rFonts w:hint="default" w:ascii="Times New Roman" w:hAnsi="Times New Roman" w:cs="Times New Roman"/>
                <w:b/>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Additional analyses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16</w:t>
            </w:r>
          </w:p>
        </w:tc>
        <w:tc>
          <w:tcPr>
            <w:tcW w:w="5202" w:type="dxa"/>
            <w:tcBorders>
              <w:right w:val="single" w:color="auto" w:sz="4" w:space="0"/>
            </w:tcBorders>
            <w:shd w:val="clear" w:color="auto" w:fill="auto"/>
          </w:tcPr>
          <w:p>
            <w:pPr>
              <w:pStyle w:val="10"/>
              <w:rPr>
                <w:rFonts w:hint="default" w:ascii="Times New Roman" w:hAnsi="Times New Roman" w:cs="Times New Roman"/>
                <w:i/>
                <w:sz w:val="20"/>
                <w:szCs w:val="20"/>
                <w:u w:val="single"/>
              </w:rPr>
            </w:pPr>
            <w:r>
              <w:rPr>
                <w:rFonts w:hint="default" w:ascii="Times New Roman" w:hAnsi="Times New Roman" w:cs="Times New Roman"/>
                <w:sz w:val="20"/>
                <w:szCs w:val="20"/>
              </w:rPr>
              <w:t>NONE</w:t>
            </w:r>
            <w:r>
              <w:rPr>
                <w:rFonts w:hint="default" w:ascii="Times New Roman" w:hAnsi="Times New Roman" w:cs="Times New Roman"/>
                <w:i/>
                <w:sz w:val="20"/>
                <w:szCs w:val="20"/>
                <w:u w:val="single"/>
              </w:rPr>
              <w:t xml:space="preserve"> </w:t>
            </w: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179" w:hRule="atLeast"/>
        </w:trPr>
        <w:tc>
          <w:tcPr>
            <w:tcW w:w="0" w:type="auto"/>
            <w:shd w:val="clear" w:color="auto" w:fill="auto"/>
          </w:tcPr>
          <w:p>
            <w:pPr>
              <w:pStyle w:val="10"/>
              <w:rPr>
                <w:rFonts w:hint="default" w:ascii="Times New Roman" w:hAnsi="Times New Roman" w:cs="Times New Roman"/>
                <w:sz w:val="20"/>
                <w:szCs w:val="20"/>
              </w:rPr>
            </w:pPr>
          </w:p>
          <w:p>
            <w:pPr>
              <w:pStyle w:val="10"/>
              <w:rPr>
                <w:rFonts w:hint="default" w:ascii="Times New Roman" w:hAnsi="Times New Roman" w:cs="Times New Roman"/>
                <w:sz w:val="20"/>
                <w:szCs w:val="20"/>
              </w:rPr>
            </w:pPr>
          </w:p>
          <w:p>
            <w:pPr>
              <w:pStyle w:val="10"/>
              <w:rPr>
                <w:rFonts w:hint="default" w:ascii="Times New Roman" w:hAnsi="Times New Roman" w:cs="Times New Roman"/>
                <w:sz w:val="20"/>
                <w:szCs w:val="20"/>
              </w:rPr>
            </w:pPr>
          </w:p>
          <w:p>
            <w:pPr>
              <w:pStyle w:val="10"/>
              <w:rPr>
                <w:rFonts w:hint="default" w:ascii="Times New Roman" w:hAnsi="Times New Roman" w:cs="Times New Roman"/>
                <w:sz w:val="20"/>
                <w:szCs w:val="20"/>
              </w:rPr>
            </w:pPr>
          </w:p>
          <w:p>
            <w:pPr>
              <w:pStyle w:val="10"/>
              <w:rPr>
                <w:rFonts w:hint="default" w:ascii="Times New Roman" w:hAnsi="Times New Roman" w:cs="Times New Roman"/>
                <w:sz w:val="20"/>
                <w:szCs w:val="20"/>
              </w:rPr>
            </w:pP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b/>
                <w:bCs/>
                <w:sz w:val="20"/>
                <w:szCs w:val="20"/>
              </w:rPr>
              <w:t>RESULTS†</w:t>
            </w: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Study selection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17</w:t>
            </w:r>
          </w:p>
        </w:tc>
        <w:tc>
          <w:tcPr>
            <w:tcW w:w="5202" w:type="dxa"/>
            <w:tcBorders>
              <w:right w:val="single" w:color="auto" w:sz="4" w:space="0"/>
            </w:tcBorders>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In this study, 378 studies were initially searched. 12 studies were finally covered after a hierarchical screeni</w:t>
            </w:r>
            <w:bookmarkStart w:id="19" w:name="OLE_LINK31"/>
            <w:r>
              <w:rPr>
                <w:rFonts w:hint="default" w:ascii="Times New Roman" w:hAnsi="Times New Roman" w:cs="Times New Roman"/>
                <w:color w:val="000000" w:themeColor="text1"/>
                <w:sz w:val="20"/>
                <w:szCs w:val="20"/>
                <w14:textFill>
                  <w14:solidFill>
                    <w14:schemeClr w14:val="tx1"/>
                  </w14:solidFill>
                </w14:textFill>
              </w:rPr>
              <w:t>ng proc</w:t>
            </w:r>
            <w:bookmarkEnd w:id="19"/>
            <w:r>
              <w:rPr>
                <w:rFonts w:hint="default" w:ascii="Times New Roman" w:hAnsi="Times New Roman" w:cs="Times New Roman"/>
                <w:color w:val="000000" w:themeColor="text1"/>
                <w:sz w:val="20"/>
                <w:szCs w:val="20"/>
                <w14:textFill>
                  <w14:solidFill>
                    <w14:schemeClr w14:val="tx1"/>
                  </w14:solidFill>
                </w14:textFill>
              </w:rPr>
              <w:t xml:space="preserve">ess.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1 il</w:t>
            </w:r>
            <w:r>
              <w:rPr>
                <w:rFonts w:hint="default" w:ascii="Times New Roman" w:hAnsi="Times New Roman" w:cs="Times New Roman"/>
                <w:color w:val="000000" w:themeColor="text1"/>
                <w:sz w:val="20"/>
                <w:szCs w:val="20"/>
                <w14:textFill>
                  <w14:solidFill>
                    <w14:schemeClr w14:val="tx1"/>
                  </w14:solidFill>
                </w14:textFill>
              </w:rPr>
              <w:t xml:space="preserve">lustrates the selection of the literature. </w:t>
            </w: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272" w:hRule="atLeast"/>
        </w:trPr>
        <w:tc>
          <w:tcPr>
            <w:tcW w:w="0" w:type="auto"/>
            <w:shd w:val="clear" w:color="auto" w:fill="auto"/>
          </w:tcPr>
          <w:p>
            <w:pPr>
              <w:pStyle w:val="10"/>
              <w:ind w:left="176"/>
              <w:rPr>
                <w:rFonts w:hint="default" w:ascii="Times New Roman" w:hAnsi="Times New Roman" w:cs="Times New Roman"/>
                <w:b/>
                <w:sz w:val="20"/>
                <w:szCs w:val="20"/>
              </w:rPr>
            </w:pPr>
            <w:r>
              <w:rPr>
                <w:rFonts w:hint="default" w:ascii="Times New Roman" w:hAnsi="Times New Roman" w:cs="Times New Roman"/>
                <w:b/>
                <w:sz w:val="20"/>
                <w:szCs w:val="20"/>
              </w:rPr>
              <w:t>Presentation of network structure</w:t>
            </w:r>
          </w:p>
        </w:tc>
        <w:tc>
          <w:tcPr>
            <w:tcW w:w="627" w:type="dxa"/>
            <w:shd w:val="clear" w:color="auto" w:fill="auto"/>
          </w:tcPr>
          <w:p>
            <w:pPr>
              <w:pStyle w:val="10"/>
              <w:rPr>
                <w:rFonts w:hint="default" w:ascii="Times New Roman" w:hAnsi="Times New Roman" w:cs="Times New Roman"/>
                <w:b/>
                <w:sz w:val="20"/>
                <w:szCs w:val="20"/>
              </w:rPr>
            </w:pPr>
            <w:r>
              <w:rPr>
                <w:rFonts w:hint="default" w:ascii="Times New Roman" w:hAnsi="Times New Roman" w:cs="Times New Roman"/>
                <w:b/>
                <w:sz w:val="20"/>
                <w:szCs w:val="20"/>
              </w:rPr>
              <w:t>S3</w:t>
            </w:r>
          </w:p>
        </w:tc>
        <w:tc>
          <w:tcPr>
            <w:tcW w:w="5202" w:type="dxa"/>
            <w:tcBorders>
              <w:right w:val="single" w:color="auto" w:sz="4" w:space="0"/>
            </w:tcBorders>
            <w:shd w:val="clear" w:color="auto" w:fill="auto"/>
          </w:tcPr>
          <w:p>
            <w:pPr>
              <w:pStyle w:val="3"/>
              <w:pageBreakBefore w:val="0"/>
              <w:widowControl w:val="0"/>
              <w:numPr>
                <w:ilvl w:val="1"/>
                <w:numId w:val="0"/>
              </w:numPr>
              <w:kinsoku/>
              <w:wordWrap/>
              <w:overflowPunct/>
              <w:topLinePunct w:val="0"/>
              <w:bidi w:val="0"/>
              <w:adjustRightInd/>
              <w:spacing w:line="240" w:lineRule="auto"/>
              <w:ind w:leftChars="0"/>
              <w:rPr>
                <w:rFonts w:hint="eastAsia" w:cs="Times New Roman"/>
                <w:b w:val="0"/>
                <w:bCs w:val="0"/>
                <w:color w:val="000000" w:themeColor="text1"/>
                <w:sz w:val="20"/>
                <w:szCs w:val="20"/>
                <w:lang w:val="en-US" w:eastAsia="zh-CN"/>
                <w14:textFill>
                  <w14:solidFill>
                    <w14:schemeClr w14:val="tx1"/>
                  </w14:solidFill>
                </w14:textFill>
              </w:rPr>
            </w:pPr>
            <w:r>
              <w:rPr>
                <w:rFonts w:hint="default" w:ascii="Times New Roman" w:hAnsi="Times New Roman" w:cs="Times New Roman"/>
                <w:b/>
                <w:bCs/>
                <w:color w:val="000000" w:themeColor="text1"/>
                <w:sz w:val="20"/>
                <w:szCs w:val="20"/>
                <w14:textFill>
                  <w14:solidFill>
                    <w14:schemeClr w14:val="tx1"/>
                  </w14:solidFill>
                </w14:textFill>
              </w:rPr>
              <w:t>Mortality</w:t>
            </w:r>
            <w:r>
              <w:rPr>
                <w:rFonts w:hint="eastAsia" w:cs="Times New Roman"/>
                <w:b/>
                <w:bCs/>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A total of 12 studies reported mortality rates for five treatment regimens involving novel hypoglycemic agents in diabetic COVID-19 patients. The dot size indicates the size of the sample using the intervention</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and the thickness of the line shows the number of trials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14:textFill>
                  <w14:solidFill>
                    <w14:schemeClr w14:val="tx1"/>
                  </w14:solidFill>
                </w14:textFill>
              </w:rPr>
              <w:t xml:space="preserve"> 2</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A</w:t>
            </w:r>
            <w:r>
              <w:rPr>
                <w:rFonts w:hint="default" w:ascii="Times New Roman" w:hAnsi="Times New Roman" w:cs="Times New Roman"/>
                <w:b w:val="0"/>
                <w:bCs w:val="0"/>
                <w:color w:val="000000" w:themeColor="text1"/>
                <w:sz w:val="20"/>
                <w:szCs w:val="20"/>
                <w14:textFill>
                  <w14:solidFill>
                    <w14:schemeClr w14:val="tx1"/>
                  </w14:solidFill>
                </w14:textFill>
              </w:rPr>
              <w:t>). The closed-loop inconsistency factor (IF) approached 1, as indicated by the result of the consistency test, and the lower limit of 95% CI covered 0, suggesting no significant inconsistency. Sup</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14:textFill>
                  <w14:solidFill>
                    <w14:schemeClr w14:val="tx1"/>
                  </w14:solidFill>
                </w14:textFill>
              </w:rPr>
              <w:t xml:space="preserve"> 1 presents the results of the consistency test.</w:t>
            </w:r>
            <w:r>
              <w:rPr>
                <w:rFonts w:hint="eastAsia" w:cs="Times New Roman"/>
                <w:b w:val="0"/>
                <w:bCs w:val="0"/>
                <w:color w:val="000000" w:themeColor="text1"/>
                <w:sz w:val="20"/>
                <w:szCs w:val="20"/>
                <w:lang w:val="en-US" w:eastAsia="zh-CN"/>
                <w14:textFill>
                  <w14:solidFill>
                    <w14:schemeClr w14:val="tx1"/>
                  </w14:solidFill>
                </w14:textFill>
              </w:rPr>
              <w:t xml:space="preserve"> </w:t>
            </w:r>
            <w:r>
              <w:rPr>
                <w:rFonts w:hint="eastAsia" w:cs="Times New Roman"/>
                <w:b/>
                <w:bCs/>
                <w:color w:val="000000" w:themeColor="text1"/>
                <w:sz w:val="20"/>
                <w:szCs w:val="20"/>
                <w:lang w:val="en-US" w:eastAsia="zh-CN"/>
                <w14:textFill>
                  <w14:solidFill>
                    <w14:schemeClr w14:val="tx1"/>
                  </w14:solidFill>
                </w14:textFill>
              </w:rPr>
              <w:t>ICU:</w:t>
            </w:r>
            <w:r>
              <w:rPr>
                <w:rFonts w:hint="eastAsia" w:cs="Times New Roman"/>
                <w:b w:val="0"/>
                <w:bCs w:val="0"/>
                <w:color w:val="000000" w:themeColor="text1"/>
                <w:sz w:val="20"/>
                <w:szCs w:val="20"/>
                <w:lang w:val="en-US" w:eastAsia="zh-CN"/>
                <w14:textFill>
                  <w14:solidFill>
                    <w14:schemeClr w14:val="tx1"/>
                  </w14:solidFill>
                </w14:textFill>
              </w:rPr>
              <w:t xml:space="preserve"> Three studies report the endpoint of four treatment regimens involving novel hypoglycemic agents in diabetic COVID-19 patients requiring intensive care unit (ICU) admission. The dot size indicates the size of the sample using the intervention, and the thickness of the line represents the number of trials, forming a closed loop (Fig. 2B).</w:t>
            </w:r>
            <w:r>
              <w:rPr>
                <w:rFonts w:hint="eastAsia" w:cs="Times New Roman"/>
                <w:b/>
                <w:bCs/>
                <w:color w:val="000000" w:themeColor="text1"/>
                <w:sz w:val="20"/>
                <w:szCs w:val="20"/>
                <w:lang w:val="en-US" w:eastAsia="zh-CN"/>
                <w14:textFill>
                  <w14:solidFill>
                    <w14:schemeClr w14:val="tx1"/>
                  </w14:solidFill>
                </w14:textFill>
              </w:rPr>
              <w:t xml:space="preserve"> Mechanical ventilation: </w:t>
            </w:r>
            <w:r>
              <w:rPr>
                <w:rFonts w:hint="eastAsia" w:cs="Times New Roman"/>
                <w:b w:val="0"/>
                <w:bCs w:val="0"/>
                <w:color w:val="000000" w:themeColor="text1"/>
                <w:sz w:val="20"/>
                <w:szCs w:val="20"/>
                <w:lang w:val="en-US" w:eastAsia="zh-CN"/>
                <w14:textFill>
                  <w14:solidFill>
                    <w14:schemeClr w14:val="tx1"/>
                  </w14:solidFill>
                </w14:textFill>
              </w:rPr>
              <w:t>Two studies report the endpoint of three treatment regimens involving novel hypoglycemic agents in diabetic COVID-19 patients requiring mechanical ventilation. The dot size indicates the size of the sample using the intervention, and the thickness of the line represents the number of trials, forming a closed loop (Fig. 2C).</w:t>
            </w:r>
          </w:p>
          <w:p>
            <w:pPr>
              <w:pStyle w:val="3"/>
              <w:pageBreakBefore w:val="0"/>
              <w:widowControl w:val="0"/>
              <w:numPr>
                <w:ilvl w:val="1"/>
                <w:numId w:val="0"/>
              </w:numPr>
              <w:kinsoku/>
              <w:wordWrap/>
              <w:overflowPunct/>
              <w:topLinePunct w:val="0"/>
              <w:bidi w:val="0"/>
              <w:adjustRightInd/>
              <w:spacing w:line="240" w:lineRule="auto"/>
              <w:ind w:leftChars="0"/>
              <w:rPr>
                <w:rFonts w:hint="default" w:ascii="Times New Roman" w:hAnsi="Times New Roman" w:eastAsia="等线 Light" w:cs="Times New Roman"/>
                <w:sz w:val="20"/>
                <w:szCs w:val="20"/>
                <w:lang w:val="en-US" w:eastAsia="zh-CN"/>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b/>
                <w:sz w:val="20"/>
                <w:szCs w:val="20"/>
              </w:rPr>
            </w:pPr>
            <w:r>
              <w:rPr>
                <w:rFonts w:hint="default" w:ascii="Times New Roman" w:hAnsi="Times New Roman" w:cs="Times New Roman"/>
                <w:b/>
                <w:sz w:val="20"/>
                <w:szCs w:val="20"/>
              </w:rPr>
              <w:t>Summary of network geometry</w:t>
            </w:r>
          </w:p>
        </w:tc>
        <w:tc>
          <w:tcPr>
            <w:tcW w:w="627" w:type="dxa"/>
            <w:shd w:val="clear" w:color="auto" w:fill="D9D9D9"/>
          </w:tcPr>
          <w:p>
            <w:pPr>
              <w:pStyle w:val="10"/>
              <w:rPr>
                <w:rFonts w:hint="default" w:ascii="Times New Roman" w:hAnsi="Times New Roman" w:cs="Times New Roman"/>
                <w:b/>
                <w:sz w:val="20"/>
                <w:szCs w:val="20"/>
              </w:rPr>
            </w:pPr>
            <w:r>
              <w:rPr>
                <w:rFonts w:hint="default" w:ascii="Times New Roman" w:hAnsi="Times New Roman" w:cs="Times New Roman"/>
                <w:b/>
                <w:sz w:val="20"/>
                <w:szCs w:val="20"/>
              </w:rPr>
              <w:t>S4</w:t>
            </w:r>
          </w:p>
        </w:tc>
        <w:tc>
          <w:tcPr>
            <w:tcW w:w="5202" w:type="dxa"/>
            <w:tcBorders>
              <w:right w:val="single" w:color="auto" w:sz="4" w:space="0"/>
            </w:tcBorders>
            <w:shd w:val="clear" w:color="auto" w:fill="D9D9D9"/>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Times New Roman" w:hAnsi="Times New Roman" w:cs="Times New Roman"/>
                <w:color w:val="000000" w:themeColor="text1"/>
                <w:sz w:val="20"/>
                <w:szCs w:val="20"/>
                <w:lang w:val="en-US" w:eastAsia="zh-CN"/>
                <w14:textFill>
                  <w14:solidFill>
                    <w14:schemeClr w14:val="tx1"/>
                  </w14:solidFill>
                </w14:textFill>
              </w:rPr>
            </w:pPr>
            <w:r>
              <w:rPr>
                <w:rFonts w:hint="default" w:ascii="Times New Roman" w:hAnsi="Times New Roman" w:cs="Times New Roman"/>
                <w:b/>
                <w:bCs/>
                <w:color w:val="000000" w:themeColor="text1"/>
                <w:sz w:val="20"/>
                <w:szCs w:val="20"/>
                <w14:textFill>
                  <w14:solidFill>
                    <w14:schemeClr w14:val="tx1"/>
                  </w14:solidFill>
                </w14:textFill>
              </w:rPr>
              <w:t>Mortality</w:t>
            </w:r>
            <w:r>
              <w:rPr>
                <w:rFonts w:hint="eastAsia" w:cs="Times New Roman"/>
                <w:b/>
                <w:bCs/>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Mortality was reported in 12 studies involving five treatment regimens, and network comparisons among the above-mentioned regimens yielded ten pairwise comparisons, of which two were statistically significant.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The OR and 95% CI for SGLT2 compared with SGLT2i+GLP-1RA and DPP4i was 0.41 (0.17,0.97) and 0.69 (0.49,0.98), respectively, as shown in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4</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A</w:t>
            </w:r>
            <w:r>
              <w:rPr>
                <w:rFonts w:hint="default" w:ascii="Times New Roman" w:hAnsi="Times New Roman" w:cs="Times New Roman"/>
                <w:b w:val="0"/>
                <w:bCs w:val="0"/>
                <w:color w:val="000000" w:themeColor="text1"/>
                <w:sz w:val="20"/>
                <w:szCs w:val="20"/>
                <w14:textFill>
                  <w14:solidFill>
                    <w14:schemeClr w14:val="tx1"/>
                  </w14:solidFill>
                </w14:textFill>
              </w:rPr>
              <w:t>. The forest plots shown in Sup</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w:t>
            </w:r>
            <w:r>
              <w:rPr>
                <w:rFonts w:hint="default" w:ascii="Times New Roman" w:hAnsi="Times New Roman" w:cs="Times New Roman"/>
                <w:b w:val="0"/>
                <w:bCs w:val="0"/>
                <w:color w:val="000000" w:themeColor="text1"/>
                <w:sz w:val="20"/>
                <w:szCs w:val="20"/>
                <w14:textFill>
                  <w14:solidFill>
                    <w14:schemeClr w14:val="tx1"/>
                  </w14:solidFill>
                </w14:textFill>
              </w:rPr>
              <w:t xml:space="preserve">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14:textFill>
                  <w14:solidFill>
                    <w14:schemeClr w14:val="tx1"/>
                  </w14:solidFill>
                </w14:textFill>
              </w:rPr>
              <w:t xml:space="preserve"> 2.</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bookmarkStart w:id="20" w:name="OLE_LINK8"/>
            <w:r>
              <w:rPr>
                <w:rFonts w:hint="default" w:ascii="Times New Roman" w:hAnsi="Times New Roman" w:cs="Times New Roman"/>
                <w:b w:val="0"/>
                <w:bCs w:val="0"/>
                <w:color w:val="000000" w:themeColor="text1"/>
                <w:sz w:val="20"/>
                <w:szCs w:val="20"/>
                <w14:textFill>
                  <w14:solidFill>
                    <w14:schemeClr w14:val="tx1"/>
                  </w14:solidFill>
                </w14:textFill>
              </w:rPr>
              <w:t>The ranking of the five treatment options involving novel hypoglycemic agents, based on the area under the SUCRA curve, was as follows: SGLT2i</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&gt; GLP-1RA &gt; DPP4i &gt; non-DPP4i &gt; SGLT2i+GLP-1RA</w:t>
            </w:r>
            <w:bookmarkEnd w:id="20"/>
            <w:r>
              <w:rPr>
                <w:rFonts w:hint="default" w:ascii="Times New Roman" w:hAnsi="Times New Roman" w:cs="Times New Roman"/>
                <w:b w:val="0"/>
                <w:bCs w:val="0"/>
                <w:color w:val="000000" w:themeColor="text1"/>
                <w:sz w:val="20"/>
                <w:szCs w:val="20"/>
                <w14:textFill>
                  <w14:solidFill>
                    <w14:schemeClr w14:val="tx1"/>
                  </w14:solidFill>
                </w14:textFill>
              </w:rPr>
              <w:t xml:space="preserve">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 xml:space="preserve"> 5A</w:t>
            </w:r>
            <w:r>
              <w:rPr>
                <w:rFonts w:hint="default" w:ascii="Times New Roman" w:hAnsi="Times New Roman" w:cs="Times New Roman"/>
                <w:b w:val="0"/>
                <w:bCs w:val="0"/>
                <w:color w:val="000000" w:themeColor="text1"/>
                <w:sz w:val="20"/>
                <w:szCs w:val="20"/>
                <w14:textFill>
                  <w14:solidFill>
                    <w14:schemeClr w14:val="tx1"/>
                  </w14:solidFill>
                </w14:textFill>
              </w:rPr>
              <w:t>).</w:t>
            </w: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b/>
                <w:bCs/>
                <w:color w:val="000000" w:themeColor="text1"/>
                <w:sz w:val="20"/>
                <w:szCs w:val="20"/>
                <w:lang w:val="en-US" w:eastAsia="zh-CN"/>
                <w14:textFill>
                  <w14:solidFill>
                    <w14:schemeClr w14:val="tx1"/>
                  </w14:solidFill>
                </w14:textFill>
              </w:rPr>
              <w:t xml:space="preserve">ICU: </w:t>
            </w:r>
            <w:r>
              <w:rPr>
                <w:rFonts w:hint="eastAsia" w:ascii="Times New Roman" w:hAnsi="Times New Roman" w:cs="Times New Roman"/>
                <w:color w:val="000000" w:themeColor="text1"/>
                <w:sz w:val="20"/>
                <w:szCs w:val="20"/>
                <w:lang w:val="en-US" w:eastAsia="zh-CN"/>
                <w14:textFill>
                  <w14:solidFill>
                    <w14:schemeClr w14:val="tx1"/>
                  </w14:solidFill>
                </w14:textFill>
              </w:rPr>
              <w:t>Three studies reported requiring ICU admission involving four treatment options, and network comparisons among the above-described treatment options yielded a total of six pairwise comparisons, none of which were statistically significant (Fig. 4B). The forest plots shown in Sup. Fig. 2.</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z w:val="20"/>
                <w:szCs w:val="20"/>
                <w:lang w:val="en-US" w:eastAsia="zh-CN"/>
              </w:rPr>
            </w:pPr>
            <w:r>
              <w:rPr>
                <w:rFonts w:hint="eastAsia" w:ascii="Times New Roman" w:hAnsi="Times New Roman" w:cs="Times New Roman"/>
                <w:color w:val="000000" w:themeColor="text1"/>
                <w:sz w:val="20"/>
                <w:szCs w:val="20"/>
                <w:lang w:val="en-US" w:eastAsia="zh-CN"/>
                <w14:textFill>
                  <w14:solidFill>
                    <w14:schemeClr w14:val="tx1"/>
                  </w14:solidFill>
                </w14:textFill>
              </w:rPr>
              <w:t xml:space="preserve">SUCRA Probability Ranking. Based on the area under the SUCRA curve, the four treatment options involving novel hypoglycemic agents were ranked as follows: SGLT2i &gt; DPP4i &gt; non-DPP4i &gt; GLP-1RA (Fig. 5B). </w:t>
            </w:r>
            <w:bookmarkStart w:id="21" w:name="OLE_LINK6"/>
            <w:r>
              <w:rPr>
                <w:rFonts w:hint="default" w:ascii="Times New Roman" w:hAnsi="Times New Roman" w:cs="Times New Roman"/>
                <w:b/>
                <w:bCs/>
                <w:color w:val="000000" w:themeColor="text1"/>
                <w:sz w:val="20"/>
                <w:szCs w:val="20"/>
                <w:lang w:val="en-US" w:eastAsia="zh-CN"/>
                <w14:textFill>
                  <w14:solidFill>
                    <w14:schemeClr w14:val="tx1"/>
                  </w14:solidFill>
                </w14:textFill>
              </w:rPr>
              <w:t>Mechanical ventilation:</w:t>
            </w:r>
            <w:bookmarkEnd w:id="21"/>
            <w:r>
              <w:rPr>
                <w:rFonts w:hint="eastAsia" w:ascii="Times New Roman" w:hAnsi="Times New Roman" w:cs="Times New Roman"/>
                <w:b/>
                <w:bCs/>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Requiring mechanical ventilation was reported in 2 studies involving three treatment regimens, and network comparisons among the above-mentioned regimens yielded a total of 3 pairwise comparisons, of which one was statistically significant. The OR and 95% CI for SGLT2i compared with the DPP4i group reached 0.85 (0.75,0.97) (Fig. 4C). The forest plots are presented in Sup. Fig. 2. The ranking of the three therapeutic regimens involving novel hypoglycemic agents in accordance with the area under the SUCRA curve follows a descending order as follows: SGLT2i &gt; GLP-1RA &gt; DPP4i (Fig. 5C).</w:t>
            </w:r>
          </w:p>
        </w:tc>
        <w:tc>
          <w:tcPr>
            <w:tcW w:w="0" w:type="auto"/>
            <w:tcBorders>
              <w:left w:val="single" w:color="auto" w:sz="4" w:space="0"/>
            </w:tcBorders>
            <w:shd w:val="clear" w:color="auto" w:fill="D9D9D9"/>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Study characteristics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18</w:t>
            </w:r>
          </w:p>
        </w:tc>
        <w:tc>
          <w:tcPr>
            <w:tcW w:w="5202" w:type="dxa"/>
            <w:tcBorders>
              <w:right w:val="single" w:color="auto" w:sz="4" w:space="0"/>
            </w:tcBorders>
            <w:shd w:val="clear" w:color="auto" w:fill="auto"/>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A total of 12 studies were covered in the literature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21</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32</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including 52148 patients. A total of seven retrospective cohort studies, three cross-sectional studies, one combined prospective and retrospective cohort study, and one Case series were involved. </w:t>
            </w:r>
            <w:r>
              <w:rPr>
                <w:rFonts w:hint="default" w:ascii="Times New Roman" w:hAnsi="Times New Roman" w:cs="Times New Roman"/>
                <w:b w:val="0"/>
                <w:bCs w:val="0"/>
                <w:color w:val="000000" w:themeColor="text1"/>
                <w:sz w:val="20"/>
                <w:szCs w:val="20"/>
                <w14:textFill>
                  <w14:solidFill>
                    <w14:schemeClr w14:val="tx1"/>
                  </w14:solidFill>
                </w14:textFill>
              </w:rPr>
              <w:t>Table 1</w:t>
            </w:r>
            <w:r>
              <w:rPr>
                <w:rFonts w:hint="default" w:ascii="Times New Roman" w:hAnsi="Times New Roman" w:cs="Times New Roman"/>
                <w:b/>
                <w:bCs/>
                <w:color w:val="000000" w:themeColor="text1"/>
                <w:sz w:val="20"/>
                <w:szCs w:val="20"/>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lists</w:t>
            </w:r>
            <w:r>
              <w:rPr>
                <w:rFonts w:hint="default" w:ascii="Times New Roman" w:hAnsi="Times New Roman" w:cs="Times New Roman"/>
                <w:b/>
                <w:bCs/>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the characteristics of the included studies.</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Risk of bias within studies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19</w:t>
            </w:r>
          </w:p>
        </w:tc>
        <w:tc>
          <w:tcPr>
            <w:tcW w:w="5202" w:type="dxa"/>
            <w:tcBorders>
              <w:right w:val="single" w:color="auto" w:sz="4" w:space="0"/>
            </w:tcBorders>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The Newcastle-Ottawa Quality Assessment measured studies quality. The quality scores of the studies ranged from seven to eight stars</w:t>
            </w:r>
            <w:r>
              <w:rPr>
                <w:rFonts w:hint="default" w:ascii="Times New Roman" w:hAnsi="Times New Roman" w:cs="Times New Roman"/>
                <w:b w:val="0"/>
                <w:bCs w:val="0"/>
                <w:color w:val="000000" w:themeColor="text1"/>
                <w:sz w:val="20"/>
                <w:szCs w:val="20"/>
                <w14:textFill>
                  <w14:solidFill>
                    <w14:schemeClr w14:val="tx1"/>
                  </w14:solidFill>
                </w14:textFill>
              </w:rPr>
              <w:t xml:space="preserve"> (</w:t>
            </w:r>
            <w:bookmarkStart w:id="22" w:name="OLE_LINK25"/>
            <w:r>
              <w:rPr>
                <w:rFonts w:hint="default" w:ascii="Times New Roman" w:hAnsi="Times New Roman" w:cs="Times New Roman"/>
                <w:b w:val="0"/>
                <w:bCs w:val="0"/>
                <w:color w:val="000000" w:themeColor="text1"/>
                <w:sz w:val="20"/>
                <w:szCs w:val="20"/>
                <w14:textFill>
                  <w14:solidFill>
                    <w14:schemeClr w14:val="tx1"/>
                  </w14:solidFill>
                </w14:textFill>
              </w:rPr>
              <w:t>Sup</w:t>
            </w:r>
            <w:bookmarkEnd w:id="22"/>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0"/>
                <w:szCs w:val="20"/>
                <w14:textFill>
                  <w14:solidFill>
                    <w14:schemeClr w14:val="tx1"/>
                  </w14:solidFill>
                </w14:textFill>
              </w:rPr>
              <w:t xml:space="preserve">Table </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3</w:t>
            </w:r>
            <w:r>
              <w:rPr>
                <w:rFonts w:hint="default" w:ascii="Times New Roman" w:hAnsi="Times New Roman" w:cs="Times New Roman"/>
                <w:b w:val="0"/>
                <w:bCs w:val="0"/>
                <w:color w:val="000000" w:themeColor="text1"/>
                <w:sz w:val="20"/>
                <w:szCs w:val="20"/>
                <w14:textFill>
                  <w14:solidFill>
                    <w14:schemeClr w14:val="tx1"/>
                  </w14:solidFill>
                </w14:textFill>
              </w:rPr>
              <w:t>).</w:t>
            </w: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Results of individual studies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20</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bookmarkStart w:id="23" w:name="OLE_LINK58"/>
            <w:r>
              <w:rPr>
                <w:rFonts w:hint="default" w:ascii="Times New Roman" w:hAnsi="Times New Roman" w:cs="Times New Roman"/>
                <w:color w:val="000000" w:themeColor="text1"/>
                <w:sz w:val="20"/>
                <w:szCs w:val="20"/>
                <w14:textFill>
                  <w14:solidFill>
                    <w14:schemeClr w14:val="tx1"/>
                  </w14:solidFill>
                </w14:textFill>
              </w:rPr>
              <w:t xml:space="preserve">A total of 12 studies were covered in the literature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21</w:t>
            </w:r>
            <w:r>
              <w:rPr>
                <w:rFonts w:hint="default" w:ascii="Times New Roman" w:hAnsi="Times New Roman" w:cs="Times New Roman"/>
                <w:color w:val="000000" w:themeColor="text1"/>
                <w:sz w:val="20"/>
                <w:szCs w:val="20"/>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32</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including 52148 patients. A total of seven retrospective cohort studies, three cross-sectional studies, one combined prospective and retrospective cohort study, and one Case series were involved.</w:t>
            </w:r>
            <w:bookmarkEnd w:id="23"/>
            <w:r>
              <w:rPr>
                <w:rFonts w:hint="eastAsia" w:ascii="Times New Roman" w:hAnsi="Times New Roman" w:eastAsia="宋体" w:cs="Times New Roman"/>
                <w:color w:val="000000" w:themeColor="text1"/>
                <w:sz w:val="20"/>
                <w:szCs w:val="20"/>
                <w:lang w:val="en-US" w:eastAsia="zh-CN"/>
                <w14:textFill>
                  <w14:solidFill>
                    <w14:schemeClr w14:val="tx1"/>
                  </w14:solidFill>
                </w14:textFill>
              </w:rPr>
              <w:t xml:space="preserve"> A</w:t>
            </w:r>
            <w:r>
              <w:rPr>
                <w:rFonts w:hint="default" w:ascii="Times New Roman" w:hAnsi="Times New Roman" w:cs="Times New Roman"/>
                <w:sz w:val="20"/>
                <w:szCs w:val="20"/>
              </w:rPr>
              <w:t xml:space="preserve">nd </w:t>
            </w:r>
            <w:r>
              <w:rPr>
                <w:rFonts w:hint="eastAsia" w:ascii="Times New Roman" w:hAnsi="Times New Roman" w:eastAsia="宋体" w:cs="Times New Roman"/>
                <w:sz w:val="20"/>
                <w:szCs w:val="20"/>
                <w:lang w:val="en-US" w:eastAsia="zh-CN"/>
              </w:rPr>
              <w:t>3</w:t>
            </w:r>
            <w:r>
              <w:rPr>
                <w:rFonts w:hint="default" w:ascii="Times New Roman" w:hAnsi="Times New Roman" w:cs="Times New Roman"/>
                <w:sz w:val="20"/>
                <w:szCs w:val="20"/>
              </w:rPr>
              <w:t xml:space="preserve"> interventions including sodium-glucose co-transporter inhibitor (SGLT2i), glucagon-like peptide-1 receptor agonists (GLP-1RA), and dipeptidyl peptidase-4  inhibitors (DPP4i) on individuals subjected to diabetes and COVID-19</w:t>
            </w:r>
            <w:r>
              <w:rPr>
                <w:rFonts w:hint="default" w:ascii="Times New Roman" w:hAnsi="Times New Roman" w:cs="Times New Roman"/>
                <w:sz w:val="20"/>
                <w:szCs w:val="20"/>
                <w:lang w:val="en-US" w:eastAsia="zh-CN"/>
              </w:rPr>
              <w:t>.</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r>
              <w:rPr>
                <w:rFonts w:hint="default" w:ascii="Times New Roman" w:hAnsi="Times New Roman" w:cs="Times New Roman"/>
                <w:b/>
                <w:i/>
                <w:color w:val="auto"/>
                <w:sz w:val="20"/>
                <w:szCs w:val="20"/>
              </w:rPr>
              <w:t xml:space="preserve"> </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Synthesis of results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21</w:t>
            </w:r>
          </w:p>
        </w:tc>
        <w:tc>
          <w:tcPr>
            <w:tcW w:w="5202" w:type="dxa"/>
            <w:tcBorders>
              <w:right w:val="single" w:color="auto" w:sz="4" w:space="0"/>
            </w:tcBorders>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 xml:space="preserve">A total of 12 trials were involved in the analysis. </w:t>
            </w:r>
            <w:r>
              <w:rPr>
                <w:rFonts w:hint="default" w:ascii="Times New Roman" w:hAnsi="Times New Roman" w:cs="Times New Roman"/>
                <w:color w:val="000000" w:themeColor="text1"/>
                <w:sz w:val="20"/>
                <w:szCs w:val="20"/>
                <w14:textFill>
                  <w14:solidFill>
                    <w14:schemeClr w14:val="tx1"/>
                  </w14:solidFill>
                </w14:textFill>
              </w:rPr>
              <w:t>The OR and 95% CI of mortality for SGLT2i compared with SGLT2i+GLP-1RA and DPP4i was 0.41 (0.17,0.97) and 0.69 (0.49,0.98), respectively. The OR and 95% CI of requiring mechanical ventilation for SGLT2i compared with the DPP4i reached 0.85 (0.75,0.97).</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p>
        </w:tc>
        <w:tc>
          <w:tcPr>
            <w:tcW w:w="0" w:type="auto"/>
            <w:tcBorders>
              <w:left w:val="single" w:color="auto" w:sz="4" w:space="0"/>
            </w:tcBorders>
            <w:shd w:val="clear" w:color="auto" w:fill="D9D9D9"/>
          </w:tcPr>
          <w:p>
            <w:pPr>
              <w:pStyle w:val="10"/>
              <w:rPr>
                <w:rFonts w:hint="default" w:ascii="Times New Roman" w:hAnsi="Times New Roman" w:cs="Times New Roman"/>
                <w:b/>
                <w:i/>
                <w:color w:val="auto"/>
                <w:sz w:val="20"/>
                <w:szCs w:val="20"/>
                <w:highlight w:val="yellow"/>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b/>
                <w:sz w:val="20"/>
                <w:szCs w:val="20"/>
              </w:rPr>
            </w:pPr>
            <w:r>
              <w:rPr>
                <w:rFonts w:hint="default" w:ascii="Times New Roman" w:hAnsi="Times New Roman" w:cs="Times New Roman"/>
                <w:b/>
                <w:sz w:val="20"/>
                <w:szCs w:val="20"/>
              </w:rPr>
              <w:t>Exploration for inconsistency</w:t>
            </w:r>
          </w:p>
        </w:tc>
        <w:tc>
          <w:tcPr>
            <w:tcW w:w="627" w:type="dxa"/>
            <w:shd w:val="clear" w:color="auto" w:fill="auto"/>
          </w:tcPr>
          <w:p>
            <w:pPr>
              <w:pStyle w:val="10"/>
              <w:rPr>
                <w:rFonts w:hint="default" w:ascii="Times New Roman" w:hAnsi="Times New Roman" w:cs="Times New Roman"/>
                <w:b/>
                <w:sz w:val="20"/>
                <w:szCs w:val="20"/>
              </w:rPr>
            </w:pPr>
            <w:r>
              <w:rPr>
                <w:rFonts w:hint="default" w:ascii="Times New Roman" w:hAnsi="Times New Roman" w:cs="Times New Roman"/>
                <w:b/>
                <w:sz w:val="20"/>
                <w:szCs w:val="20"/>
              </w:rPr>
              <w:t>S5</w:t>
            </w:r>
          </w:p>
        </w:tc>
        <w:tc>
          <w:tcPr>
            <w:tcW w:w="5202" w:type="dxa"/>
            <w:tcBorders>
              <w:right w:val="single" w:color="auto" w:sz="4" w:space="0"/>
            </w:tcBorders>
            <w:shd w:val="clear" w:color="auto" w:fill="auto"/>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 xml:space="preserve">The closed-loop inconsistency factor (IF) approached 1, as indicated by the result of the consistency test, and the lower limit of 95% CI covered 0, suggesting no significant inconsistency. </w:t>
            </w:r>
            <w:r>
              <w:rPr>
                <w:rFonts w:hint="default" w:ascii="Times New Roman" w:hAnsi="Times New Roman" w:cs="Times New Roman"/>
                <w:b w:val="0"/>
                <w:bCs w:val="0"/>
                <w:color w:val="000000" w:themeColor="text1"/>
                <w:sz w:val="20"/>
                <w:szCs w:val="20"/>
                <w14:textFill>
                  <w14:solidFill>
                    <w14:schemeClr w14:val="tx1"/>
                  </w14:solidFill>
                </w14:textFill>
              </w:rPr>
              <w:t>Sup</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14:textFill>
                  <w14:solidFill>
                    <w14:schemeClr w14:val="tx1"/>
                  </w14:solidFill>
                </w14:textFill>
              </w:rPr>
              <w:t xml:space="preserve"> 1 p</w:t>
            </w:r>
            <w:r>
              <w:rPr>
                <w:rFonts w:hint="default" w:ascii="Times New Roman" w:hAnsi="Times New Roman" w:cs="Times New Roman"/>
                <w:color w:val="000000" w:themeColor="text1"/>
                <w:sz w:val="20"/>
                <w:szCs w:val="20"/>
                <w14:textFill>
                  <w14:solidFill>
                    <w14:schemeClr w14:val="tx1"/>
                  </w14:solidFill>
                </w14:textFill>
              </w:rPr>
              <w:t>resents the results of the consistency test.</w:t>
            </w: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Risk of bias across studies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22</w:t>
            </w:r>
          </w:p>
        </w:tc>
        <w:tc>
          <w:tcPr>
            <w:tcW w:w="5202" w:type="dxa"/>
            <w:tcBorders>
              <w:right w:val="single" w:color="auto" w:sz="4" w:space="0"/>
            </w:tcBorders>
            <w:shd w:val="clear" w:color="auto" w:fill="D9D9D9"/>
          </w:tcPr>
          <w:p>
            <w:pPr>
              <w:pageBreakBefore w:val="0"/>
              <w:widowControl w:val="0"/>
              <w:kinsoku/>
              <w:wordWrap/>
              <w:overflowPunct/>
              <w:topLinePunct w:val="0"/>
              <w:autoSpaceDE/>
              <w:bidi w:val="0"/>
              <w:adjustRightInd/>
              <w:snapToGrid w:val="0"/>
              <w:spacing w:line="240" w:lineRule="auto"/>
              <w:rPr>
                <w:rFonts w:hint="eastAsia"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b/>
                <w:bCs/>
                <w:color w:val="000000" w:themeColor="text1"/>
                <w:sz w:val="20"/>
                <w:szCs w:val="20"/>
                <w14:textFill>
                  <w14:solidFill>
                    <w14:schemeClr w14:val="tx1"/>
                  </w14:solidFill>
                </w14:textFill>
              </w:rPr>
              <w:t>Mortality</w:t>
            </w:r>
            <w:r>
              <w:rPr>
                <w:rFonts w:hint="eastAsia" w:cs="Times New Roman"/>
                <w:b/>
                <w:bCs/>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val="0"/>
                <w:bCs w:val="0"/>
                <w:i w:val="0"/>
                <w:iCs w:val="0"/>
                <w:color w:val="000000" w:themeColor="text1"/>
                <w:sz w:val="20"/>
                <w:szCs w:val="20"/>
                <w14:textFill>
                  <w14:solidFill>
                    <w14:schemeClr w14:val="tx1"/>
                  </w14:solidFill>
                </w14:textFill>
              </w:rPr>
              <w:t>As</w:t>
            </w:r>
            <w:r>
              <w:rPr>
                <w:rFonts w:hint="default" w:ascii="Times New Roman" w:hAnsi="Times New Roman" w:cs="Times New Roman"/>
                <w:b/>
                <w:bCs/>
                <w:i/>
                <w:iCs/>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depicted in the funnel plot, most of the scatter points lied on either side of the vertical line, and they were essentially symmetric, probably exhibiting some publication bias</w:t>
            </w:r>
            <w:r>
              <w:rPr>
                <w:rFonts w:hint="default" w:ascii="Times New Roman" w:hAnsi="Times New Roman" w:cs="Times New Roman"/>
                <w:b w:val="0"/>
                <w:bCs w:val="0"/>
                <w:color w:val="000000" w:themeColor="text1"/>
                <w:sz w:val="20"/>
                <w:szCs w:val="20"/>
                <w14:textFill>
                  <w14:solidFill>
                    <w14:schemeClr w14:val="tx1"/>
                  </w14:solidFill>
                </w14:textFill>
              </w:rPr>
              <w:t>es (</w:t>
            </w:r>
            <w:r>
              <w:rPr>
                <w:rFonts w:hint="eastAsia" w:ascii="Times New Roman" w:hAnsi="Times New Roman" w:cs="Times New Roman"/>
                <w:b w:val="0"/>
                <w:bCs w:val="0"/>
                <w:color w:val="000000" w:themeColor="text1"/>
                <w:sz w:val="20"/>
                <w:szCs w:val="20"/>
                <w:lang w:eastAsia="zh-CN"/>
                <w14:textFill>
                  <w14:solidFill>
                    <w14:schemeClr w14:val="tx1"/>
                  </w14:solidFill>
                </w14:textFill>
              </w:rPr>
              <w:t>Fig.</w:t>
            </w:r>
            <w:r>
              <w:rPr>
                <w:rFonts w:hint="default" w:ascii="Times New Roman" w:hAnsi="Times New Roman" w:cs="Times New Roman"/>
                <w:b w:val="0"/>
                <w:bCs w:val="0"/>
                <w:color w:val="000000" w:themeColor="text1"/>
                <w:sz w:val="20"/>
                <w:szCs w:val="20"/>
                <w14:textFill>
                  <w14:solidFill>
                    <w14:schemeClr w14:val="tx1"/>
                  </w14:solidFill>
                </w14:textFill>
              </w:rPr>
              <w:t xml:space="preserve"> 3</w:t>
            </w:r>
            <w:r>
              <w:rPr>
                <w:rFonts w:hint="default" w:ascii="Times New Roman" w:hAnsi="Times New Roman" w:cs="Times New Roman"/>
                <w:b w:val="0"/>
                <w:bCs w:val="0"/>
                <w:color w:val="000000" w:themeColor="text1"/>
                <w:sz w:val="20"/>
                <w:szCs w:val="20"/>
                <w:lang w:val="en-US" w:eastAsia="zh-CN"/>
                <w14:textFill>
                  <w14:solidFill>
                    <w14:schemeClr w14:val="tx1"/>
                  </w14:solidFill>
                </w14:textFill>
              </w:rPr>
              <w:t>A</w:t>
            </w:r>
            <w:r>
              <w:rPr>
                <w:rFonts w:hint="default" w:ascii="Times New Roman" w:hAnsi="Times New Roman" w:cs="Times New Roman"/>
                <w:b w:val="0"/>
                <w:bCs w:val="0"/>
                <w:color w:val="000000" w:themeColor="text1"/>
                <w:sz w:val="20"/>
                <w:szCs w:val="20"/>
                <w14:textFill>
                  <w14:solidFill>
                    <w14:schemeClr w14:val="tx1"/>
                  </w14:solidFill>
                </w14:textFill>
              </w:rPr>
              <w:t>).</w:t>
            </w:r>
            <w:r>
              <w:rPr>
                <w:rFonts w:hint="eastAsia" w:ascii="Times New Roman" w:hAnsi="Times New Roman" w:cs="Times New Roman"/>
                <w:b w:val="0"/>
                <w:bCs w:val="0"/>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b/>
                <w:bCs/>
                <w:color w:val="000000" w:themeColor="text1"/>
                <w:sz w:val="20"/>
                <w:szCs w:val="20"/>
                <w:lang w:val="en-US" w:eastAsia="zh-CN"/>
                <w14:textFill>
                  <w14:solidFill>
                    <w14:schemeClr w14:val="tx1"/>
                  </w14:solidFill>
                </w14:textFill>
              </w:rPr>
              <w:t>Mechanical ventilation:</w:t>
            </w:r>
            <w:r>
              <w:rPr>
                <w:rFonts w:hint="eastAsia" w:ascii="Times New Roman" w:hAnsi="Times New Roman" w:cs="Times New Roman"/>
                <w:b/>
                <w:bCs/>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color w:val="000000" w:themeColor="text1"/>
                <w:sz w:val="20"/>
                <w:szCs w:val="20"/>
                <w:lang w:val="en-US" w:eastAsia="zh-CN"/>
                <w14:textFill>
                  <w14:solidFill>
                    <w14:schemeClr w14:val="tx1"/>
                  </w14:solidFill>
                </w14:textFill>
              </w:rPr>
              <w:t>The funnel plot indicates that most scatter points are located in the middle or on one side of the vertical line (Fig. 3B). They are not symmetrical, suggesting the presence of publication bias.</w:t>
            </w:r>
          </w:p>
          <w:p>
            <w:pPr>
              <w:pStyle w:val="10"/>
              <w:rPr>
                <w:rFonts w:hint="default" w:ascii="Times New Roman" w:hAnsi="Times New Roman" w:cs="Times New Roman"/>
                <w:sz w:val="20"/>
                <w:szCs w:val="20"/>
              </w:rPr>
            </w:pP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Results of additional analyses</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23</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 xml:space="preserve">NONE </w:t>
            </w: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351" w:hRule="atLeast"/>
        </w:trPr>
        <w:tc>
          <w:tcPr>
            <w:tcW w:w="0" w:type="auto"/>
            <w:shd w:val="clear" w:color="auto" w:fill="auto"/>
          </w:tcPr>
          <w:p>
            <w:pPr>
              <w:pStyle w:val="10"/>
              <w:rPr>
                <w:rFonts w:hint="default" w:ascii="Times New Roman" w:hAnsi="Times New Roman" w:cs="Times New Roman"/>
                <w:sz w:val="20"/>
                <w:szCs w:val="20"/>
              </w:rPr>
            </w:pP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331" w:hRule="atLeast"/>
        </w:trPr>
        <w:tc>
          <w:tcPr>
            <w:tcW w:w="0" w:type="auto"/>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b/>
                <w:bCs/>
                <w:sz w:val="20"/>
                <w:szCs w:val="20"/>
              </w:rPr>
              <w:t>DISCUSSION</w:t>
            </w: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b/>
                <w:i/>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Summary of evidence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24</w:t>
            </w:r>
          </w:p>
        </w:tc>
        <w:tc>
          <w:tcPr>
            <w:tcW w:w="5202" w:type="dxa"/>
            <w:tcBorders>
              <w:right w:val="single" w:color="auto" w:sz="4" w:space="0"/>
            </w:tcBorders>
            <w:shd w:val="clear" w:color="auto" w:fill="D9D9D9"/>
          </w:tcPr>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In this study, the correlation between three novel glucose-lowering drugs and outcome indicators (mortality, requiring ICU admission, and </w:t>
            </w:r>
            <w:bookmarkStart w:id="24" w:name="OLE_LINK19"/>
            <w:r>
              <w:rPr>
                <w:rFonts w:hint="default" w:ascii="Times New Roman" w:hAnsi="Times New Roman" w:cs="Times New Roman"/>
                <w:color w:val="000000" w:themeColor="text1"/>
                <w:sz w:val="20"/>
                <w:szCs w:val="20"/>
                <w14:textFill>
                  <w14:solidFill>
                    <w14:schemeClr w14:val="tx1"/>
                  </w14:solidFill>
                </w14:textFill>
              </w:rPr>
              <w:t>requiring mechanical ventilation</w:t>
            </w:r>
            <w:bookmarkEnd w:id="24"/>
            <w:r>
              <w:rPr>
                <w:rFonts w:hint="default" w:ascii="Times New Roman" w:hAnsi="Times New Roman" w:cs="Times New Roman"/>
                <w:color w:val="000000" w:themeColor="text1"/>
                <w:sz w:val="20"/>
                <w:szCs w:val="20"/>
                <w14:textFill>
                  <w14:solidFill>
                    <w14:schemeClr w14:val="tx1"/>
                  </w14:solidFill>
                </w14:textFill>
              </w:rPr>
              <w:t xml:space="preserve">) in diabetic COVID-19 patients was assessed. A total of 12 studies and three antidiabetic drugs (i.e., DPP4i, SGLT2i, and GLP-1RA) were covered in the analysis. As indicated by the results, in diabetic COVID-19 patients, mortality was significantly lower in the SGLT2i treatment group compared with the DPP4i group and the SGLT2i+GLP-1RA group. Requiring mechanical ventilation was significantly reduced in the SGLT2i </w:t>
            </w:r>
            <w:bookmarkStart w:id="25" w:name="OLE_LINK18"/>
            <w:r>
              <w:rPr>
                <w:rFonts w:hint="default" w:ascii="Times New Roman" w:hAnsi="Times New Roman" w:cs="Times New Roman"/>
                <w:color w:val="000000" w:themeColor="text1"/>
                <w:sz w:val="20"/>
                <w:szCs w:val="20"/>
                <w14:textFill>
                  <w14:solidFill>
                    <w14:schemeClr w14:val="tx1"/>
                  </w14:solidFill>
                </w14:textFill>
              </w:rPr>
              <w:t>group</w:t>
            </w:r>
            <w:bookmarkEnd w:id="25"/>
            <w:r>
              <w:rPr>
                <w:rFonts w:hint="default" w:ascii="Times New Roman" w:hAnsi="Times New Roman" w:cs="Times New Roman"/>
                <w:color w:val="000000" w:themeColor="text1"/>
                <w:sz w:val="20"/>
                <w:szCs w:val="20"/>
                <w14:textFill>
                  <w14:solidFill>
                    <w14:schemeClr w14:val="tx1"/>
                  </w14:solidFill>
                </w14:textFill>
              </w:rPr>
              <w:t xml:space="preserve"> compared with the DPP4i group among diabetes and COVID-19 patients. As revealed by the above result, SGLT2i, among the three new hypoglycemic agents, is correlated with lower mortality and required mechanical ventilation in diabetes and COVID-19 patients.</w:t>
            </w:r>
          </w:p>
          <w:p>
            <w:pPr>
              <w:pageBreakBefore w:val="0"/>
              <w:widowControl w:val="0"/>
              <w:kinsoku/>
              <w:wordWrap/>
              <w:overflowPunct/>
              <w:topLinePunct w:val="0"/>
              <w:autoSpaceDE/>
              <w:bidi w:val="0"/>
              <w:adjustRightInd/>
              <w:snapToGrid w:val="0"/>
              <w:spacing w:line="240" w:lineRule="auto"/>
              <w:ind w:firstLine="400" w:firstLineChars="200"/>
              <w:rPr>
                <w:rFonts w:hint="default" w:ascii="Times New Roman" w:hAnsi="Times New Roman" w:cs="Times New Roman"/>
                <w:color w:val="000000" w:themeColor="text1"/>
                <w:sz w:val="20"/>
                <w:szCs w:val="20"/>
                <w14:textFill>
                  <w14:solidFill>
                    <w14:schemeClr w14:val="tx1"/>
                  </w14:solidFill>
                </w14:textFill>
              </w:rPr>
            </w:pPr>
            <w:bookmarkStart w:id="26" w:name="OLE_LINK32"/>
            <w:r>
              <w:rPr>
                <w:rFonts w:hint="default" w:ascii="Times New Roman" w:hAnsi="Times New Roman" w:cs="Times New Roman"/>
                <w:color w:val="000000" w:themeColor="text1"/>
                <w:sz w:val="20"/>
                <w:szCs w:val="20"/>
                <w14:textFill>
                  <w14:solidFill>
                    <w14:schemeClr w14:val="tx1"/>
                  </w14:solidFill>
                </w14:textFill>
              </w:rPr>
              <w:t xml:space="preserve">SGLT-2i </w:t>
            </w:r>
            <w:bookmarkEnd w:id="26"/>
            <w:r>
              <w:rPr>
                <w:rFonts w:hint="default" w:ascii="Times New Roman" w:hAnsi="Times New Roman" w:cs="Times New Roman"/>
                <w:color w:val="000000" w:themeColor="text1"/>
                <w:sz w:val="20"/>
                <w:szCs w:val="20"/>
                <w14:textFill>
                  <w14:solidFill>
                    <w14:schemeClr w14:val="tx1"/>
                  </w14:solidFill>
                </w14:textFill>
              </w:rPr>
              <w:t xml:space="preserve">refers to a unique class of glucose-lowering drugs primarily employed for the treatment of T2DM. The above class of drugs works by impairing the ability of the kidneys to absorb and filter glucose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33</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This drug exerts significant cardiorenal protective effects, especially in people subjected to atherosclerosis, heart failure, and decreased renal function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2, </w:t>
            </w:r>
            <w:r>
              <w:rPr>
                <w:rFonts w:hint="default" w:ascii="Times New Roman" w:hAnsi="Times New Roman" w:cs="Times New Roman"/>
                <w:color w:val="000000" w:themeColor="text1"/>
                <w:sz w:val="20"/>
                <w:szCs w:val="20"/>
                <w:lang w:val="en-US" w:eastAsia="zh-CN"/>
                <w14:textFill>
                  <w14:solidFill>
                    <w14:schemeClr w14:val="tx1"/>
                  </w14:solidFill>
                </w14:textFill>
              </w:rPr>
              <w:t>34</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Moreover, existing research has suggested that this class of drugs can inhibit inflammation and fibrosis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34</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35</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An existing RCT study reported a lower but nonsignificant mortality rate in </w:t>
            </w:r>
            <w:r>
              <w:rPr>
                <w:rFonts w:hint="default" w:ascii="Times New Roman" w:hAnsi="Times New Roman" w:cs="Times New Roman"/>
                <w:color w:val="000000" w:themeColor="text1"/>
                <w:sz w:val="20"/>
                <w:szCs w:val="20"/>
                <w:lang w:val="en-US" w:eastAsia="zh-CN"/>
                <w14:textFill>
                  <w14:solidFill>
                    <w14:schemeClr w14:val="tx1"/>
                  </w14:solidFill>
                </w14:textFill>
              </w:rPr>
              <w:t>p</w:t>
            </w:r>
            <w:r>
              <w:rPr>
                <w:rFonts w:hint="default" w:ascii="Times New Roman" w:hAnsi="Times New Roman" w:cs="Times New Roman"/>
                <w:color w:val="000000" w:themeColor="text1"/>
                <w:sz w:val="20"/>
                <w:szCs w:val="20"/>
                <w14:textFill>
                  <w14:solidFill>
                    <w14:schemeClr w14:val="tx1"/>
                  </w14:solidFill>
                </w14:textFill>
              </w:rPr>
              <w:t xml:space="preserve">atients with diabetes administrated with dapagliflozin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36</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In COVID-19, SGLT-2i reverses acid-base cytokine homeostasis by reducing lactate accumulation under the occurrence of hypoxemia and hypoxia, such that the decrease in cytoplasmic pH can be inhibited, and cellular damage can be prevented during cytokine storms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37</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A previous meta-analysis has indicated that mortality is significantly lower in SGLT2i users compared with COVID-19 patients without SGLT2i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3</w:t>
            </w:r>
            <w:r>
              <w:rPr>
                <w:rFonts w:hint="default" w:ascii="Times New Roman" w:hAnsi="Times New Roman" w:cs="Times New Roman"/>
                <w:color w:val="000000" w:themeColor="text1"/>
                <w:sz w:val="20"/>
                <w:szCs w:val="20"/>
                <w:lang w:val="en-US" w:eastAsia="zh-CN"/>
                <w14:textFill>
                  <w14:solidFill>
                    <w14:schemeClr w14:val="tx1"/>
                  </w14:solidFill>
                </w14:textFill>
              </w:rPr>
              <w:t>8</w:t>
            </w:r>
            <w:r>
              <w:rPr>
                <w:rFonts w:hint="default" w:ascii="Times New Roman" w:hAnsi="Times New Roman" w:cs="Times New Roman"/>
                <w:color w:val="000000" w:themeColor="text1"/>
                <w:sz w:val="20"/>
                <w:szCs w:val="20"/>
                <w14:textFill>
                  <w14:solidFill>
                    <w14:schemeClr w14:val="tx1"/>
                  </w14:solidFill>
                </w14:textFill>
              </w:rPr>
              <w:t>, 3</w:t>
            </w:r>
            <w:r>
              <w:rPr>
                <w:rFonts w:hint="default" w:ascii="Times New Roman" w:hAnsi="Times New Roman" w:cs="Times New Roman"/>
                <w:color w:val="000000" w:themeColor="text1"/>
                <w:sz w:val="20"/>
                <w:szCs w:val="20"/>
                <w:lang w:val="en-US" w:eastAsia="zh-CN"/>
                <w14:textFill>
                  <w14:solidFill>
                    <w14:schemeClr w14:val="tx1"/>
                  </w14:solidFill>
                </w14:textFill>
              </w:rPr>
              <w:t>9</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This study drew a conclusion that among with diabetic COVID-19 patients, mortality was significantly lower in the SGLT2i group compared with the DPP4i group and the </w:t>
            </w:r>
            <w:bookmarkStart w:id="27" w:name="OLE_LINK39"/>
            <w:r>
              <w:rPr>
                <w:rFonts w:hint="default" w:ascii="Times New Roman" w:hAnsi="Times New Roman" w:cs="Times New Roman"/>
                <w:color w:val="000000" w:themeColor="text1"/>
                <w:sz w:val="20"/>
                <w:szCs w:val="20"/>
                <w14:textFill>
                  <w14:solidFill>
                    <w14:schemeClr w14:val="tx1"/>
                  </w14:solidFill>
                </w14:textFill>
              </w:rPr>
              <w:t>SGLT2i+GLP-1RA</w:t>
            </w:r>
            <w:bookmarkEnd w:id="27"/>
            <w:r>
              <w:rPr>
                <w:rFonts w:hint="default" w:ascii="Times New Roman" w:hAnsi="Times New Roman" w:cs="Times New Roman"/>
                <w:color w:val="000000" w:themeColor="text1"/>
                <w:sz w:val="20"/>
                <w:szCs w:val="20"/>
                <w14:textFill>
                  <w14:solidFill>
                    <w14:schemeClr w14:val="tx1"/>
                  </w14:solidFill>
                </w14:textFill>
              </w:rPr>
              <w:t xml:space="preserve"> group.</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It is worth noting that there may be some controversy about the fact that the mortality rate of the SGLT2i group is lower than that of SGLT2i+GLP-1RA, the main reason may be that patients on both SGLT2i and GLP-1RA may have more severe diabetes and are associated with more mortality. </w:t>
            </w:r>
            <w:r>
              <w:rPr>
                <w:rFonts w:hint="default" w:ascii="Times New Roman" w:hAnsi="Times New Roman" w:cs="Times New Roman"/>
                <w:color w:val="000000" w:themeColor="text1"/>
                <w:sz w:val="20"/>
                <w:szCs w:val="20"/>
                <w14:textFill>
                  <w14:solidFill>
                    <w14:schemeClr w14:val="tx1"/>
                  </w14:solidFill>
                </w14:textFill>
              </w:rPr>
              <w:t>Further relevant in vivo or in vitro model validation need to be carried out. At the same time, it is recommended that more standardized randomized controlled double-blind trials</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are needed in the future to provide a stronger basis for the safety and efficacy of novel glucose-lowering drugs</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for COVID-19 patients with diabetes</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 xml:space="preserve">Requiring mechanical ventilation was significantly reduced in the SGLT2i </w:t>
            </w:r>
            <w:bookmarkStart w:id="28" w:name="OLE_LINK20"/>
            <w:r>
              <w:rPr>
                <w:rFonts w:hint="default" w:ascii="Times New Roman" w:hAnsi="Times New Roman" w:cs="Times New Roman"/>
                <w:color w:val="000000" w:themeColor="text1"/>
                <w:sz w:val="20"/>
                <w:szCs w:val="20"/>
                <w14:textFill>
                  <w14:solidFill>
                    <w14:schemeClr w14:val="tx1"/>
                  </w14:solidFill>
                </w14:textFill>
              </w:rPr>
              <w:t>group</w:t>
            </w:r>
            <w:bookmarkEnd w:id="28"/>
            <w:r>
              <w:rPr>
                <w:rFonts w:hint="default" w:ascii="Times New Roman" w:hAnsi="Times New Roman" w:cs="Times New Roman"/>
                <w:color w:val="000000" w:themeColor="text1"/>
                <w:sz w:val="20"/>
                <w:szCs w:val="20"/>
                <w14:textFill>
                  <w14:solidFill>
                    <w14:schemeClr w14:val="tx1"/>
                  </w14:solidFill>
                </w14:textFill>
              </w:rPr>
              <w:t xml:space="preserve"> compared with the DPP4i group.</w:t>
            </w:r>
          </w:p>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GLP-1 is generated by L cells in the distal ileum and proximal colon, binding to receptors in the pancreas, kidney, lung, gastrointestinal tract, as well as peripheral nervous system. Moreover, it is capable of stimulating insulin production, inhibiting glucagon release while delaying gastric emptying. GLP-1RA refers to another hypoglycemic agent that significantly reduces hospitalization, respiratory complications, and mortality in </w:t>
            </w:r>
            <w:r>
              <w:rPr>
                <w:rFonts w:hint="default" w:ascii="Times New Roman" w:hAnsi="Times New Roman" w:cs="Times New Roman"/>
                <w:color w:val="000000" w:themeColor="text1"/>
                <w:sz w:val="20"/>
                <w:szCs w:val="20"/>
                <w:lang w:val="en-US" w:eastAsia="zh-CN"/>
                <w14:textFill>
                  <w14:solidFill>
                    <w14:schemeClr w14:val="tx1"/>
                  </w14:solidFill>
                </w14:textFill>
              </w:rPr>
              <w:t>p</w:t>
            </w:r>
            <w:r>
              <w:rPr>
                <w:rFonts w:hint="default" w:ascii="Times New Roman" w:hAnsi="Times New Roman" w:cs="Times New Roman"/>
                <w:color w:val="000000" w:themeColor="text1"/>
                <w:sz w:val="20"/>
                <w:szCs w:val="20"/>
                <w14:textFill>
                  <w14:solidFill>
                    <w14:schemeClr w14:val="tx1"/>
                  </w14:solidFill>
                </w14:textFill>
              </w:rPr>
              <w:t xml:space="preserve">atients with diabetes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2</w:t>
            </w:r>
            <w:r>
              <w:rPr>
                <w:rFonts w:hint="default" w:ascii="Times New Roman" w:hAnsi="Times New Roman" w:cs="Times New Roman"/>
                <w:color w:val="000000" w:themeColor="text1"/>
                <w:sz w:val="20"/>
                <w:szCs w:val="20"/>
                <w:lang w:val="en-US" w:eastAsia="zh-CN"/>
                <w14:textFill>
                  <w14:solidFill>
                    <w14:schemeClr w14:val="tx1"/>
                  </w14:solidFill>
                </w14:textFill>
              </w:rPr>
              <w:t>8</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In general, GLP-1RA acts on GLP-1 receptors in the lung epithelium and immune cells. GLP-1RA lowers blood glucose while controlling inflammation-induced lung damage and reducing major cardiovascular complications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2, </w:t>
            </w:r>
            <w:r>
              <w:rPr>
                <w:rFonts w:hint="default" w:ascii="Times New Roman" w:hAnsi="Times New Roman" w:cs="Times New Roman"/>
                <w:color w:val="000000" w:themeColor="text1"/>
                <w:sz w:val="20"/>
                <w:szCs w:val="20"/>
                <w:lang w:val="en-US" w:eastAsia="zh-CN"/>
                <w14:textFill>
                  <w14:solidFill>
                    <w14:schemeClr w14:val="tx1"/>
                  </w14:solidFill>
                </w14:textFill>
              </w:rPr>
              <w:t>40</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An existing study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41</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reported that GLP-1RA can improve pulmonary function in </w:t>
            </w:r>
            <w:r>
              <w:rPr>
                <w:rFonts w:hint="default" w:ascii="Times New Roman" w:hAnsi="Times New Roman" w:cs="Times New Roman"/>
                <w:color w:val="000000" w:themeColor="text1"/>
                <w:sz w:val="20"/>
                <w:szCs w:val="20"/>
                <w:lang w:val="en-US" w:eastAsia="zh-CN"/>
                <w14:textFill>
                  <w14:solidFill>
                    <w14:schemeClr w14:val="tx1"/>
                  </w14:solidFill>
                </w14:textFill>
              </w:rPr>
              <w:t>p</w:t>
            </w:r>
            <w:r>
              <w:rPr>
                <w:rFonts w:hint="default" w:ascii="Times New Roman" w:hAnsi="Times New Roman" w:cs="Times New Roman"/>
                <w:color w:val="000000" w:themeColor="text1"/>
                <w:sz w:val="20"/>
                <w:szCs w:val="20"/>
                <w14:textFill>
                  <w14:solidFill>
                    <w14:schemeClr w14:val="tx1"/>
                  </w14:solidFill>
                </w14:textFill>
              </w:rPr>
              <w:t xml:space="preserve">atients with diabetes. In COVID-19, GLP-1RA is conducive to reducing cytokine-induced lung injury by interfering with the NF-kB pathway, or exerting anti-inflammatory effects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42</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43</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Two meta-analyses have confirmed the benefit of GLP1RA in managing COVID-19, mainly in terms of lower mortality in GLP1RA users compared with non-users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3</w:t>
            </w:r>
            <w:r>
              <w:rPr>
                <w:rFonts w:hint="default" w:ascii="Times New Roman" w:hAnsi="Times New Roman" w:cs="Times New Roman"/>
                <w:color w:val="000000" w:themeColor="text1"/>
                <w:sz w:val="20"/>
                <w:szCs w:val="20"/>
                <w:lang w:val="en-US" w:eastAsia="zh-CN"/>
                <w14:textFill>
                  <w14:solidFill>
                    <w14:schemeClr w14:val="tx1"/>
                  </w14:solidFill>
                </w14:textFill>
              </w:rPr>
              <w:t>8</w:t>
            </w:r>
            <w:r>
              <w:rPr>
                <w:rFonts w:hint="default" w:ascii="Times New Roman" w:hAnsi="Times New Roman" w:cs="Times New Roman"/>
                <w:color w:val="000000" w:themeColor="text1"/>
                <w:sz w:val="20"/>
                <w:szCs w:val="20"/>
                <w14:textFill>
                  <w14:solidFill>
                    <w14:schemeClr w14:val="tx1"/>
                  </w14:solidFill>
                </w14:textFill>
              </w:rPr>
              <w:t>, 3</w:t>
            </w:r>
            <w:r>
              <w:rPr>
                <w:rFonts w:hint="default" w:ascii="Times New Roman" w:hAnsi="Times New Roman" w:cs="Times New Roman"/>
                <w:color w:val="000000" w:themeColor="text1"/>
                <w:sz w:val="20"/>
                <w:szCs w:val="20"/>
                <w:lang w:val="en-US" w:eastAsia="zh-CN"/>
                <w14:textFill>
                  <w14:solidFill>
                    <w14:schemeClr w14:val="tx1"/>
                  </w14:solidFill>
                </w14:textFill>
              </w:rPr>
              <w:t>9</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However, no correlation between GLP1RA and mortality was identified in this study. The possible reason for this result is that the number of included studies in this study was limited and only compared among new hypoglycemic drugs.</w:t>
            </w:r>
          </w:p>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color w:val="000000" w:themeColor="text1"/>
                <w:sz w:val="20"/>
                <w:szCs w:val="20"/>
                <w14:textFill>
                  <w14:solidFill>
                    <w14:schemeClr w14:val="tx1"/>
                  </w14:solidFill>
                </w14:textFill>
              </w:rPr>
            </w:pPr>
            <w:r>
              <w:rPr>
                <w:rFonts w:hint="default" w:ascii="Times New Roman" w:hAnsi="Times New Roman" w:cs="Times New Roman"/>
                <w:color w:val="000000" w:themeColor="text1"/>
                <w:sz w:val="20"/>
                <w:szCs w:val="20"/>
                <w14:textFill>
                  <w14:solidFill>
                    <w14:schemeClr w14:val="tx1"/>
                  </w14:solidFill>
                </w14:textFill>
              </w:rPr>
              <w:t xml:space="preserve">An enzyme termed DPP-4 rapidly degrades GLP-1, i.e., DPP4i targets, a process that maintains the function of GLP-1 for more extended periods. DPP-4 is abundantly expressed in various cells (e.g., lymphocytes, adipocytes, endothelial cells, and lung epithelial cells), and is also present on the surface of different immune cells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44</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45</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DPP-4 takes on a critical significance to regulating inflammatory and immune responses through its ability to regulate various cytokines, chemokines, as well as peptide hormones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46</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47</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Given the role of DPP4i in regulating T-cell activity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44</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the use of DPP4i has raised concerns regarding increased susceptibility to infection. However, no evidence in large clinical trials has demonstrated that using DPP4i can elevate the risk of infection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4</w:t>
            </w:r>
            <w:r>
              <w:rPr>
                <w:rFonts w:hint="default" w:ascii="Times New Roman" w:hAnsi="Times New Roman" w:cs="Times New Roman"/>
                <w:color w:val="000000" w:themeColor="text1"/>
                <w:sz w:val="20"/>
                <w:szCs w:val="20"/>
                <w:lang w:val="en-US" w:eastAsia="zh-CN"/>
                <w14:textFill>
                  <w14:solidFill>
                    <w14:schemeClr w14:val="tx1"/>
                  </w14:solidFill>
                </w14:textFill>
              </w:rPr>
              <w:t>8</w:t>
            </w:r>
            <w:r>
              <w:rPr>
                <w:rFonts w:hint="default" w:ascii="Times New Roman" w:hAnsi="Times New Roman" w:cs="Times New Roman"/>
                <w:color w:val="000000" w:themeColor="text1"/>
                <w:sz w:val="20"/>
                <w:szCs w:val="20"/>
                <w14:textFill>
                  <w14:solidFill>
                    <w14:schemeClr w14:val="tx1"/>
                  </w14:solidFill>
                </w14:textFill>
              </w:rPr>
              <w:t>, 4</w:t>
            </w:r>
            <w:r>
              <w:rPr>
                <w:rFonts w:hint="default" w:ascii="Times New Roman" w:hAnsi="Times New Roman" w:cs="Times New Roman"/>
                <w:color w:val="000000" w:themeColor="text1"/>
                <w:sz w:val="20"/>
                <w:szCs w:val="20"/>
                <w:lang w:val="en-US" w:eastAsia="zh-CN"/>
                <w14:textFill>
                  <w14:solidFill>
                    <w14:schemeClr w14:val="tx1"/>
                  </w14:solidFill>
                </w14:textFill>
              </w:rPr>
              <w:t>9</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Uncertain anti-inflammatory properties are caused under the effect of DPP4i, which attenuates the activation of inflammatory vesicles and reduces the levels of inflammatory biomarkers (e.g., IL-6, IL-18, and CRP) in human plasma in some studies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50</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51</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Several studies have suggested that DPP4i exerts no effect on inflammatory biomarkers at the human plasma level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52</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53</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Nevertheless, DPP4i can potentially enhance the activity of certain inflammatory networks by preventing the degradation of inflammatory factors by the DPP4 enzyme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54</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Since DPP-4i is capable of modulating inflammatory responses via multiple pathways, we hypothesized that they may have beneficial effects on patients prone to cytokine storming under the infection with COVID-19 </w:t>
            </w:r>
            <w:bookmarkStart w:id="29" w:name="OLE_LINK42"/>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55</w:t>
            </w:r>
            <w:bookmarkEnd w:id="29"/>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Besides, no consistent conclusions have been reached regarding the correlation between DPP4i use and mortality in patients with combined diabetes mellitus and </w:t>
            </w:r>
            <w:bookmarkStart w:id="30" w:name="OLE_LINK21"/>
            <w:r>
              <w:rPr>
                <w:rFonts w:hint="default" w:ascii="Times New Roman" w:hAnsi="Times New Roman" w:cs="Times New Roman"/>
                <w:color w:val="000000" w:themeColor="text1"/>
                <w:sz w:val="20"/>
                <w:szCs w:val="20"/>
                <w14:textFill>
                  <w14:solidFill>
                    <w14:schemeClr w14:val="tx1"/>
                  </w14:solidFill>
                </w14:textFill>
              </w:rPr>
              <w:t>COVID</w:t>
            </w:r>
            <w:bookmarkEnd w:id="30"/>
            <w:r>
              <w:rPr>
                <w:rFonts w:hint="default" w:ascii="Times New Roman" w:hAnsi="Times New Roman" w:cs="Times New Roman"/>
                <w:color w:val="000000" w:themeColor="text1"/>
                <w:sz w:val="20"/>
                <w:szCs w:val="20"/>
                <w14:textFill>
                  <w14:solidFill>
                    <w14:schemeClr w14:val="tx1"/>
                  </w14:solidFill>
                </w14:textFill>
              </w:rPr>
              <w:t xml:space="preserve">-19. Some research has reported that DPP4i use is correlated with lower mortality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3</w:t>
            </w:r>
            <w:r>
              <w:rPr>
                <w:rFonts w:hint="default" w:ascii="Times New Roman" w:hAnsi="Times New Roman" w:cs="Times New Roman"/>
                <w:color w:val="000000" w:themeColor="text1"/>
                <w:sz w:val="20"/>
                <w:szCs w:val="20"/>
                <w:lang w:val="en-US" w:eastAsia="zh-CN"/>
                <w14:textFill>
                  <w14:solidFill>
                    <w14:schemeClr w14:val="tx1"/>
                  </w14:solidFill>
                </w14:textFill>
              </w:rPr>
              <w:t>8</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56</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57</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and some previous studies have suggested that DPP4i can lead to increased mortality in diabetic COVID-19 patients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3</w:t>
            </w:r>
            <w:r>
              <w:rPr>
                <w:rFonts w:hint="default" w:ascii="Times New Roman" w:hAnsi="Times New Roman" w:cs="Times New Roman"/>
                <w:color w:val="000000" w:themeColor="text1"/>
                <w:sz w:val="20"/>
                <w:szCs w:val="20"/>
                <w:lang w:val="en-US" w:eastAsia="zh-CN"/>
                <w14:textFill>
                  <w14:solidFill>
                    <w14:schemeClr w14:val="tx1"/>
                  </w14:solidFill>
                </w14:textFill>
              </w:rPr>
              <w:t>9</w:t>
            </w:r>
            <w:r>
              <w:rPr>
                <w:rFonts w:hint="default" w:ascii="Times New Roman" w:hAnsi="Times New Roman" w:cs="Times New Roman"/>
                <w:color w:val="000000" w:themeColor="text1"/>
                <w:sz w:val="20"/>
                <w:szCs w:val="20"/>
                <w14:textFill>
                  <w14:solidFill>
                    <w14:schemeClr w14:val="tx1"/>
                  </w14:solidFill>
                </w14:textFill>
              </w:rPr>
              <w:t>, 5</w:t>
            </w:r>
            <w:r>
              <w:rPr>
                <w:rFonts w:hint="default" w:ascii="Times New Roman" w:hAnsi="Times New Roman" w:cs="Times New Roman"/>
                <w:color w:val="000000" w:themeColor="text1"/>
                <w:sz w:val="20"/>
                <w:szCs w:val="20"/>
                <w:lang w:val="en-US" w:eastAsia="zh-CN"/>
                <w14:textFill>
                  <w14:solidFill>
                    <w14:schemeClr w14:val="tx1"/>
                  </w14:solidFill>
                </w14:textFill>
              </w:rPr>
              <w:t>8</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Existing meta-analyses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11</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49</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default" w:ascii="Times New Roman" w:hAnsi="Times New Roman" w:cs="Times New Roman"/>
                <w:color w:val="000000" w:themeColor="text1"/>
                <w:sz w:val="20"/>
                <w:szCs w:val="20"/>
                <w:lang w:val="en-US" w:eastAsia="zh-CN"/>
                <w14:textFill>
                  <w14:solidFill>
                    <w14:schemeClr w14:val="tx1"/>
                  </w14:solidFill>
                </w14:textFill>
              </w:rPr>
              <w:t>59-62</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14:textFill>
                  <w14:solidFill>
                    <w14:schemeClr w14:val="tx1"/>
                  </w14:solidFill>
                </w14:textFill>
              </w:rPr>
              <w:t xml:space="preserve"> indicated that DPP-4i does not significantly affect COVID-19-associated mortality, which may also be related to the uncertain anti-inflammatory properties of DPP4i. This study found that DPP4 use was correlated with higher mortality and mechanical ventilation compared with SGLT2 in patients with combined diabetes mellitus COVID-19.</w:t>
            </w:r>
          </w:p>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color w:val="000000" w:themeColor="text1"/>
                <w:sz w:val="20"/>
                <w:szCs w:val="20"/>
                <w:lang w:val="en-US" w:eastAsia="zh-CN"/>
                <w14:textFill>
                  <w14:solidFill>
                    <w14:schemeClr w14:val="tx1"/>
                  </w14:solidFill>
                </w14:textFill>
              </w:rPr>
            </w:pPr>
            <w:r>
              <w:rPr>
                <w:rFonts w:hint="default" w:ascii="Times New Roman" w:hAnsi="Times New Roman" w:cs="Times New Roman"/>
                <w:color w:val="000000" w:themeColor="text1"/>
                <w:sz w:val="20"/>
                <w:szCs w:val="20"/>
                <w:lang w:val="en-US" w:eastAsia="zh-CN"/>
                <w14:textFill>
                  <w14:solidFill>
                    <w14:schemeClr w14:val="tx1"/>
                  </w14:solidFill>
                </w14:textFill>
              </w:rPr>
              <w:t>F</w:t>
            </w:r>
            <w:r>
              <w:rPr>
                <w:rFonts w:hint="default" w:ascii="Times New Roman" w:hAnsi="Times New Roman" w:cs="Times New Roman"/>
                <w:color w:val="000000" w:themeColor="text1"/>
                <w:sz w:val="20"/>
                <w:szCs w:val="20"/>
                <w14:textFill>
                  <w14:solidFill>
                    <w14:schemeClr w14:val="tx1"/>
                  </w14:solidFill>
                </w14:textFill>
              </w:rPr>
              <w:t>or the</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m</w:t>
            </w:r>
            <w:r>
              <w:rPr>
                <w:rFonts w:hint="default" w:ascii="Times New Roman" w:hAnsi="Times New Roman" w:cs="Times New Roman"/>
                <w:color w:val="000000" w:themeColor="text1"/>
                <w:sz w:val="20"/>
                <w:szCs w:val="20"/>
                <w14:textFill>
                  <w14:solidFill>
                    <w14:schemeClr w14:val="tx1"/>
                  </w14:solidFill>
                </w14:textFill>
              </w:rPr>
              <w:t>ortality</w:t>
            </w:r>
            <w:r>
              <w:rPr>
                <w:rFonts w:hint="default" w:ascii="Times New Roman" w:hAnsi="Times New Roman" w:cs="Times New Roman"/>
                <w:color w:val="000000" w:themeColor="text1"/>
                <w:sz w:val="20"/>
                <w:szCs w:val="20"/>
                <w:lang w:val="en-US" w:eastAsia="zh-CN"/>
                <w14:textFill>
                  <w14:solidFill>
                    <w14:schemeClr w14:val="tx1"/>
                  </w14:solidFill>
                </w14:textFill>
              </w:rPr>
              <w:t>, t</w:t>
            </w:r>
            <w:r>
              <w:rPr>
                <w:rFonts w:hint="default" w:ascii="Times New Roman" w:hAnsi="Times New Roman" w:cs="Times New Roman"/>
                <w:color w:val="000000" w:themeColor="text1"/>
                <w:sz w:val="20"/>
                <w:szCs w:val="20"/>
                <w14:textFill>
                  <w14:solidFill>
                    <w14:schemeClr w14:val="tx1"/>
                  </w14:solidFill>
                </w14:textFill>
              </w:rPr>
              <w:t>he ranking of the five treatment options involving novel hypoglycemic agents, based on the area under the SUCRA curve, was as follows: SGLT2i</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&gt; GLP-1RA &gt; DPP4i &gt; non-DPP4i &gt; SGLT2i+GLP-1RA</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Notely, In our study, the SUCRA value of ICU was SGLT2i &gt; DPP4i &gt; non-DPP4i &gt; GLP-1RA, but there was no significant difference among their ORs. The SUCRA value among seems unreasonable. However, this phenomenon is not uncommon and has been addressed in several previous studies </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63</w:t>
            </w:r>
            <w:r>
              <w:rPr>
                <w:rFonts w:hint="eastAsia" w:ascii="Times New Roman" w:hAnsi="Times New Roman" w:cs="Times New Roman"/>
                <w:color w:val="000000" w:themeColor="text1"/>
                <w:sz w:val="20"/>
                <w:szCs w:val="20"/>
                <w:lang w:val="en-US" w:eastAsia="zh-CN"/>
                <w14:textFill>
                  <w14:solidFill>
                    <w14:schemeClr w14:val="tx1"/>
                  </w14:solidFill>
                </w14:textFill>
              </w:rPr>
              <w:t>]</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In particular, a potential bias in SUCRA does exist in the calculation, as SUCRA does not take into account the magnitude of effect differences between treatments, so that interventions with wider CIs or fewer events may yield higher SUCRA values compared to some interventions with nonsignificant ORs. Respecting the mechanical ventilation, the ranking of the three therapeutic regimens involving novel hypoglycemic agents in accordance with the area under the SUCRA curve follows a descending order as follows: </w:t>
            </w:r>
            <w:bookmarkStart w:id="31" w:name="OLE_LINK33"/>
            <w:r>
              <w:rPr>
                <w:rFonts w:hint="default" w:ascii="Times New Roman" w:hAnsi="Times New Roman" w:cs="Times New Roman"/>
                <w:color w:val="000000" w:themeColor="text1"/>
                <w:sz w:val="20"/>
                <w:szCs w:val="20"/>
                <w:lang w:val="en-US" w:eastAsia="zh-CN"/>
                <w14:textFill>
                  <w14:solidFill>
                    <w14:schemeClr w14:val="tx1"/>
                  </w14:solidFill>
                </w14:textFill>
              </w:rPr>
              <w:t>SGLT2i</w:t>
            </w:r>
            <w:bookmarkEnd w:id="31"/>
            <w:r>
              <w:rPr>
                <w:rFonts w:hint="default" w:ascii="Times New Roman" w:hAnsi="Times New Roman" w:cs="Times New Roman"/>
                <w:color w:val="000000" w:themeColor="text1"/>
                <w:sz w:val="20"/>
                <w:szCs w:val="20"/>
                <w:lang w:val="en-US" w:eastAsia="zh-CN"/>
                <w14:textFill>
                  <w14:solidFill>
                    <w14:schemeClr w14:val="tx1"/>
                  </w14:solidFill>
                </w14:textFill>
              </w:rPr>
              <w:t xml:space="preserve"> &gt; GLP-1RA &gt; DPP4i.</w:t>
            </w:r>
          </w:p>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color w:val="000000" w:themeColor="text1"/>
                <w:sz w:val="20"/>
                <w:szCs w:val="20"/>
                <w:lang w:val="en-US" w:eastAsia="zh-CN"/>
                <w14:textFill>
                  <w14:solidFill>
                    <w14:schemeClr w14:val="tx1"/>
                  </w14:solidFill>
                </w14:textFill>
              </w:rPr>
            </w:pPr>
            <w:r>
              <w:rPr>
                <w:rFonts w:hint="default" w:ascii="Times New Roman" w:hAnsi="Times New Roman" w:cs="Times New Roman"/>
                <w:color w:val="000000" w:themeColor="text1"/>
                <w:sz w:val="20"/>
                <w:szCs w:val="20"/>
                <w:lang w:val="en-US" w:eastAsia="zh-CN"/>
                <w14:textFill>
                  <w14:solidFill>
                    <w14:schemeClr w14:val="tx1"/>
                  </w14:solidFill>
                </w14:textFill>
              </w:rPr>
              <w:t>In summary,</w:t>
            </w:r>
            <w:bookmarkStart w:id="32" w:name="OLE_LINK38"/>
            <w:r>
              <w:rPr>
                <w:rFonts w:hint="default" w:ascii="Times New Roman" w:hAnsi="Times New Roman" w:cs="Times New Roman"/>
                <w:color w:val="000000" w:themeColor="text1"/>
                <w:sz w:val="20"/>
                <w:szCs w:val="20"/>
                <w:lang w:val="en-US" w:eastAsia="zh-CN"/>
                <w14:textFill>
                  <w14:solidFill>
                    <w14:schemeClr w14:val="tx1"/>
                  </w14:solidFill>
                </w14:textFill>
              </w:rPr>
              <w:t xml:space="preserve"> SGLT-2i was more likely to be beneficial </w:t>
            </w:r>
            <w:r>
              <w:rPr>
                <w:rFonts w:hint="default" w:ascii="Times New Roman" w:hAnsi="Times New Roman" w:cs="Times New Roman"/>
                <w:color w:val="000000" w:themeColor="text1"/>
                <w:sz w:val="20"/>
                <w:szCs w:val="20"/>
                <w14:textFill>
                  <w14:solidFill>
                    <w14:schemeClr w14:val="tx1"/>
                  </w14:solidFill>
                </w14:textFill>
              </w:rPr>
              <w:t>treating diabetic COVID-19 patients</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amon</w:t>
            </w:r>
            <w:bookmarkEnd w:id="32"/>
            <w:r>
              <w:rPr>
                <w:rFonts w:hint="default" w:ascii="Times New Roman" w:hAnsi="Times New Roman" w:cs="Times New Roman"/>
                <w:color w:val="000000" w:themeColor="text1"/>
                <w:sz w:val="20"/>
                <w:szCs w:val="20"/>
                <w:lang w:val="en-US" w:eastAsia="zh-CN"/>
                <w14:textFill>
                  <w14:solidFill>
                    <w14:schemeClr w14:val="tx1"/>
                  </w14:solidFill>
                </w14:textFill>
              </w:rPr>
              <w:t>g the above interventions included. The top interventions could be selected for patients with different goals.</w:t>
            </w:r>
          </w:p>
          <w:p>
            <w:pPr>
              <w:pageBreakBefore w:val="0"/>
              <w:widowControl w:val="0"/>
              <w:kinsoku/>
              <w:wordWrap/>
              <w:overflowPunct/>
              <w:topLinePunct w:val="0"/>
              <w:autoSpaceDE/>
              <w:bidi w:val="0"/>
              <w:adjustRightInd/>
              <w:snapToGrid w:val="0"/>
              <w:spacing w:line="240" w:lineRule="auto"/>
              <w:rPr>
                <w:rFonts w:hint="default" w:ascii="Times New Roman" w:hAnsi="Times New Roman" w:cs="Times New Roman"/>
                <w:sz w:val="20"/>
                <w:szCs w:val="20"/>
              </w:rPr>
            </w:pP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Limitations </w:t>
            </w:r>
          </w:p>
        </w:tc>
        <w:tc>
          <w:tcPr>
            <w:tcW w:w="627" w:type="dxa"/>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25</w:t>
            </w: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This study has some limitations. Firstly, this study included only observational studies, such that conclusions should be drawn with caution. However, we recruited the largest number of participants from a variety of studies of fair quality, allowing our meta-analysis to have high internal validity. Secondly, additional primary data mining is required because of the complexity of current diabetes treatment protocols. Thirdly is that due to the high publication rate on the COVID-19 topic within the past three years, it is possible that some studies were missed that were not included in this study. Although this was inevitable, we minimized this problem by assigning two investigators to systematically search and select studies and consulting with another investigator when necessary to reach a final decision.</w:t>
            </w: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Conclusions </w:t>
            </w:r>
          </w:p>
        </w:tc>
        <w:tc>
          <w:tcPr>
            <w:tcW w:w="627" w:type="dxa"/>
            <w:shd w:val="clear" w:color="auto" w:fill="D9D9D9"/>
          </w:tcPr>
          <w:p>
            <w:pPr>
              <w:pStyle w:val="10"/>
              <w:rPr>
                <w:rFonts w:hint="default" w:ascii="Times New Roman" w:hAnsi="Times New Roman" w:cs="Times New Roman"/>
                <w:sz w:val="20"/>
                <w:szCs w:val="20"/>
              </w:rPr>
            </w:pPr>
            <w:r>
              <w:rPr>
                <w:rFonts w:hint="default" w:ascii="Times New Roman" w:hAnsi="Times New Roman" w:cs="Times New Roman"/>
                <w:sz w:val="20"/>
                <w:szCs w:val="20"/>
              </w:rPr>
              <w:t>26</w:t>
            </w:r>
          </w:p>
        </w:tc>
        <w:tc>
          <w:tcPr>
            <w:tcW w:w="5202" w:type="dxa"/>
            <w:tcBorders>
              <w:right w:val="single" w:color="auto" w:sz="4" w:space="0"/>
            </w:tcBorders>
            <w:shd w:val="clear" w:color="auto" w:fill="D9D9D9"/>
          </w:tcPr>
          <w:p>
            <w:pPr>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sz w:val="20"/>
                <w:szCs w:val="20"/>
              </w:rPr>
            </w:pPr>
            <w:r>
              <w:rPr>
                <w:rFonts w:hint="default" w:ascii="Times New Roman" w:hAnsi="Times New Roman" w:cs="Times New Roman"/>
                <w:color w:val="000000" w:themeColor="text1"/>
                <w:sz w:val="20"/>
                <w:szCs w:val="20"/>
                <w14:textFill>
                  <w14:solidFill>
                    <w14:schemeClr w14:val="tx1"/>
                  </w14:solidFill>
                </w14:textFill>
              </w:rPr>
              <w:t>In brief, this study aimed to assess the correlation between three novel glucose-lowering drugs and outcome indicators (mortality, requiring ICU admission, and requiring mechanical ventilation) in diabetic COVID-19 patients. Specifically, SGLT-2i were more likely to be beneficial treating diabetic COVID-19 patients</w:t>
            </w:r>
            <w:r>
              <w:rPr>
                <w:rFonts w:hint="default" w:ascii="Times New Roman" w:hAnsi="Times New Roman" w:cs="Times New Roman"/>
                <w:color w:val="000000" w:themeColor="text1"/>
                <w:sz w:val="20"/>
                <w:szCs w:val="20"/>
                <w:lang w:val="en-US" w:eastAsia="zh-CN"/>
                <w14:textFill>
                  <w14:solidFill>
                    <w14:schemeClr w14:val="tx1"/>
                  </w14:solidFill>
                </w14:textFill>
              </w:rPr>
              <w:t xml:space="preserve">. </w:t>
            </w:r>
            <w:r>
              <w:rPr>
                <w:rFonts w:hint="default" w:ascii="Times New Roman" w:hAnsi="Times New Roman" w:cs="Times New Roman"/>
                <w:color w:val="000000" w:themeColor="text1"/>
                <w:sz w:val="20"/>
                <w:szCs w:val="20"/>
                <w14:textFill>
                  <w14:solidFill>
                    <w14:schemeClr w14:val="tx1"/>
                  </w14:solidFill>
                </w14:textFill>
              </w:rPr>
              <w:t>The above-described results may have implications for the clinical management of diabetes with COVID-19 and may inform the development of clinical practice guidelines or future RCT trials.</w:t>
            </w:r>
          </w:p>
        </w:tc>
        <w:tc>
          <w:tcPr>
            <w:tcW w:w="0" w:type="auto"/>
            <w:tcBorders>
              <w:left w:val="single" w:color="auto" w:sz="4" w:space="0"/>
            </w:tcBorders>
            <w:shd w:val="clear" w:color="auto" w:fill="D9D9D9"/>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333" w:hRule="atLeast"/>
        </w:trPr>
        <w:tc>
          <w:tcPr>
            <w:tcW w:w="0" w:type="auto"/>
            <w:shd w:val="clear" w:color="auto" w:fill="auto"/>
          </w:tcPr>
          <w:p>
            <w:pPr>
              <w:pStyle w:val="10"/>
              <w:rPr>
                <w:rFonts w:hint="default" w:ascii="Times New Roman" w:hAnsi="Times New Roman" w:cs="Times New Roman"/>
                <w:sz w:val="20"/>
                <w:szCs w:val="20"/>
              </w:rPr>
            </w:pP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153" w:hRule="atLeast"/>
        </w:trPr>
        <w:tc>
          <w:tcPr>
            <w:tcW w:w="0" w:type="auto"/>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b/>
                <w:bCs/>
                <w:sz w:val="20"/>
                <w:szCs w:val="20"/>
              </w:rPr>
              <w:t>FUNDING</w:t>
            </w:r>
          </w:p>
        </w:tc>
        <w:tc>
          <w:tcPr>
            <w:tcW w:w="627" w:type="dxa"/>
            <w:shd w:val="clear" w:color="auto" w:fill="auto"/>
          </w:tcPr>
          <w:p>
            <w:pPr>
              <w:pStyle w:val="10"/>
              <w:rPr>
                <w:rFonts w:hint="default" w:ascii="Times New Roman" w:hAnsi="Times New Roman" w:cs="Times New Roman"/>
                <w:sz w:val="20"/>
                <w:szCs w:val="20"/>
              </w:rPr>
            </w:pPr>
          </w:p>
        </w:tc>
        <w:tc>
          <w:tcPr>
            <w:tcW w:w="5202" w:type="dxa"/>
            <w:tcBorders>
              <w:right w:val="single" w:color="auto" w:sz="4" w:space="0"/>
            </w:tcBorders>
            <w:shd w:val="clear" w:color="auto" w:fill="auto"/>
          </w:tcPr>
          <w:p>
            <w:pPr>
              <w:pStyle w:val="10"/>
              <w:rPr>
                <w:rFonts w:hint="default" w:ascii="Times New Roman" w:hAnsi="Times New Roman" w:cs="Times New Roman"/>
                <w:sz w:val="20"/>
                <w:szCs w:val="20"/>
              </w:rPr>
            </w:pPr>
          </w:p>
        </w:tc>
        <w:tc>
          <w:tcPr>
            <w:tcW w:w="0" w:type="auto"/>
            <w:tcBorders>
              <w:left w:val="single" w:color="auto" w:sz="4" w:space="0"/>
            </w:tcBorders>
            <w:shd w:val="clear" w:color="auto" w:fill="auto"/>
          </w:tcPr>
          <w:p>
            <w:pPr>
              <w:pStyle w:val="10"/>
              <w:rPr>
                <w:rFonts w:hint="default" w:ascii="Times New Roman" w:hAnsi="Times New Roman" w:cs="Times New Roman"/>
                <w:color w:val="auto"/>
                <w:sz w:val="20"/>
                <w:szCs w:val="20"/>
              </w:rPr>
            </w:pPr>
          </w:p>
        </w:tc>
      </w:tr>
      <w:tr>
        <w:tblPrEx>
          <w:tblCellMar>
            <w:top w:w="0" w:type="dxa"/>
            <w:left w:w="108" w:type="dxa"/>
            <w:bottom w:w="0" w:type="dxa"/>
            <w:right w:w="108" w:type="dxa"/>
          </w:tblCellMar>
        </w:tblPrEx>
        <w:trPr>
          <w:trHeight w:val="580" w:hRule="atLeast"/>
        </w:trPr>
        <w:tc>
          <w:tcPr>
            <w:tcW w:w="0" w:type="auto"/>
            <w:tcBorders>
              <w:bottom w:val="single" w:color="000000" w:sz="2" w:space="0"/>
            </w:tcBorders>
            <w:shd w:val="clear" w:color="auto" w:fill="auto"/>
          </w:tcPr>
          <w:p>
            <w:pPr>
              <w:pStyle w:val="10"/>
              <w:ind w:left="176"/>
              <w:rPr>
                <w:rFonts w:hint="default" w:ascii="Times New Roman" w:hAnsi="Times New Roman" w:cs="Times New Roman"/>
                <w:sz w:val="20"/>
                <w:szCs w:val="20"/>
              </w:rPr>
            </w:pPr>
            <w:r>
              <w:rPr>
                <w:rFonts w:hint="default" w:ascii="Times New Roman" w:hAnsi="Times New Roman" w:cs="Times New Roman"/>
                <w:sz w:val="20"/>
                <w:szCs w:val="20"/>
              </w:rPr>
              <w:t xml:space="preserve">Funding </w:t>
            </w:r>
          </w:p>
        </w:tc>
        <w:tc>
          <w:tcPr>
            <w:tcW w:w="627" w:type="dxa"/>
            <w:tcBorders>
              <w:bottom w:val="single" w:color="000000" w:sz="2" w:space="0"/>
            </w:tcBorders>
            <w:shd w:val="clear" w:color="auto" w:fill="auto"/>
          </w:tcPr>
          <w:p>
            <w:pPr>
              <w:pStyle w:val="10"/>
              <w:rPr>
                <w:rFonts w:hint="default" w:ascii="Times New Roman" w:hAnsi="Times New Roman" w:cs="Times New Roman"/>
                <w:sz w:val="20"/>
                <w:szCs w:val="20"/>
              </w:rPr>
            </w:pPr>
            <w:r>
              <w:rPr>
                <w:rFonts w:hint="default" w:ascii="Times New Roman" w:hAnsi="Times New Roman" w:cs="Times New Roman"/>
                <w:sz w:val="20"/>
                <w:szCs w:val="20"/>
              </w:rPr>
              <w:t>27</w:t>
            </w:r>
          </w:p>
        </w:tc>
        <w:tc>
          <w:tcPr>
            <w:tcW w:w="5202" w:type="dxa"/>
            <w:tcBorders>
              <w:bottom w:val="single" w:color="000000" w:sz="2" w:space="0"/>
              <w:right w:val="single" w:color="auto" w:sz="4" w:space="0"/>
            </w:tcBorders>
            <w:shd w:val="clear" w:color="auto" w:fill="auto"/>
          </w:tcPr>
          <w:p>
            <w:pPr>
              <w:pageBreakBefore w:val="0"/>
              <w:widowControl/>
              <w:kinsoku/>
              <w:wordWrap/>
              <w:overflowPunct/>
              <w:topLinePunct w:val="0"/>
              <w:autoSpaceDE/>
              <w:autoSpaceDN/>
              <w:bidi w:val="0"/>
              <w:adjustRightInd/>
              <w:spacing w:before="100" w:beforeAutospacing="1" w:after="100" w:afterAutospacing="1" w:line="24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The current study was supported by the Yunnan Provincial Health Commission Medical Leading Talent Training Program (grant no.</w:t>
            </w:r>
            <w:r>
              <w:rPr>
                <w:rFonts w:hint="default" w:ascii="Times New Roman" w:hAnsi="Times New Roman" w:cs="Times New Roman"/>
                <w:sz w:val="20"/>
                <w:szCs w:val="20"/>
                <w:lang w:val="en-US" w:eastAsia="zh-CN"/>
              </w:rPr>
              <w:t xml:space="preserve"> </w:t>
            </w:r>
            <w:r>
              <w:rPr>
                <w:rFonts w:hint="default" w:ascii="Times New Roman" w:hAnsi="Times New Roman" w:cs="Times New Roman"/>
                <w:sz w:val="20"/>
                <w:szCs w:val="20"/>
              </w:rPr>
              <w:t>L-2019014); the Joint Special Project of Applied Basic Research of Kunming Medical University, Department of Science and Technology of Yunnan Province (grant no. 202201AY070001-127).</w:t>
            </w:r>
          </w:p>
        </w:tc>
        <w:tc>
          <w:tcPr>
            <w:tcW w:w="0" w:type="auto"/>
            <w:tcBorders>
              <w:left w:val="single" w:color="auto" w:sz="4" w:space="0"/>
              <w:bottom w:val="single" w:color="000000" w:sz="2" w:space="0"/>
            </w:tcBorders>
            <w:shd w:val="clear" w:color="auto" w:fill="auto"/>
          </w:tcPr>
          <w:p>
            <w:pPr>
              <w:pStyle w:val="10"/>
              <w:rPr>
                <w:rFonts w:hint="default" w:ascii="Times New Roman" w:hAnsi="Times New Roman" w:cs="Times New Roman"/>
                <w:b/>
                <w:i/>
                <w:color w:val="auto"/>
                <w:sz w:val="20"/>
                <w:szCs w:val="20"/>
              </w:rPr>
            </w:pPr>
          </w:p>
        </w:tc>
      </w:tr>
    </w:tbl>
    <w:p>
      <w:pPr>
        <w:rPr>
          <w:rFonts w:hint="eastAsia" w:ascii="Times New Roman" w:hAnsi="Times New Roman" w:cs="Times New Roman"/>
          <w:b/>
          <w:bCs/>
          <w:lang w:val="en-US" w:eastAsia="zh-CN"/>
        </w:rPr>
      </w:pPr>
      <w:r>
        <w:rPr>
          <w:rFonts w:hint="eastAsia" w:ascii="Times New Roman" w:hAnsi="Times New Roman" w:cs="Times New Roman"/>
          <w:b/>
          <w:bCs/>
          <w:lang w:val="en-US" w:eastAsia="zh-CN"/>
        </w:rPr>
        <w:br w:type="page"/>
      </w:r>
    </w:p>
    <w:p>
      <w:pPr>
        <w:jc w:val="left"/>
        <w:rPr>
          <w:rFonts w:hint="eastAsia" w:ascii="Times New Roman" w:hAnsi="Times New Roman" w:cs="Times New Roman"/>
          <w:b/>
          <w:bCs/>
          <w:lang w:val="en-US" w:eastAsia="zh-CN"/>
        </w:rPr>
      </w:pPr>
    </w:p>
    <w:p>
      <w:pPr>
        <w:jc w:val="center"/>
        <w:rPr>
          <w:rFonts w:hint="default" w:ascii="Times New Roman" w:hAnsi="Times New Roman" w:cs="Times New Roman"/>
          <w:b/>
          <w:bCs/>
        </w:rPr>
      </w:pPr>
      <w:bookmarkStart w:id="33" w:name="OLE_LINK1"/>
      <w:r>
        <w:rPr>
          <w:rFonts w:hint="eastAsia" w:ascii="Times New Roman" w:hAnsi="Times New Roman" w:cs="Times New Roman"/>
          <w:b/>
          <w:bCs/>
          <w:lang w:val="en-US" w:eastAsia="zh-CN"/>
        </w:rPr>
        <w:t>Sup. Table 2</w:t>
      </w:r>
      <w:bookmarkEnd w:id="33"/>
      <w:r>
        <w:rPr>
          <w:rFonts w:hint="eastAsia" w:ascii="Times New Roman" w:hAnsi="Times New Roman" w:cs="Times New Roman"/>
          <w:b/>
          <w:bCs/>
          <w:lang w:val="en-US" w:eastAsia="zh-CN"/>
        </w:rPr>
        <w:t xml:space="preserve"> </w:t>
      </w:r>
      <w:r>
        <w:rPr>
          <w:rFonts w:hint="default" w:ascii="Times New Roman" w:hAnsi="Times New Roman" w:cs="Times New Roman"/>
          <w:b/>
          <w:bCs/>
        </w:rPr>
        <w:t>Literature search strategy</w:t>
      </w:r>
    </w:p>
    <w:p>
      <w:pPr>
        <w:jc w:val="center"/>
        <w:rPr>
          <w:rFonts w:hint="default" w:ascii="Times New Roman" w:hAnsi="Times New Roman" w:cs="Times New Roman"/>
          <w:b/>
          <w:bCs/>
        </w:rPr>
      </w:pPr>
    </w:p>
    <w:tbl>
      <w:tblPr>
        <w:tblStyle w:val="6"/>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5"/>
        <w:gridCol w:w="685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5" w:type="dxa"/>
            <w:tcBorders>
              <w:bottom w:val="single" w:color="auto" w:sz="4" w:space="0"/>
              <w:tl2br w:val="nil"/>
              <w:tr2bl w:val="nil"/>
            </w:tcBorders>
            <w:vAlign w:val="top"/>
          </w:tcPr>
          <w:p>
            <w:pPr>
              <w:jc w:val="center"/>
              <w:rPr>
                <w:rFonts w:hint="default"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Database</w:t>
            </w:r>
          </w:p>
        </w:tc>
        <w:tc>
          <w:tcPr>
            <w:tcW w:w="6857" w:type="dxa"/>
            <w:tcBorders>
              <w:bottom w:val="single" w:color="auto" w:sz="4" w:space="0"/>
              <w:tl2br w:val="nil"/>
              <w:tr2bl w:val="nil"/>
            </w:tcBorders>
            <w:vAlign w:val="top"/>
          </w:tcPr>
          <w:p>
            <w:pPr>
              <w:jc w:val="center"/>
              <w:rPr>
                <w:rFonts w:hint="default" w:ascii="Times New Roman" w:hAnsi="Times New Roman" w:cs="Times New Roman"/>
                <w:vertAlign w:val="baseline"/>
                <w:lang w:val="en-US" w:eastAsia="zh-CN"/>
              </w:rPr>
            </w:pPr>
            <w:r>
              <w:rPr>
                <w:rFonts w:hint="eastAsia" w:ascii="Times New Roman" w:hAnsi="Times New Roman" w:cs="Times New Roman"/>
                <w:b/>
                <w:bCs/>
                <w:lang w:val="en-US" w:eastAsia="zh-CN"/>
              </w:rPr>
              <w:t>S</w:t>
            </w:r>
            <w:r>
              <w:rPr>
                <w:rFonts w:hint="default" w:ascii="Times New Roman" w:hAnsi="Times New Roman" w:cs="Times New Roman"/>
                <w:b/>
                <w:bCs/>
              </w:rPr>
              <w:t>earch strategy</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5" w:type="dxa"/>
            <w:tcBorders>
              <w:top w:val="single" w:color="auto" w:sz="4" w:space="0"/>
              <w:tl2br w:val="nil"/>
              <w:tr2bl w:val="nil"/>
            </w:tcBorders>
            <w:vAlign w:val="top"/>
          </w:tcPr>
          <w:p>
            <w:pPr>
              <w:jc w:val="center"/>
              <w:rPr>
                <w:rFonts w:hint="default" w:ascii="Times New Roman" w:hAnsi="Times New Roman" w:cs="Times New Roman"/>
                <w:vertAlign w:val="baseline"/>
                <w:lang w:val="en-US" w:eastAsia="zh-CN"/>
              </w:rPr>
            </w:pPr>
            <w:r>
              <w:rPr>
                <w:rFonts w:hint="default" w:ascii="Times New Roman" w:hAnsi="Times New Roman" w:cs="Times New Roman"/>
                <w:b/>
                <w:bCs/>
                <w:lang w:val="en-US" w:eastAsia="zh-CN"/>
              </w:rPr>
              <w:t>Pubmed</w:t>
            </w:r>
          </w:p>
        </w:tc>
        <w:tc>
          <w:tcPr>
            <w:tcW w:w="6857" w:type="dxa"/>
            <w:tcBorders>
              <w:top w:val="single" w:color="auto" w:sz="4" w:space="0"/>
              <w:tl2br w:val="nil"/>
              <w:tr2bl w:val="nil"/>
            </w:tcBorders>
            <w:vAlign w:val="top"/>
          </w:tcPr>
          <w:p>
            <w:pPr>
              <w:rPr>
                <w:rFonts w:hint="default" w:ascii="Times New Roman Regular" w:hAnsi="Times New Roman Regular" w:cs="Times New Roman Regular"/>
                <w:vertAlign w:val="baseline"/>
                <w:lang w:val="en-US" w:eastAsia="zh-CN"/>
              </w:rPr>
            </w:pPr>
            <w:r>
              <w:rPr>
                <w:rFonts w:hint="default" w:ascii="Times New Roman" w:hAnsi="Times New Roman" w:cs="Times New Roman"/>
                <w:lang w:val="en-US" w:eastAsia="zh-CN"/>
              </w:rPr>
              <w:t xml:space="preserve">("cohort studies"[mesh] OR "case-control studies"[mesh] OR "comparative study"[pt] OR "risk factors"[mesh] OR "cohort"[tw] OR "compared"[tw] OR "groups"[tw] OR "case control"[tw] OR "multivariate"[tw]) AND ((((((((((((((((((Dapagliflozin[Title/Abstract]) OR (Farxiga[Title/Abstract])) OR (Forxiga[Title/Abstract])) OR (Empagliflozin[Title/Abstract])) OR (Jardiance[Title/Abstract])) OR (Canagliflozin[Title/Abstract])) OR (Invokana[Title/Abstract])) OR (sotagliflozin[Title/Abstract])) OR (luseogliflozin[Title/Abstract])) OR (ipragliflozin[Title/Abstract])) OR (remogliflozin[Title/Abstract])) OR (sergliflozin[Title/Abstract])) OR (ertugliflozin[Title/Abstract])) OR (tofogliflozin[Title/Abstract])) OR (((((((Sodium-Glucose Transporter 2 Inhibitors[Title/Abstract]) OR (Sodium Glucose cotransporter*[Title/Abstract])) OR (Sodium-dependent glucose cotransporter*[Title/Abstract])) OR (Sodium Glucose transporter*[Title/Abstract])) OR (SGLT2[Title/Abstract])) OR (SGLT-2[Title/Abstract])) OR (SGLT 2*[Title/Abstract]))) OR (((((((((((((((((((((((((Dipeptidyl-Peptidase IV Inhibitors[Title/Abstract]) OR (Dipeptidyl-Peptidase IV Inhibitor*[Title/Abstract])) OR (Dipeptidyl peptidase 4 inhibitor*[Title/Abstract])) OR (DPP-4 inhibitor*[Title/Abstract])) OR (Gliptins[Title/Abstract])) OR (DPP-4i[Title/Abstract])) OR (Sitagliptin[Title/Abstract])) OR (Januvia[Title/Abstract])) OR (Saxagliptin[Title/Abstract])) OR (Onglyza[Title/Abstract])) OR (Vildagliptin[Title/Abstract])) OR (Galvus[Title/Abstract])) OR (Alogliptin[Title/Abstract])) OR (nesina[Title/Abstract])) OR (Tiglitatin[Title/Abstract])) OR (Linagliptin[Title/Abstract])) OR (Tradjenta[Title/Abstract])) OR (Trajenta[Title/Abstract])) OR (gemigliptin[Title/Abstract])) OR (teneligliptin[Title/Abstract])) OR (trelagliptin[Title/Abstract])) OR (evogliptin[Title/Abstract])) OR (evogliptin[Title/Abstract])) OR (dutogliptin[Title/Abstract])) OR (omarigliptin[Title/Abstract]))) OR ((((((((((((((((Glucagon-Like Peptide-1 Receptor[Title/Abstract]) OR (Glucagon-like peptide 1 receptor agonist*[Title/Abstract])) OR (GLP-1 receptor agonist*[Title/Abstract])) OR (GLP-1 agonist*[Title/Abstract])) OR (GLP-1RA[Title/Abstract])) OR (Exenatide[Title/Abstract])) OR (Bydureon[Title/Abstract])) OR (Exendin-4[Title/Abstract])) OR (Byetta[Title/Abstract])) OR (Liraglutide[Title/Abstract])) OR (Victoza[Title/Abstract])) OR (Saxenda[Title/Abstract])) OR (lixisenatide[Title/Abstract])) OR (albiglutide[Title/Abstract])) OR (dulaglutide[Title/Abstract])) OR (semaglutide[Title/Abstract]))) AND (((((((((COVID-19[Title/Abstract]) OR (COVID19[Title/Abstract])) OR (Coronavirus Disease 2019[Title/Abstract])) OR (2019 novel coronavirus[Title/Abstract])) OR (2019-nCoV[Title/Abstract])) OR (2019nCoV[Title/Abstract])) OR (severe </w:t>
            </w:r>
            <w:r>
              <w:rPr>
                <w:rFonts w:hint="default" w:ascii="Times New Roman" w:hAnsi="Times New Roman" w:cs="Times New Roman"/>
                <w:color w:val="auto"/>
                <w:sz w:val="21"/>
                <w:szCs w:val="21"/>
                <w:lang w:val="en-US" w:eastAsia="zh-CN"/>
              </w:rPr>
              <w:t>acute respiratory syndrome coronavirus 2[Title/Abstract])) OR (SARS-COV-2[Title/Abstract])) AND ((((Diabetes Mellitus[Title/Abstract]) OR (diabetes[Title/Abstract])) OR (DM[Title/Abstract]))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5" w:type="dxa"/>
            <w:tcBorders>
              <w:tl2br w:val="nil"/>
              <w:tr2bl w:val="nil"/>
            </w:tcBorders>
            <w:vAlign w:val="top"/>
          </w:tcPr>
          <w:p>
            <w:pPr>
              <w:jc w:val="center"/>
              <w:rPr>
                <w:rFonts w:hint="default" w:ascii="Times New Roman" w:hAnsi="Times New Roman" w:cs="Times New Roman"/>
                <w:vertAlign w:val="baseline"/>
                <w:lang w:val="en-US" w:eastAsia="zh-CN"/>
              </w:rPr>
            </w:pPr>
            <w:r>
              <w:rPr>
                <w:rFonts w:hint="default" w:ascii="Times New Roman" w:hAnsi="Times New Roman" w:cs="Times New Roman"/>
                <w:b/>
                <w:bCs/>
                <w:lang w:val="en-US" w:eastAsia="zh-CN"/>
              </w:rPr>
              <w:t>Embase</w:t>
            </w:r>
          </w:p>
        </w:tc>
        <w:tc>
          <w:tcPr>
            <w:tcW w:w="6857" w:type="dxa"/>
            <w:tcBorders>
              <w:tl2br w:val="nil"/>
              <w:tr2bl w:val="nil"/>
            </w:tcBorders>
            <w:vAlign w:val="top"/>
          </w:tcPr>
          <w:p>
            <w:pPr>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‘Sodium-Glucose Transporter 2 Inhibitors’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‘Sodium Glucose cotransporter*’ OR ‘Sodium-dependent glucose cotransporter*’ OR</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‘Sodium Glucose transporter*’ OR ‘SGLT2’ OR ‘SGLT-2’ OR ‘SGLT 2*’</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Dapagliflozin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Farxiga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Forxiga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Empagliflozin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Jardiance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Canagliflozin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Invokana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sotagliflozin OR luseogliflozin OR ipragliflozin OR remogliflozin OR sergliflozin OR ertugliflozin OR tofogliflozin</w:t>
            </w:r>
          </w:p>
          <w:p>
            <w:pPr>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eastAsia" w:ascii="Times New Roman" w:hAnsi="Times New Roman" w:cs="Times New Roman"/>
                <w:lang w:val="en-US" w:eastAsia="zh-CN"/>
              </w:rPr>
              <w:t>‘Dipeptidyl-Peptidase IV Inhibitors’ OR ‘Dipeptidyl-Peptidase IV Inhibitor*’ OR ‘Dipeptidyl peptidase 4 inhibitor*’ OR ‘DPP-4 inhibitor*’ OR Gliptins OR DPP-4i OR Sitagliptin OR Januvia OR Saxagliptin OR Onglyza OR Vildagliptin OR Galvus OR Alogliptin OR nesina OR Tiglitatin OR Linagliptin OR Tradjenta OR Trajenta OR gemigliptin OR teneligliptin OR trelagliptin OR evogliptin OR gosogliptin OR dutogliptinOR omarigliptin</w:t>
            </w:r>
            <w:r>
              <w:rPr>
                <w:rFonts w:hint="default" w:ascii="Times New Roman" w:hAnsi="Times New Roman" w:cs="Times New Roman"/>
                <w:lang w:val="en-US" w:eastAsia="zh-CN"/>
              </w:rPr>
              <w:t>OR Angelica injection :ab</w:t>
            </w:r>
          </w:p>
          <w:p>
            <w:pPr>
              <w:rPr>
                <w:rFonts w:hint="eastAsia" w:ascii="Times New Roman" w:hAnsi="Times New Roman" w:cs="Times New Roman"/>
                <w:lang w:val="en-US" w:eastAsia="zh-CN"/>
              </w:rPr>
            </w:pPr>
            <w:r>
              <w:rPr>
                <w:rFonts w:hint="default" w:ascii="Times New Roman" w:hAnsi="Times New Roman" w:cs="Times New Roman"/>
                <w:lang w:val="en-US" w:eastAsia="zh-CN"/>
              </w:rPr>
              <w:t>3#</w:t>
            </w:r>
            <w:r>
              <w:rPr>
                <w:rFonts w:hint="eastAsia" w:ascii="Times New Roman" w:hAnsi="Times New Roman" w:cs="Times New Roman"/>
                <w:lang w:val="en-US" w:eastAsia="zh-CN"/>
              </w:rPr>
              <w:t>‘Glucagon-Like Peptide-1 Receptor’ OR ‘Glucagon-like peptide 1 receptor agonist*’ OR ‘GLP-1 receptor agonist*’ OR ‘GLP-1 agonist*’ OR ‘GLP-1RA’ OR Exenatide OR Bydureon OR Exendin-4 OR Byetta OR Liraglutide OR Victoza OR Saxenda OR lixisenatide OR albiglutide OR dulaglutide OR semaglutide</w:t>
            </w:r>
          </w:p>
          <w:p>
            <w:pPr>
              <w:rPr>
                <w:rFonts w:hint="eastAsia" w:ascii="Times New Roman" w:hAnsi="Times New Roman" w:cs="Times New Roman"/>
                <w:lang w:val="en-US" w:eastAsia="zh-CN"/>
              </w:rPr>
            </w:pPr>
            <w:r>
              <w:rPr>
                <w:rFonts w:hint="eastAsia" w:ascii="Times New Roman" w:hAnsi="Times New Roman" w:cs="Times New Roman"/>
                <w:lang w:val="en-US" w:eastAsia="zh-CN"/>
              </w:rPr>
              <w:t>4# Antidiabetic drugs OR Hypoglycemic agents OR Hypoglycemic drug</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5#  </w:t>
            </w:r>
            <w:r>
              <w:rPr>
                <w:rFonts w:hint="default" w:ascii="Times New Roman" w:hAnsi="Times New Roman" w:cs="Times New Roman"/>
                <w:lang w:val="en-US" w:eastAsia="zh-CN"/>
              </w:rPr>
              <w:t>1#</w:t>
            </w:r>
            <w:r>
              <w:rPr>
                <w:rFonts w:hint="eastAsia" w:ascii="Times New Roman" w:hAnsi="Times New Roman" w:cs="Times New Roman"/>
                <w:lang w:val="en-US" w:eastAsia="zh-CN"/>
              </w:rPr>
              <w:t xml:space="preserve"> OR 2</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3</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4</w:t>
            </w:r>
            <w:r>
              <w:rPr>
                <w:rFonts w:hint="default" w:ascii="Times New Roman" w:hAnsi="Times New Roman" w:cs="Times New Roman"/>
                <w:lang w:val="en-US" w:eastAsia="zh-CN"/>
              </w:rPr>
              <w:t>#</w:t>
            </w:r>
          </w:p>
          <w:p>
            <w:pPr>
              <w:rPr>
                <w:rFonts w:hint="default" w:ascii="Times New Roman" w:hAnsi="Times New Roman" w:cs="Times New Roman"/>
                <w:lang w:val="en-US" w:eastAsia="zh-CN"/>
              </w:rPr>
            </w:pPr>
            <w:r>
              <w:rPr>
                <w:rFonts w:hint="eastAsia" w:ascii="Times New Roman" w:hAnsi="Times New Roman" w:cs="Times New Roman"/>
                <w:lang w:val="en-US" w:eastAsia="zh-CN"/>
              </w:rPr>
              <w:t>6</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‘Diabetes Mellitus, Type 2’OR ‘Type 2 diabetes’ OR ‘T2DM’ OR ‘T2D’</w:t>
            </w:r>
          </w:p>
          <w:p>
            <w:pPr>
              <w:rPr>
                <w:rFonts w:hint="default" w:ascii="Times New Roman" w:hAnsi="Times New Roman" w:cs="Times New Roman"/>
                <w:lang w:val="en-US" w:eastAsia="zh-CN"/>
              </w:rPr>
            </w:pPr>
            <w:r>
              <w:rPr>
                <w:rFonts w:hint="eastAsia" w:ascii="Times New Roman" w:hAnsi="Times New Roman" w:cs="Times New Roman"/>
                <w:lang w:val="en-US" w:eastAsia="zh-CN"/>
              </w:rPr>
              <w:t>7</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‘COVID-19’ OR ‘COVID19’ OR ‘Coronavirus Disease 2019’ OR ‘2019 novel coronavirus’ OR ‘2019nCoV’ OR ‘severe acute respiratory syndrome coronavirus 2’ OR ‘SARS-COV-2’</w:t>
            </w:r>
          </w:p>
          <w:p>
            <w:pPr>
              <w:rPr>
                <w:rFonts w:hint="eastAsia" w:ascii="Times New Roman" w:hAnsi="Times New Roman" w:cs="Times New Roman"/>
                <w:lang w:val="en-US" w:eastAsia="zh-CN"/>
              </w:rPr>
            </w:pPr>
            <w:r>
              <w:rPr>
                <w:rFonts w:hint="eastAsia" w:ascii="Times New Roman" w:hAnsi="Times New Roman" w:cs="Times New Roman"/>
                <w:lang w:val="en-US" w:eastAsia="zh-CN"/>
              </w:rPr>
              <w:t>8</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'clinical article'/exp OR 'controlled study'/exp OR 'major clinical study'/exp OR 'prospective study'/exp OR 'cohort analysis'/exp OR 'cohort':ti,ab OR 'compared':ti,ab OR 'groups':ti,ab OR 'case control':ti,ab OR 'multivariate':ti,ab</w:t>
            </w:r>
          </w:p>
          <w:p>
            <w:pPr>
              <w:rPr>
                <w:rFonts w:hint="default" w:ascii="Times New Roman" w:hAnsi="Times New Roman" w:cs="Times New Roman"/>
                <w:lang w:val="en-US" w:eastAsia="zh-CN"/>
              </w:rPr>
            </w:pPr>
            <w:r>
              <w:rPr>
                <w:rFonts w:hint="eastAsia" w:ascii="Times New Roman" w:hAnsi="Times New Roman" w:cs="Times New Roman"/>
                <w:lang w:val="en-US" w:eastAsia="zh-CN"/>
              </w:rPr>
              <w:t>9# 5</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6</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7</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8</w:t>
            </w:r>
            <w:r>
              <w:rPr>
                <w:rFonts w:hint="default" w:ascii="Times New Roman" w:hAnsi="Times New Roman" w:cs="Times New Roman"/>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5" w:type="dxa"/>
            <w:tcBorders>
              <w:tl2br w:val="nil"/>
              <w:tr2bl w:val="nil"/>
            </w:tcBorders>
            <w:vAlign w:val="top"/>
          </w:tcPr>
          <w:p>
            <w:pPr>
              <w:jc w:val="center"/>
              <w:rPr>
                <w:rFonts w:hint="default" w:ascii="Times New Roman" w:hAnsi="Times New Roman" w:cs="Times New Roman"/>
                <w:vertAlign w:val="baseline"/>
                <w:lang w:val="en-US" w:eastAsia="zh-CN"/>
              </w:rPr>
            </w:pPr>
            <w:r>
              <w:rPr>
                <w:rFonts w:hint="default" w:ascii="Times New Roman" w:hAnsi="Times New Roman" w:cs="Times New Roman"/>
                <w:b/>
                <w:bCs/>
                <w:lang w:val="en-US" w:eastAsia="zh-CN"/>
              </w:rPr>
              <w:t>The Cochrane Library</w:t>
            </w:r>
          </w:p>
        </w:tc>
        <w:tc>
          <w:tcPr>
            <w:tcW w:w="6857" w:type="dxa"/>
            <w:tcBorders>
              <w:tl2br w:val="nil"/>
              <w:tr2bl w:val="nil"/>
            </w:tcBorders>
            <w:vAlign w:val="top"/>
          </w:tcPr>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1# </w:t>
            </w:r>
            <w:r>
              <w:rPr>
                <w:rFonts w:hint="default" w:ascii="Times New Roman" w:hAnsi="Times New Roman" w:cs="Times New Roman"/>
                <w:lang w:val="en-US" w:eastAsia="zh-CN"/>
              </w:rPr>
              <w:t>Sodium-Glucose Transporter 2 Inhibitors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‘Sodium Glucose cotransporter*’ OR ‘Sodium-dependent glucose cotransporter*’ OR</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‘Sodium Glucose transporter*’ OR SGLT2 OR SGLT-2 OR ‘SGLT 2*’</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Dapagliflozin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Farxiga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Forxiga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Empagliflozin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Jardiance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Canagliflozin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Invokana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sotagliflozin OR luseogliflozin OR ipragliflozin OR remogliflozin OR sergliflozin OR ertugliflozin OR tofogliflozin</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2# </w:t>
            </w:r>
            <w:r>
              <w:rPr>
                <w:rFonts w:hint="default" w:ascii="Times New Roman" w:hAnsi="Times New Roman" w:cs="Times New Roman"/>
                <w:lang w:val="en-US" w:eastAsia="zh-CN"/>
              </w:rPr>
              <w:t>Dipeptidyl-Peptidase IV Inhibitors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w:t>
            </w:r>
            <w:r>
              <w:rPr>
                <w:rFonts w:hint="eastAsia" w:ascii="Times New Roman" w:hAnsi="Times New Roman" w:cs="Times New Roman"/>
                <w:lang w:val="en-US" w:eastAsia="zh-CN"/>
              </w:rPr>
              <w:t>Dipeptidyl-Peptidase IV Inhibitor*</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w:t>
            </w:r>
            <w:r>
              <w:rPr>
                <w:rFonts w:hint="eastAsia" w:ascii="Times New Roman" w:hAnsi="Times New Roman" w:cs="Times New Roman"/>
                <w:lang w:val="en-US" w:eastAsia="zh-CN"/>
              </w:rPr>
              <w:t>Dipeptidyl peptidase 4 inhibitor*</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w:t>
            </w:r>
            <w:r>
              <w:rPr>
                <w:rFonts w:hint="eastAsia" w:ascii="Times New Roman" w:hAnsi="Times New Roman" w:cs="Times New Roman"/>
                <w:lang w:val="en-US" w:eastAsia="zh-CN"/>
              </w:rPr>
              <w:t>DPP-4 inhibitor*</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Gliptins OR DPP-4i OR </w:t>
            </w:r>
            <w:r>
              <w:rPr>
                <w:rFonts w:hint="default" w:ascii="Times New Roman" w:hAnsi="Times New Roman" w:cs="Times New Roman"/>
                <w:lang w:val="en-US" w:eastAsia="zh-CN"/>
              </w:rPr>
              <w:t>Sitagliptin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Januvia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Saxagliptin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Onglyza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Vildagliptin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Galvus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Alogliptin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 xml:space="preserve">nesina </w:t>
            </w:r>
            <w:r>
              <w:rPr>
                <w:rFonts w:hint="eastAsia" w:ascii="Times New Roman" w:hAnsi="Times New Roman" w:cs="Times New Roman"/>
                <w:lang w:val="en-US" w:eastAsia="zh-CN"/>
              </w:rPr>
              <w:t xml:space="preserve">OR </w:t>
            </w:r>
            <w:r>
              <w:rPr>
                <w:rFonts w:hint="default" w:ascii="Times New Roman" w:hAnsi="Times New Roman" w:cs="Times New Roman"/>
                <w:lang w:val="en-US" w:eastAsia="zh-CN"/>
              </w:rPr>
              <w:t>Tiglitatin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Linagliptin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Tradjenta OR Trajenta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gemigliptin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teneligliptin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trelagliptin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evogliptin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gosogliptin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dutogliptinOR omarigliptin</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3# Glucagon-Like Peptide-1 Receptor OR </w:t>
            </w:r>
            <w:r>
              <w:rPr>
                <w:rFonts w:hint="default" w:ascii="Times New Roman" w:hAnsi="Times New Roman" w:cs="Times New Roman"/>
                <w:lang w:val="en-US" w:eastAsia="zh-CN"/>
              </w:rPr>
              <w:t>‘</w:t>
            </w:r>
            <w:r>
              <w:rPr>
                <w:rFonts w:hint="eastAsia" w:ascii="Times New Roman" w:hAnsi="Times New Roman" w:cs="Times New Roman"/>
                <w:lang w:val="en-US" w:eastAsia="zh-CN"/>
              </w:rPr>
              <w:t>Glucagon-like peptide 1 receptor agonist*</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w:t>
            </w:r>
            <w:r>
              <w:rPr>
                <w:rFonts w:hint="eastAsia" w:ascii="Times New Roman" w:hAnsi="Times New Roman" w:cs="Times New Roman"/>
                <w:lang w:val="en-US" w:eastAsia="zh-CN"/>
              </w:rPr>
              <w:t>GLP-1 receptor agonist*</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w:t>
            </w:r>
            <w:r>
              <w:rPr>
                <w:rFonts w:hint="eastAsia" w:ascii="Times New Roman" w:hAnsi="Times New Roman" w:cs="Times New Roman"/>
                <w:lang w:val="en-US" w:eastAsia="zh-CN"/>
              </w:rPr>
              <w:t>GLP-1 agonist*</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w:t>
            </w:r>
            <w:r>
              <w:rPr>
                <w:rFonts w:hint="eastAsia" w:ascii="Times New Roman" w:hAnsi="Times New Roman" w:cs="Times New Roman"/>
                <w:lang w:val="en-US" w:eastAsia="zh-CN"/>
              </w:rPr>
              <w:t>GLP-1RA</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Exenatide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Bydureon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Exendin-4</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Byetta OR</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Liraglutide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Victoza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Saxenda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lixisenatide OR albiglutide OR dulaglutide OR semaglutide</w:t>
            </w:r>
          </w:p>
          <w:p>
            <w:pPr>
              <w:rPr>
                <w:rFonts w:hint="eastAsia" w:ascii="Times New Roman" w:hAnsi="Times New Roman" w:cs="Times New Roman"/>
                <w:lang w:val="en-US" w:eastAsia="zh-CN"/>
              </w:rPr>
            </w:pPr>
            <w:r>
              <w:rPr>
                <w:rFonts w:hint="eastAsia" w:ascii="Times New Roman" w:hAnsi="Times New Roman" w:cs="Times New Roman"/>
                <w:lang w:val="en-US" w:eastAsia="zh-CN"/>
              </w:rPr>
              <w:t>4# Antidiabetic drugs OR Hypoglycemic agents OR Hypoglycemic drug</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5#  </w:t>
            </w:r>
            <w:r>
              <w:rPr>
                <w:rFonts w:hint="default" w:ascii="Times New Roman" w:hAnsi="Times New Roman" w:cs="Times New Roman"/>
                <w:lang w:val="en-US" w:eastAsia="zh-CN"/>
              </w:rPr>
              <w:t>1#</w:t>
            </w:r>
            <w:r>
              <w:rPr>
                <w:rFonts w:hint="eastAsia" w:ascii="Times New Roman" w:hAnsi="Times New Roman" w:cs="Times New Roman"/>
                <w:lang w:val="en-US" w:eastAsia="zh-CN"/>
              </w:rPr>
              <w:t xml:space="preserve"> OR 2</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3</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4</w:t>
            </w:r>
            <w:r>
              <w:rPr>
                <w:rFonts w:hint="default" w:ascii="Times New Roman" w:hAnsi="Times New Roman" w:cs="Times New Roman"/>
                <w:lang w:val="en-US" w:eastAsia="zh-CN"/>
              </w:rPr>
              <w:t>#</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6# </w:t>
            </w:r>
            <w:r>
              <w:rPr>
                <w:rFonts w:hint="default" w:ascii="Times New Roman" w:hAnsi="Times New Roman" w:cs="Times New Roman"/>
                <w:lang w:val="en-US" w:eastAsia="zh-CN"/>
              </w:rPr>
              <w:t>Diabetes Mellitus, Type 2[Mesh]</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Type 2 diabetes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T2DM</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T2D</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7# </w:t>
            </w:r>
            <w:r>
              <w:rPr>
                <w:rFonts w:hint="default" w:ascii="Times New Roman" w:hAnsi="Times New Roman" w:cs="Times New Roman"/>
                <w:lang w:val="en-US" w:eastAsia="zh-CN"/>
              </w:rPr>
              <w:t>COVID19</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Coronavirus Disease 2019</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2019 novel coronavirus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2019nCoV</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severe acute respiratory syndrome coronavirus 2</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SARS-COV-2</w:t>
            </w:r>
          </w:p>
          <w:p>
            <w:pPr>
              <w:rPr>
                <w:rFonts w:hint="default" w:ascii="Times New Roman" w:hAnsi="Times New Roman" w:cs="Times New Roman"/>
                <w:vertAlign w:val="baseline"/>
                <w:lang w:val="en-US" w:eastAsia="zh-CN"/>
              </w:rPr>
            </w:pPr>
            <w:r>
              <w:rPr>
                <w:rFonts w:hint="eastAsia" w:ascii="Times New Roman" w:hAnsi="Times New Roman" w:cs="Times New Roman"/>
                <w:lang w:val="en-US" w:eastAsia="zh-CN"/>
              </w:rPr>
              <w:t>8# 5</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6</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7</w:t>
            </w:r>
            <w:r>
              <w:rPr>
                <w:rFonts w:hint="default" w:ascii="Times New Roman" w:hAnsi="Times New Roman" w:cs="Times New Roman"/>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5" w:type="dxa"/>
            <w:tcBorders>
              <w:tl2br w:val="nil"/>
              <w:tr2bl w:val="nil"/>
            </w:tcBorders>
            <w:vAlign w:val="top"/>
          </w:tcPr>
          <w:p>
            <w:pPr>
              <w:jc w:val="center"/>
              <w:rPr>
                <w:rFonts w:hint="default" w:ascii="Times New Roman" w:hAnsi="Times New Roman" w:cs="Times New Roman"/>
                <w:vertAlign w:val="baseline"/>
                <w:lang w:val="en-US" w:eastAsia="zh-CN"/>
              </w:rPr>
            </w:pPr>
            <w:r>
              <w:rPr>
                <w:rFonts w:hint="default" w:ascii="Times New Roman" w:hAnsi="Times New Roman" w:cs="Times New Roman"/>
                <w:b/>
                <w:bCs/>
                <w:lang w:val="en-US" w:eastAsia="zh-CN"/>
              </w:rPr>
              <w:t xml:space="preserve">Web of sicence </w:t>
            </w:r>
          </w:p>
        </w:tc>
        <w:tc>
          <w:tcPr>
            <w:tcW w:w="6857" w:type="dxa"/>
            <w:tcBorders>
              <w:tl2br w:val="nil"/>
              <w:tr2bl w:val="nil"/>
            </w:tcBorders>
            <w:vAlign w:val="top"/>
          </w:tcPr>
          <w:p>
            <w:pPr>
              <w:rPr>
                <w:rFonts w:hint="eastAsia" w:ascii="Times New Roman" w:hAnsi="Times New Roman" w:cs="Times New Roman"/>
                <w:lang w:val="en-US" w:eastAsia="zh-CN"/>
              </w:rPr>
            </w:pPr>
            <w:bookmarkStart w:id="34" w:name="OLE_LINK24"/>
            <w:r>
              <w:rPr>
                <w:rFonts w:hint="eastAsia" w:ascii="Times New Roman" w:hAnsi="Times New Roman" w:cs="Times New Roman"/>
                <w:color w:val="000000"/>
                <w:sz w:val="21"/>
                <w:szCs w:val="21"/>
                <w:lang w:val="en-US" w:eastAsia="zh-CN"/>
              </w:rPr>
              <w:t>1</w:t>
            </w:r>
            <w:r>
              <w:rPr>
                <w:rFonts w:hint="eastAsia" w:ascii="Times New Roman" w:hAnsi="Times New Roman" w:cs="Times New Roman"/>
                <w:lang w:val="en-US" w:eastAsia="zh-CN"/>
              </w:rPr>
              <w:t># TS=(</w:t>
            </w:r>
            <w:r>
              <w:rPr>
                <w:rFonts w:hint="default" w:ascii="Times New Roman" w:hAnsi="Times New Roman" w:cs="Times New Roman"/>
                <w:lang w:val="en-US" w:eastAsia="zh-CN"/>
              </w:rPr>
              <w:t>Sodium-Glucose Transporter 2 Inhibitors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Sodium Glucose cotransporter</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OR Sodium-dependent glucose cotransporter</w:t>
            </w:r>
            <w:r>
              <w:rPr>
                <w:rFonts w:hint="eastAsia" w:ascii="Times New Roman" w:hAnsi="Times New Roman" w:cs="Times New Roman"/>
                <w:lang w:val="en-US" w:eastAsia="zh-CN"/>
              </w:rPr>
              <w:t>*</w:t>
            </w:r>
            <w:r>
              <w:rPr>
                <w:rFonts w:hint="default" w:ascii="Times New Roman" w:hAnsi="Times New Roman" w:cs="Times New Roman"/>
                <w:lang w:val="en-US" w:eastAsia="zh-CN"/>
              </w:rPr>
              <w:t xml:space="preserve"> OR Sodium Glucose transporter</w:t>
            </w:r>
            <w:r>
              <w:rPr>
                <w:rFonts w:hint="eastAsia" w:ascii="Times New Roman" w:hAnsi="Times New Roman" w:cs="Times New Roman"/>
                <w:lang w:val="en-US" w:eastAsia="zh-CN"/>
              </w:rPr>
              <w:t>*</w:t>
            </w:r>
            <w:r>
              <w:rPr>
                <w:rFonts w:hint="default" w:ascii="Times New Roman" w:hAnsi="Times New Roman" w:cs="Times New Roman"/>
                <w:lang w:val="en-US" w:eastAsia="zh-CN"/>
              </w:rPr>
              <w:t xml:space="preserve"> OR SGLT2 OR SGLT-2 </w:t>
            </w:r>
            <w:r>
              <w:rPr>
                <w:rFonts w:hint="eastAsia" w:ascii="Times New Roman" w:hAnsi="Times New Roman" w:cs="Times New Roman"/>
                <w:lang w:val="en-US" w:eastAsia="zh-CN"/>
              </w:rPr>
              <w:t xml:space="preserve">OR </w:t>
            </w:r>
            <w:r>
              <w:rPr>
                <w:rFonts w:hint="default" w:ascii="Times New Roman" w:hAnsi="Times New Roman" w:cs="Times New Roman"/>
                <w:lang w:val="en-US" w:eastAsia="zh-CN"/>
              </w:rPr>
              <w:t>Dapagliflozin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Farxiga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Forxiga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Empagliflozin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Jardiance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Canagliflozin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Invokana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sotagliflozin OR luseogliflozin OR ipragliflozin OR remogliflozin OR sergliflozin OR ertugliflozin OR tofogliflozin</w:t>
            </w:r>
            <w:r>
              <w:rPr>
                <w:rFonts w:hint="eastAsia" w:ascii="Times New Roman" w:hAnsi="Times New Roman" w:cs="Times New Roman"/>
                <w:lang w:val="en-US" w:eastAsia="zh-CN"/>
              </w:rPr>
              <w:t>)</w:t>
            </w:r>
            <w:bookmarkEnd w:id="34"/>
          </w:p>
          <w:p>
            <w:pPr>
              <w:rPr>
                <w:rFonts w:hint="eastAsia" w:ascii="Times New Roman" w:hAnsi="Times New Roman" w:cs="Times New Roman"/>
                <w:lang w:val="en-US" w:eastAsia="zh-CN"/>
              </w:rPr>
            </w:pPr>
            <w:bookmarkStart w:id="35" w:name="OLE_LINK23"/>
            <w:r>
              <w:rPr>
                <w:rFonts w:hint="eastAsia" w:ascii="Times New Roman" w:hAnsi="Times New Roman" w:cs="Times New Roman"/>
                <w:lang w:val="en-US" w:eastAsia="zh-CN"/>
              </w:rPr>
              <w:t>2# TS=(</w:t>
            </w:r>
            <w:r>
              <w:rPr>
                <w:rFonts w:hint="default" w:ascii="Times New Roman" w:hAnsi="Times New Roman" w:cs="Times New Roman"/>
                <w:lang w:val="en-US" w:eastAsia="zh-CN"/>
              </w:rPr>
              <w:t>Dipeptidyl-Peptidase IV Inhibitors</w:t>
            </w:r>
            <w:r>
              <w:rPr>
                <w:rFonts w:hint="eastAsia" w:ascii="Times New Roman" w:hAnsi="Times New Roman" w:cs="Times New Roman"/>
                <w:lang w:val="en-US" w:eastAsia="zh-CN"/>
              </w:rPr>
              <w:t xml:space="preserve"> OR Dipeptidyl-Peptidase IV Inhibitor* OR Dipeptidyl peptidase 4 inhibitor* OR DPP-4 inhibitor* OR Gliptins OR DPP-4i OR </w:t>
            </w:r>
            <w:r>
              <w:rPr>
                <w:rFonts w:hint="default" w:ascii="Times New Roman" w:hAnsi="Times New Roman" w:cs="Times New Roman"/>
                <w:lang w:val="en-US" w:eastAsia="zh-CN"/>
              </w:rPr>
              <w:t>Sitagliptin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 xml:space="preserve">Januvia </w:t>
            </w:r>
            <w:r>
              <w:rPr>
                <w:rFonts w:hint="eastAsia" w:ascii="Times New Roman" w:hAnsi="Times New Roman" w:cs="Times New Roman"/>
                <w:lang w:val="en-US" w:eastAsia="zh-CN"/>
              </w:rPr>
              <w:t xml:space="preserve">OR </w:t>
            </w:r>
            <w:r>
              <w:rPr>
                <w:rFonts w:hint="default" w:ascii="Times New Roman" w:hAnsi="Times New Roman" w:cs="Times New Roman"/>
                <w:lang w:val="en-US" w:eastAsia="zh-CN"/>
              </w:rPr>
              <w:t>Saxagliptin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Onglyza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Vildagliptin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Galvus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Alogliptin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nesina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Tiglitatin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Linagliptin</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Tradjenta OR Trajenta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gemigliptin OR teneligliptin OR trelagliptin OR evogliptin OR gosogliptin OR dutogliptinOR omarigliptin</w:t>
            </w:r>
            <w:r>
              <w:rPr>
                <w:rFonts w:hint="eastAsia" w:ascii="Times New Roman" w:hAnsi="Times New Roman" w:cs="Times New Roman"/>
                <w:lang w:val="en-US" w:eastAsia="zh-CN"/>
              </w:rPr>
              <w:t>)</w:t>
            </w:r>
          </w:p>
          <w:bookmarkEnd w:id="35"/>
          <w:p>
            <w:pPr>
              <w:rPr>
                <w:rFonts w:hint="eastAsia" w:ascii="Times New Roman" w:hAnsi="Times New Roman" w:cs="Times New Roman"/>
                <w:lang w:val="en-US" w:eastAsia="zh-CN"/>
              </w:rPr>
            </w:pPr>
            <w:r>
              <w:rPr>
                <w:rFonts w:hint="eastAsia" w:ascii="Times New Roman" w:hAnsi="Times New Roman" w:cs="Times New Roman"/>
                <w:lang w:val="en-US" w:eastAsia="zh-CN"/>
              </w:rPr>
              <w:t xml:space="preserve">3# TS=(Glucagon-Like Peptide-1 Receptor OR Glucagon-like peptide 1 receptor agonist* OR GLP-1 receptor agonist* OR GLP-1 agonist* OR GLP-1RA OR </w:t>
            </w:r>
            <w:r>
              <w:rPr>
                <w:rFonts w:hint="default" w:ascii="Times New Roman" w:hAnsi="Times New Roman" w:cs="Times New Roman"/>
                <w:lang w:val="en-US" w:eastAsia="zh-CN"/>
              </w:rPr>
              <w:t>Exenatide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 xml:space="preserve">Bydureon </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Exendin-4</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Byetta OR</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Liraglutide</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Victoza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Saxenda</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lixisenatide OR albiglutide OR dulaglutide OR semaglutide</w:t>
            </w:r>
            <w:r>
              <w:rPr>
                <w:rFonts w:hint="eastAsia" w:ascii="Times New Roman" w:hAnsi="Times New Roman" w:cs="Times New Roman"/>
                <w:lang w:val="en-US" w:eastAsia="zh-CN"/>
              </w:rPr>
              <w:t>)</w:t>
            </w:r>
          </w:p>
          <w:p>
            <w:pPr>
              <w:rPr>
                <w:rFonts w:hint="eastAsia" w:ascii="Times New Roman" w:hAnsi="Times New Roman" w:cs="Times New Roman"/>
                <w:lang w:val="en-US" w:eastAsia="zh-CN"/>
              </w:rPr>
            </w:pPr>
            <w:r>
              <w:rPr>
                <w:rFonts w:hint="eastAsia" w:ascii="Times New Roman" w:hAnsi="Times New Roman" w:cs="Times New Roman"/>
                <w:lang w:val="en-US" w:eastAsia="zh-CN"/>
              </w:rPr>
              <w:t>4# TS=(Antidiabetic drugs OR Hypoglycemic agents OR Hypoglycemic drug)</w:t>
            </w:r>
          </w:p>
          <w:p>
            <w:pPr>
              <w:rPr>
                <w:rFonts w:hint="default" w:ascii="Times New Roman" w:hAnsi="Times New Roman" w:cs="Times New Roman"/>
                <w:lang w:val="en-US" w:eastAsia="zh-CN"/>
              </w:rPr>
            </w:pPr>
            <w:r>
              <w:rPr>
                <w:rFonts w:hint="eastAsia" w:ascii="Times New Roman" w:hAnsi="Times New Roman" w:cs="Times New Roman"/>
                <w:lang w:val="en-US" w:eastAsia="zh-CN"/>
              </w:rPr>
              <w:t xml:space="preserve">5#  </w:t>
            </w:r>
            <w:r>
              <w:rPr>
                <w:rFonts w:hint="default" w:ascii="Times New Roman" w:hAnsi="Times New Roman" w:cs="Times New Roman"/>
                <w:lang w:val="en-US" w:eastAsia="zh-CN"/>
              </w:rPr>
              <w:t>1#</w:t>
            </w:r>
            <w:r>
              <w:rPr>
                <w:rFonts w:hint="eastAsia" w:ascii="Times New Roman" w:hAnsi="Times New Roman" w:cs="Times New Roman"/>
                <w:lang w:val="en-US" w:eastAsia="zh-CN"/>
              </w:rPr>
              <w:t xml:space="preserve"> OR 2</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3</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4</w:t>
            </w:r>
            <w:r>
              <w:rPr>
                <w:rFonts w:hint="default" w:ascii="Times New Roman" w:hAnsi="Times New Roman" w:cs="Times New Roman"/>
                <w:lang w:val="en-US" w:eastAsia="zh-CN"/>
              </w:rPr>
              <w:t>#</w:t>
            </w:r>
          </w:p>
          <w:p>
            <w:pPr>
              <w:rPr>
                <w:rFonts w:hint="default" w:ascii="Times New Roman" w:hAnsi="Times New Roman" w:cs="Times New Roman"/>
                <w:lang w:val="en-US" w:eastAsia="zh-CN"/>
              </w:rPr>
            </w:pPr>
            <w:r>
              <w:rPr>
                <w:rFonts w:hint="eastAsia" w:ascii="Times New Roman" w:hAnsi="Times New Roman" w:cs="Times New Roman"/>
                <w:lang w:val="en-US" w:eastAsia="zh-CN"/>
              </w:rPr>
              <w:t>6# TS=(</w:t>
            </w:r>
            <w:r>
              <w:rPr>
                <w:rFonts w:hint="default" w:ascii="Times New Roman" w:hAnsi="Times New Roman" w:cs="Times New Roman"/>
                <w:lang w:val="en-US" w:eastAsia="zh-CN"/>
              </w:rPr>
              <w:t>Diabetes Mellitus, Type 2</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Type 2 diabetes</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T2DM</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T2D</w:t>
            </w:r>
            <w:r>
              <w:rPr>
                <w:rFonts w:hint="eastAsia" w:ascii="Times New Roman" w:hAnsi="Times New Roman" w:cs="Times New Roman"/>
                <w:lang w:val="en-US" w:eastAsia="zh-CN"/>
              </w:rPr>
              <w:t>)</w:t>
            </w:r>
          </w:p>
          <w:p>
            <w:pPr>
              <w:rPr>
                <w:rFonts w:hint="eastAsia" w:ascii="Times New Roman" w:hAnsi="Times New Roman" w:cs="Times New Roman"/>
                <w:lang w:val="en-US" w:eastAsia="zh-CN"/>
              </w:rPr>
            </w:pPr>
            <w:r>
              <w:rPr>
                <w:rFonts w:hint="eastAsia" w:ascii="Times New Roman" w:hAnsi="Times New Roman" w:cs="Times New Roman"/>
                <w:lang w:val="en-US" w:eastAsia="zh-CN"/>
              </w:rPr>
              <w:t>7# TS=(</w:t>
            </w:r>
            <w:r>
              <w:rPr>
                <w:rFonts w:hint="default" w:ascii="Times New Roman" w:hAnsi="Times New Roman" w:cs="Times New Roman"/>
                <w:lang w:val="en-US" w:eastAsia="zh-CN"/>
              </w:rPr>
              <w:t>COVID-19</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COVID19</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Coronavirus Disease 2019</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 xml:space="preserve">2019 novel coronavirus </w:t>
            </w:r>
            <w:r>
              <w:rPr>
                <w:rFonts w:hint="eastAsia" w:ascii="Times New Roman" w:hAnsi="Times New Roman" w:cs="Times New Roman"/>
                <w:lang w:val="en-US" w:eastAsia="zh-CN"/>
              </w:rPr>
              <w:t xml:space="preserve">OR </w:t>
            </w:r>
            <w:r>
              <w:rPr>
                <w:rFonts w:hint="default" w:ascii="Times New Roman" w:hAnsi="Times New Roman" w:cs="Times New Roman"/>
                <w:lang w:val="en-US" w:eastAsia="zh-CN"/>
              </w:rPr>
              <w:t>2019-nCoV</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2019nCoV</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severe acute respiratory syndrome coronavirus 2</w:t>
            </w:r>
            <w:r>
              <w:rPr>
                <w:rFonts w:hint="eastAsia" w:ascii="Times New Roman" w:hAnsi="Times New Roman" w:cs="Times New Roman"/>
                <w:lang w:val="en-US" w:eastAsia="zh-CN"/>
              </w:rPr>
              <w:t xml:space="preserve"> OR </w:t>
            </w:r>
            <w:r>
              <w:rPr>
                <w:rFonts w:hint="default" w:ascii="Times New Roman" w:hAnsi="Times New Roman" w:cs="Times New Roman"/>
                <w:lang w:val="en-US" w:eastAsia="zh-CN"/>
              </w:rPr>
              <w:t>SARS-COV-2</w:t>
            </w:r>
            <w:r>
              <w:rPr>
                <w:rFonts w:hint="eastAsia" w:ascii="Times New Roman" w:hAnsi="Times New Roman" w:cs="Times New Roman"/>
                <w:lang w:val="en-US" w:eastAsia="zh-CN"/>
              </w:rPr>
              <w:t>)</w:t>
            </w:r>
          </w:p>
          <w:p>
            <w:pPr>
              <w:rPr>
                <w:rFonts w:hint="default" w:ascii="Times New Roman" w:hAnsi="Times New Roman" w:cs="Times New Roman"/>
                <w:lang w:val="en-US" w:eastAsia="zh-CN"/>
              </w:rPr>
            </w:pPr>
            <w:r>
              <w:rPr>
                <w:rFonts w:hint="eastAsia" w:ascii="Times New Roman" w:hAnsi="Times New Roman" w:cs="Times New Roman"/>
                <w:lang w:val="en-US" w:eastAsia="zh-CN"/>
              </w:rPr>
              <w:t>8# TS=(</w:t>
            </w:r>
            <w:r>
              <w:rPr>
                <w:rFonts w:hint="default" w:ascii="Times New Roman" w:hAnsi="Times New Roman" w:cs="Times New Roman"/>
                <w:lang w:val="en-US" w:eastAsia="zh-CN"/>
              </w:rPr>
              <w:t>cohort studies</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OR case-control studies OR comparative study</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OR</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risk factors OR cohort OR compared OR groups OR case control OR multi</w:t>
            </w:r>
          </w:p>
          <w:p>
            <w:pPr>
              <w:rPr>
                <w:rFonts w:hint="default" w:ascii="Arial" w:hAnsi="Arial" w:eastAsia="宋体" w:cs="Arial"/>
                <w:i w:val="0"/>
                <w:iCs w:val="0"/>
                <w:caps w:val="0"/>
                <w:color w:val="993300"/>
                <w:spacing w:val="0"/>
                <w:sz w:val="24"/>
                <w:szCs w:val="24"/>
                <w:shd w:val="clear" w:color="auto" w:fill="FFFFFF"/>
                <w:lang w:val="en-US" w:eastAsia="zh-CN"/>
              </w:rPr>
            </w:pPr>
            <w:r>
              <w:rPr>
                <w:rFonts w:hint="eastAsia" w:ascii="Times New Roman" w:hAnsi="Times New Roman" w:cs="Times New Roman"/>
                <w:lang w:val="en-US" w:eastAsia="zh-CN"/>
              </w:rPr>
              <w:t>9# 5</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6</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7</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OR 8</w:t>
            </w:r>
            <w:r>
              <w:rPr>
                <w:rFonts w:hint="default" w:ascii="Times New Roman" w:hAnsi="Times New Roman" w:cs="Times New Roman"/>
                <w:lang w:val="en-US" w:eastAsia="zh-CN"/>
              </w:rPr>
              <w:t>#</w:t>
            </w:r>
          </w:p>
        </w:tc>
      </w:tr>
    </w:tbl>
    <w:p>
      <w:pPr>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br w:type="page"/>
      </w:r>
    </w:p>
    <w:p>
      <w:pPr>
        <w:spacing w:line="360" w:lineRule="auto"/>
        <w:jc w:val="center"/>
        <w:rPr>
          <w:rFonts w:hint="default" w:ascii="Times New Roman" w:hAnsi="Times New Roman" w:cs="Times New Roman"/>
          <w:bCs/>
          <w:sz w:val="24"/>
          <w:szCs w:val="24"/>
        </w:rPr>
      </w:pPr>
      <w:r>
        <w:rPr>
          <w:rFonts w:hint="default" w:ascii="Times New Roman" w:hAnsi="Times New Roman" w:cs="Times New Roman"/>
          <w:b/>
          <w:bCs/>
          <w:color w:val="000000" w:themeColor="text1"/>
          <w:sz w:val="24"/>
          <w:szCs w:val="24"/>
          <w:lang w:val="en-US" w:eastAsia="zh-CN"/>
          <w14:textFill>
            <w14:solidFill>
              <w14:schemeClr w14:val="tx1"/>
            </w14:solidFill>
          </w14:textFill>
        </w:rPr>
        <w:t>Sup</w:t>
      </w:r>
      <w:r>
        <w:rPr>
          <w:rFonts w:hint="eastAsia" w:ascii="Times New Roman" w:hAnsi="Times New Roman"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b/>
          <w:sz w:val="24"/>
          <w:szCs w:val="24"/>
        </w:rPr>
        <w:t xml:space="preserve"> Table </w:t>
      </w:r>
      <w:r>
        <w:rPr>
          <w:rFonts w:hint="eastAsia" w:ascii="Times New Roman" w:hAnsi="Times New Roman" w:cs="Times New Roman"/>
          <w:b/>
          <w:sz w:val="24"/>
          <w:szCs w:val="24"/>
          <w:lang w:val="en-US" w:eastAsia="zh-CN"/>
        </w:rPr>
        <w:t>3</w:t>
      </w:r>
      <w:r>
        <w:rPr>
          <w:rFonts w:hint="default" w:ascii="Times New Roman" w:hAnsi="Times New Roman" w:cs="Times New Roman"/>
          <w:b/>
          <w:sz w:val="24"/>
          <w:szCs w:val="24"/>
          <w:lang w:val="en-US" w:eastAsia="zh-CN"/>
        </w:rPr>
        <w:t xml:space="preserve"> </w:t>
      </w:r>
      <w:r>
        <w:rPr>
          <w:rFonts w:hint="default" w:ascii="Times New Roman" w:hAnsi="Times New Roman" w:cs="Times New Roman"/>
          <w:bCs/>
          <w:sz w:val="24"/>
          <w:szCs w:val="24"/>
        </w:rPr>
        <w:t>Risk of bias assessment (Newcastle-Ottawa Quality Assessment Scale criteria).</w:t>
      </w:r>
    </w:p>
    <w:tbl>
      <w:tblPr>
        <w:tblStyle w:val="6"/>
        <w:tblW w:w="5000"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30"/>
        <w:gridCol w:w="1050"/>
        <w:gridCol w:w="1603"/>
        <w:gridCol w:w="1096"/>
        <w:gridCol w:w="144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single" w:color="auto" w:sz="4" w:space="0"/>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 xml:space="preserve">Study </w:t>
            </w:r>
          </w:p>
        </w:tc>
        <w:tc>
          <w:tcPr>
            <w:tcW w:w="616" w:type="pct"/>
            <w:tcBorders>
              <w:top w:val="single" w:color="auto" w:sz="4" w:space="0"/>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 xml:space="preserve">Selection </w:t>
            </w:r>
          </w:p>
        </w:tc>
        <w:tc>
          <w:tcPr>
            <w:tcW w:w="940" w:type="pct"/>
            <w:tcBorders>
              <w:top w:val="single" w:color="auto" w:sz="4" w:space="0"/>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Comparability</w:t>
            </w:r>
          </w:p>
        </w:tc>
        <w:tc>
          <w:tcPr>
            <w:tcW w:w="643" w:type="pct"/>
            <w:tcBorders>
              <w:top w:val="single" w:color="auto" w:sz="4" w:space="0"/>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Outcome</w:t>
            </w:r>
          </w:p>
        </w:tc>
        <w:tc>
          <w:tcPr>
            <w:tcW w:w="846" w:type="pct"/>
            <w:tcBorders>
              <w:top w:val="single" w:color="auto" w:sz="4" w:space="0"/>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Quality score</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Silverii, G. A (2021)</w:t>
            </w:r>
            <w:r>
              <w:rPr>
                <w:rFonts w:hint="default" w:ascii="Times New Roman" w:hAnsi="Times New Roman" w:eastAsia="宋体" w:cs="Times New Roman"/>
                <w:i w:val="0"/>
                <w:iCs w:val="0"/>
                <w:color w:val="000000"/>
                <w:kern w:val="0"/>
                <w:sz w:val="24"/>
                <w:szCs w:val="24"/>
                <w:u w:val="none"/>
                <w:vertAlign w:val="superscript"/>
                <w:lang w:val="en-US" w:eastAsia="zh-CN" w:bidi="ar"/>
              </w:rPr>
              <w:t>(21)</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7</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Noh Y (2021)</w:t>
            </w:r>
            <w:r>
              <w:rPr>
                <w:rFonts w:hint="default" w:ascii="Times New Roman" w:hAnsi="Times New Roman" w:eastAsia="宋体" w:cs="Times New Roman"/>
                <w:i w:val="0"/>
                <w:iCs w:val="0"/>
                <w:color w:val="000000"/>
                <w:kern w:val="0"/>
                <w:sz w:val="24"/>
                <w:szCs w:val="24"/>
                <w:u w:val="none"/>
                <w:vertAlign w:val="superscript"/>
                <w:lang w:val="en-US" w:eastAsia="zh-CN" w:bidi="ar"/>
              </w:rPr>
              <w:t>(22)</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Kahkoska, A. R (2021)</w:t>
            </w:r>
            <w:r>
              <w:rPr>
                <w:rFonts w:hint="default" w:ascii="Times New Roman" w:hAnsi="Times New Roman" w:eastAsia="宋体" w:cs="Times New Roman"/>
                <w:i w:val="0"/>
                <w:iCs w:val="0"/>
                <w:color w:val="000000"/>
                <w:kern w:val="0"/>
                <w:sz w:val="24"/>
                <w:szCs w:val="24"/>
                <w:u w:val="none"/>
                <w:vertAlign w:val="superscript"/>
                <w:lang w:val="en-US" w:eastAsia="zh-CN" w:bidi="ar"/>
              </w:rPr>
              <w:t>(23)</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Ramos-Rincón, J. M (2021)</w:t>
            </w:r>
            <w:r>
              <w:rPr>
                <w:rFonts w:hint="default" w:ascii="Times New Roman" w:hAnsi="Times New Roman" w:eastAsia="宋体" w:cs="Times New Roman"/>
                <w:i w:val="0"/>
                <w:iCs w:val="0"/>
                <w:color w:val="000000"/>
                <w:kern w:val="0"/>
                <w:sz w:val="24"/>
                <w:szCs w:val="24"/>
                <w:u w:val="none"/>
                <w:vertAlign w:val="superscript"/>
                <w:lang w:val="en-US" w:eastAsia="zh-CN" w:bidi="ar"/>
              </w:rPr>
              <w:t>(24)</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7</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Orioli, L (2021)</w:t>
            </w:r>
            <w:r>
              <w:rPr>
                <w:rFonts w:hint="default" w:ascii="Times New Roman" w:hAnsi="Times New Roman" w:eastAsia="宋体" w:cs="Times New Roman"/>
                <w:i w:val="0"/>
                <w:iCs w:val="0"/>
                <w:color w:val="000000"/>
                <w:kern w:val="0"/>
                <w:sz w:val="24"/>
                <w:szCs w:val="24"/>
                <w:u w:val="none"/>
                <w:vertAlign w:val="superscript"/>
                <w:lang w:val="en-US" w:eastAsia="zh-CN" w:bidi="ar"/>
              </w:rPr>
              <w:t>(25)</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Israelsen, S. B (2021)</w:t>
            </w:r>
            <w:r>
              <w:rPr>
                <w:rFonts w:hint="default" w:ascii="Times New Roman" w:hAnsi="Times New Roman" w:eastAsia="宋体" w:cs="Times New Roman"/>
                <w:i w:val="0"/>
                <w:iCs w:val="0"/>
                <w:color w:val="000000"/>
                <w:kern w:val="0"/>
                <w:sz w:val="24"/>
                <w:szCs w:val="24"/>
                <w:u w:val="none"/>
                <w:vertAlign w:val="superscript"/>
                <w:lang w:val="en-US" w:eastAsia="zh-CN" w:bidi="ar"/>
              </w:rPr>
              <w:t>(26)</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Sourij, H (2021)</w:t>
            </w:r>
            <w:r>
              <w:rPr>
                <w:rFonts w:hint="default" w:ascii="Times New Roman" w:hAnsi="Times New Roman" w:eastAsia="宋体" w:cs="Times New Roman"/>
                <w:i w:val="0"/>
                <w:iCs w:val="0"/>
                <w:color w:val="000000"/>
                <w:kern w:val="0"/>
                <w:sz w:val="24"/>
                <w:szCs w:val="24"/>
                <w:u w:val="none"/>
                <w:vertAlign w:val="superscript"/>
                <w:lang w:val="en-US" w:eastAsia="zh-CN" w:bidi="ar"/>
              </w:rPr>
              <w:t>(27)</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Nyland, J. E (2021)</w:t>
            </w:r>
            <w:r>
              <w:rPr>
                <w:rFonts w:hint="default" w:ascii="Times New Roman" w:hAnsi="Times New Roman" w:eastAsia="宋体" w:cs="Times New Roman"/>
                <w:i w:val="0"/>
                <w:iCs w:val="0"/>
                <w:color w:val="000000"/>
                <w:kern w:val="0"/>
                <w:sz w:val="24"/>
                <w:szCs w:val="24"/>
                <w:u w:val="none"/>
                <w:vertAlign w:val="superscript"/>
                <w:lang w:val="en-US" w:eastAsia="zh-CN" w:bidi="ar"/>
              </w:rPr>
              <w:t>(28)</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Elibol, A (2021)</w:t>
            </w:r>
            <w:r>
              <w:rPr>
                <w:rFonts w:hint="default" w:ascii="Times New Roman" w:hAnsi="Times New Roman" w:eastAsia="宋体" w:cs="Times New Roman"/>
                <w:i w:val="0"/>
                <w:iCs w:val="0"/>
                <w:color w:val="000000"/>
                <w:kern w:val="0"/>
                <w:sz w:val="24"/>
                <w:szCs w:val="24"/>
                <w:u w:val="none"/>
                <w:vertAlign w:val="superscript"/>
                <w:lang w:val="en-US" w:eastAsia="zh-CN" w:bidi="ar"/>
              </w:rPr>
              <w:t>(29)</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de-DE"/>
              </w:rPr>
              <w:t>Pérez-Belmonte, L. M (2020)</w:t>
            </w:r>
            <w:r>
              <w:rPr>
                <w:rFonts w:hint="default" w:ascii="Times New Roman" w:hAnsi="Times New Roman" w:eastAsia="宋体" w:cs="Times New Roman"/>
                <w:i w:val="0"/>
                <w:iCs w:val="0"/>
                <w:color w:val="000000"/>
                <w:kern w:val="0"/>
                <w:sz w:val="24"/>
                <w:szCs w:val="24"/>
                <w:u w:val="none"/>
                <w:vertAlign w:val="superscript"/>
                <w:lang w:val="en-US" w:eastAsia="zh-CN" w:bidi="ar"/>
              </w:rPr>
              <w:t>(30)</w:t>
            </w:r>
          </w:p>
        </w:tc>
        <w:tc>
          <w:tcPr>
            <w:tcW w:w="616" w:type="pct"/>
            <w:tcBorders>
              <w:top w:val="nil"/>
              <w:left w:val="nil"/>
              <w:bottom w:val="nil"/>
              <w:right w:val="nil"/>
            </w:tcBorders>
          </w:tcPr>
          <w:p>
            <w:pPr>
              <w:rPr>
                <w:rFonts w:hint="default" w:ascii="Times New Roman" w:hAnsi="Times New Roman" w:cs="Times New Roman"/>
                <w:sz w:val="24"/>
                <w:szCs w:val="24"/>
                <w:lang w:val="de-DE"/>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lang w:val="de-DE"/>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lang w:val="de-DE"/>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lang w:val="de-DE"/>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nil"/>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Zhou JH (2020)</w:t>
            </w:r>
            <w:r>
              <w:rPr>
                <w:rFonts w:hint="default" w:ascii="Times New Roman" w:hAnsi="Times New Roman" w:eastAsia="宋体" w:cs="Times New Roman"/>
                <w:i w:val="0"/>
                <w:iCs w:val="0"/>
                <w:color w:val="000000"/>
                <w:kern w:val="0"/>
                <w:sz w:val="24"/>
                <w:szCs w:val="24"/>
                <w:u w:val="none"/>
                <w:vertAlign w:val="superscript"/>
                <w:lang w:val="en-US" w:eastAsia="zh-CN" w:bidi="ar"/>
              </w:rPr>
              <w:t>(31)</w:t>
            </w:r>
          </w:p>
        </w:tc>
        <w:tc>
          <w:tcPr>
            <w:tcW w:w="61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nil"/>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8</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953" w:type="pct"/>
            <w:tcBorders>
              <w:top w:val="nil"/>
              <w:left w:val="nil"/>
              <w:bottom w:val="single" w:color="auto" w:sz="4" w:space="0"/>
              <w:right w:val="nil"/>
            </w:tcBorders>
          </w:tcPr>
          <w:p>
            <w:pP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Mirani M</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(202</w:t>
            </w:r>
            <w:r>
              <w:rPr>
                <w:rFonts w:hint="default" w:ascii="Times New Roman" w:hAnsi="Times New Roman" w:cs="Times New Roman"/>
                <w:sz w:val="24"/>
                <w:szCs w:val="24"/>
                <w:lang w:val="en-US" w:eastAsia="zh-CN"/>
              </w:rPr>
              <w:t>0</w:t>
            </w:r>
            <w:r>
              <w:rPr>
                <w:rFonts w:hint="default" w:ascii="Times New Roman" w:hAnsi="Times New Roman" w:cs="Times New Roman"/>
                <w:sz w:val="24"/>
                <w:szCs w:val="24"/>
              </w:rPr>
              <w:t>)</w:t>
            </w:r>
            <w:r>
              <w:rPr>
                <w:rFonts w:hint="default" w:ascii="Times New Roman" w:hAnsi="Times New Roman" w:eastAsia="宋体" w:cs="Times New Roman"/>
                <w:i w:val="0"/>
                <w:iCs w:val="0"/>
                <w:color w:val="000000"/>
                <w:kern w:val="0"/>
                <w:sz w:val="24"/>
                <w:szCs w:val="24"/>
                <w:u w:val="none"/>
                <w:vertAlign w:val="superscript"/>
                <w:lang w:val="en-US" w:eastAsia="zh-CN" w:bidi="ar"/>
              </w:rPr>
              <w:t>(32)</w:t>
            </w:r>
          </w:p>
        </w:tc>
        <w:tc>
          <w:tcPr>
            <w:tcW w:w="616" w:type="pct"/>
            <w:tcBorders>
              <w:top w:val="nil"/>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940" w:type="pct"/>
            <w:tcBorders>
              <w:top w:val="nil"/>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643" w:type="pct"/>
            <w:tcBorders>
              <w:top w:val="nil"/>
              <w:left w:val="nil"/>
              <w:bottom w:val="single" w:color="auto" w:sz="4" w:space="0"/>
              <w:right w:val="nil"/>
            </w:tcBorders>
          </w:tcPr>
          <w:p>
            <w:pPr>
              <w:rPr>
                <w:rFonts w:hint="default" w:ascii="Times New Roman" w:hAnsi="Times New Roman" w:cs="Times New Roman"/>
                <w:sz w:val="24"/>
                <w:szCs w:val="24"/>
              </w:rPr>
            </w:pPr>
            <w:r>
              <w:rPr>
                <w:rFonts w:hint="default" w:ascii="Times New Roman" w:hAnsi="Times New Roman" w:cs="Times New Roman"/>
                <w:sz w:val="24"/>
                <w:szCs w:val="24"/>
              </w:rPr>
              <w:t>**</w:t>
            </w:r>
          </w:p>
        </w:tc>
        <w:tc>
          <w:tcPr>
            <w:tcW w:w="846" w:type="pct"/>
            <w:tcBorders>
              <w:top w:val="nil"/>
              <w:left w:val="nil"/>
              <w:bottom w:val="single" w:color="auto" w:sz="4" w:space="0"/>
              <w:right w:val="nil"/>
            </w:tcBorders>
          </w:tcPr>
          <w:p>
            <w:pPr>
              <w:rPr>
                <w:rFonts w:hint="default" w:ascii="Times New Roman" w:hAnsi="Times New Roman" w:cs="Times New Roman" w:eastAsiaTheme="minorEastAsia"/>
                <w:sz w:val="24"/>
                <w:szCs w:val="24"/>
                <w:lang w:eastAsia="zh-CN"/>
              </w:rPr>
            </w:pPr>
            <w:r>
              <w:rPr>
                <w:rFonts w:hint="default" w:ascii="Times New Roman" w:hAnsi="Times New Roman" w:cs="Times New Roman"/>
                <w:sz w:val="24"/>
                <w:szCs w:val="24"/>
                <w:lang w:val="en-US" w:eastAsia="zh-CN"/>
              </w:rPr>
              <w:t>8</w:t>
            </w:r>
          </w:p>
        </w:tc>
      </w:tr>
    </w:tbl>
    <w:p>
      <w:pPr>
        <w:rPr>
          <w:rFonts w:hint="eastAsia" w:eastAsiaTheme="minorEastAsia"/>
          <w:lang w:eastAsia="zh-CN"/>
        </w:rPr>
      </w:pPr>
    </w:p>
    <w:p>
      <w:pPr>
        <w:rPr>
          <w:rFonts w:hint="eastAsia" w:eastAsiaTheme="minorEastAsia"/>
          <w:lang w:eastAsia="zh-CN"/>
        </w:rPr>
      </w:pPr>
      <w:r>
        <w:rPr>
          <w:rFonts w:hint="eastAsia" w:eastAsiaTheme="minorEastAsia"/>
          <w:lang w:eastAsia="zh-CN"/>
        </w:rPr>
        <w:br w:type="page"/>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drawing>
          <wp:inline distT="0" distB="0" distL="114300" distR="114300">
            <wp:extent cx="4538345" cy="2900045"/>
            <wp:effectExtent l="0" t="0" r="0" b="0"/>
            <wp:docPr id="1" name="图片 1"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1"/>
                    <pic:cNvPicPr>
                      <a:picLocks noChangeAspect="1"/>
                    </pic:cNvPicPr>
                  </pic:nvPicPr>
                  <pic:blipFill>
                    <a:blip r:embed="rId4"/>
                    <a:srcRect l="6966" t="2113" r="6894" b="58973"/>
                    <a:stretch>
                      <a:fillRect/>
                    </a:stretch>
                  </pic:blipFill>
                  <pic:spPr>
                    <a:xfrm>
                      <a:off x="0" y="0"/>
                      <a:ext cx="4538345" cy="2900045"/>
                    </a:xfrm>
                    <a:prstGeom prst="rect">
                      <a:avLst/>
                    </a:prstGeom>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tabs>
          <w:tab w:val="left" w:pos="1516"/>
        </w:tabs>
        <w:bidi w:val="0"/>
        <w:jc w:val="left"/>
        <w:rPr>
          <w:rFonts w:hint="default" w:eastAsiaTheme="minorEastAsia"/>
          <w:lang w:val="en-US" w:eastAsia="zh-CN"/>
        </w:rPr>
      </w:pPr>
      <w:bookmarkStart w:id="36" w:name="OLE_LINK26"/>
      <w:r>
        <w:rPr>
          <w:rFonts w:hint="default" w:ascii="Times New Roman" w:hAnsi="Times New Roman" w:cs="Times New Roman"/>
          <w:b/>
          <w:bCs/>
          <w:color w:val="000000" w:themeColor="text1"/>
          <w:sz w:val="20"/>
          <w:szCs w:val="20"/>
          <w14:textFill>
            <w14:solidFill>
              <w14:schemeClr w14:val="tx1"/>
            </w14:solidFill>
          </w14:textFill>
        </w:rPr>
        <w:t>Sup</w:t>
      </w:r>
      <w:r>
        <w:rPr>
          <w:rFonts w:hint="eastAsia" w:ascii="Times New Roman" w:hAnsi="Times New Roman" w:cs="Times New Roman"/>
          <w:b/>
          <w:bCs/>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b/>
          <w:bCs/>
          <w:color w:val="000000" w:themeColor="text1"/>
          <w:sz w:val="20"/>
          <w:szCs w:val="20"/>
          <w:lang w:eastAsia="zh-CN"/>
          <w14:textFill>
            <w14:solidFill>
              <w14:schemeClr w14:val="tx1"/>
            </w14:solidFill>
          </w14:textFill>
        </w:rPr>
        <w:t>Fig.</w:t>
      </w:r>
      <w:r>
        <w:rPr>
          <w:rFonts w:hint="default" w:ascii="Times New Roman" w:hAnsi="Times New Roman" w:cs="Times New Roman"/>
          <w:b/>
          <w:bCs/>
          <w:color w:val="000000" w:themeColor="text1"/>
          <w:sz w:val="20"/>
          <w:szCs w:val="20"/>
          <w14:textFill>
            <w14:solidFill>
              <w14:schemeClr w14:val="tx1"/>
            </w14:solidFill>
          </w14:textFill>
        </w:rPr>
        <w:t xml:space="preserve"> 1</w:t>
      </w:r>
      <w:bookmarkEnd w:id="36"/>
      <w:r>
        <w:rPr>
          <w:rFonts w:hint="default" w:ascii="Times New Roman" w:hAnsi="Times New Roman" w:cs="Times New Roman"/>
          <w:color w:val="000000" w:themeColor="text1"/>
          <w:sz w:val="20"/>
          <w:szCs w:val="20"/>
          <w14:textFill>
            <w14:solidFill>
              <w14:schemeClr w14:val="tx1"/>
            </w14:solidFill>
          </w14:textFill>
        </w:rPr>
        <w:t xml:space="preserve"> </w:t>
      </w:r>
      <w:r>
        <w:rPr>
          <w:rFonts w:hint="eastAsia" w:ascii="Times New Roman" w:hAnsi="Times New Roman" w:cs="Times New Roman"/>
          <w:color w:val="000000" w:themeColor="text1"/>
          <w:sz w:val="20"/>
          <w:szCs w:val="20"/>
          <w:lang w:val="en-US" w:eastAsia="zh-CN"/>
          <w14:textFill>
            <w14:solidFill>
              <w14:schemeClr w14:val="tx1"/>
            </w14:solidFill>
          </w14:textFill>
        </w:rPr>
        <w:t>Consistency test of mortality</w: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jc w:val="center"/>
        <w:rPr>
          <w:rFonts w:hint="eastAsia"/>
          <w:lang w:val="en-US" w:eastAsia="zh-CN"/>
        </w:rPr>
      </w:pPr>
      <w:r>
        <w:rPr>
          <w:rFonts w:hint="eastAsia" w:eastAsiaTheme="minorEastAsia"/>
          <w:lang w:eastAsia="zh-CN"/>
        </w:rPr>
        <w:drawing>
          <wp:inline distT="0" distB="0" distL="114300" distR="114300">
            <wp:extent cx="3242310" cy="7124700"/>
            <wp:effectExtent l="0" t="0" r="8890" b="0"/>
            <wp:docPr id="3" name="图片 3"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2"/>
                    <pic:cNvPicPr>
                      <a:picLocks noChangeAspect="1"/>
                    </pic:cNvPicPr>
                  </pic:nvPicPr>
                  <pic:blipFill>
                    <a:blip r:embed="rId5"/>
                    <a:srcRect l="20070" t="716" r="18419" b="3656"/>
                    <a:stretch>
                      <a:fillRect/>
                    </a:stretch>
                  </pic:blipFill>
                  <pic:spPr>
                    <a:xfrm>
                      <a:off x="0" y="0"/>
                      <a:ext cx="3242310" cy="7124700"/>
                    </a:xfrm>
                    <a:prstGeom prst="rect">
                      <a:avLst/>
                    </a:prstGeom>
                  </pic:spPr>
                </pic:pic>
              </a:graphicData>
            </a:graphic>
          </wp:inline>
        </w:drawing>
      </w:r>
    </w:p>
    <w:p>
      <w:pPr>
        <w:tabs>
          <w:tab w:val="left" w:pos="1516"/>
        </w:tabs>
        <w:bidi w:val="0"/>
        <w:jc w:val="left"/>
        <w:rPr>
          <w:rFonts w:hint="default" w:eastAsiaTheme="minorEastAsia"/>
          <w:lang w:val="en-US" w:eastAsia="zh-CN"/>
        </w:rPr>
      </w:pPr>
      <w:r>
        <w:rPr>
          <w:rFonts w:hint="default" w:ascii="Times New Roman" w:hAnsi="Times New Roman" w:cs="Times New Roman"/>
          <w:b/>
          <w:bCs/>
          <w:color w:val="000000" w:themeColor="text1"/>
          <w:sz w:val="20"/>
          <w:szCs w:val="20"/>
          <w14:textFill>
            <w14:solidFill>
              <w14:schemeClr w14:val="tx1"/>
            </w14:solidFill>
          </w14:textFill>
        </w:rPr>
        <w:t>Sup</w:t>
      </w:r>
      <w:r>
        <w:rPr>
          <w:rFonts w:hint="eastAsia" w:ascii="Times New Roman" w:hAnsi="Times New Roman" w:cs="Times New Roman"/>
          <w:b/>
          <w:bCs/>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b/>
          <w:bCs/>
          <w:color w:val="000000" w:themeColor="text1"/>
          <w:sz w:val="20"/>
          <w:szCs w:val="20"/>
          <w:lang w:eastAsia="zh-CN"/>
          <w14:textFill>
            <w14:solidFill>
              <w14:schemeClr w14:val="tx1"/>
            </w14:solidFill>
          </w14:textFill>
        </w:rPr>
        <w:t>Fig.</w:t>
      </w:r>
      <w:r>
        <w:rPr>
          <w:rFonts w:hint="default" w:ascii="Times New Roman" w:hAnsi="Times New Roman" w:cs="Times New Roman"/>
          <w:b/>
          <w:bCs/>
          <w:color w:val="000000" w:themeColor="text1"/>
          <w:sz w:val="20"/>
          <w:szCs w:val="20"/>
          <w14:textFill>
            <w14:solidFill>
              <w14:schemeClr w14:val="tx1"/>
            </w14:solidFill>
          </w14:textFill>
        </w:rPr>
        <w:t xml:space="preserve"> </w:t>
      </w:r>
      <w:r>
        <w:rPr>
          <w:rFonts w:hint="eastAsia" w:ascii="Times New Roman" w:hAnsi="Times New Roman" w:cs="Times New Roman"/>
          <w:b/>
          <w:bCs/>
          <w:color w:val="000000" w:themeColor="text1"/>
          <w:sz w:val="20"/>
          <w:szCs w:val="20"/>
          <w:lang w:val="en-US" w:eastAsia="zh-CN"/>
          <w14:textFill>
            <w14:solidFill>
              <w14:schemeClr w14:val="tx1"/>
            </w14:solidFill>
          </w14:textFill>
        </w:rPr>
        <w:t>2</w:t>
      </w:r>
      <w:r>
        <w:rPr>
          <w:rFonts w:hint="default" w:ascii="Times New Roman" w:hAnsi="Times New Roman" w:cs="Times New Roman"/>
          <w:color w:val="000000" w:themeColor="text1"/>
          <w:sz w:val="20"/>
          <w:szCs w:val="20"/>
          <w14:textFill>
            <w14:solidFill>
              <w14:schemeClr w14:val="tx1"/>
            </w14:solidFill>
          </w14:textFill>
        </w:rPr>
        <w:t xml:space="preserve"> </w:t>
      </w:r>
      <w:r>
        <w:rPr>
          <w:rFonts w:hint="eastAsia" w:ascii="Times New Roman" w:hAnsi="Times New Roman" w:cs="Times New Roman"/>
          <w:color w:val="000000" w:themeColor="text1"/>
          <w:sz w:val="20"/>
          <w:szCs w:val="20"/>
          <w:lang w:val="en-US" w:eastAsia="zh-CN"/>
          <w14:textFill>
            <w14:solidFill>
              <w14:schemeClr w14:val="tx1"/>
            </w14:solidFill>
          </w14:textFill>
        </w:rPr>
        <w:t>The forest plots of outcome indicators: (A) Mortality (B) ICU (C) Mechanical ventilation. A: DPP4i, B: GLP1RA, C: SGLT2i, D: SGLT2i+GLP1RA, E: non-DPP4i</w:t>
      </w:r>
      <w:r>
        <w:rPr>
          <w:rFonts w:hint="eastAsia" w:ascii="Times New Roman" w:hAnsi="Times New Roman" w:cs="Times New Roman"/>
          <w:color w:val="000000" w:themeColor="text1"/>
          <w:sz w:val="20"/>
          <w:szCs w:val="20"/>
          <w:lang w:val="en-US" w:eastAsia="zh-CN"/>
          <w14:textFill>
            <w14:solidFill>
              <w14:schemeClr w14:val="tx1"/>
            </w14:solidFill>
          </w14:textFill>
        </w:rPr>
        <w:tab/>
      </w:r>
    </w:p>
    <w:p>
      <w:pPr>
        <w:tabs>
          <w:tab w:val="left" w:pos="1097"/>
        </w:tabs>
        <w:bidi w:val="0"/>
        <w:jc w:val="left"/>
        <w:rPr>
          <w:rFonts w:hint="eastAsia"/>
          <w:lang w:val="en-US" w:eastAsia="zh-CN"/>
        </w:rPr>
      </w:pPr>
      <w:bookmarkStart w:id="37" w:name="_GoBack"/>
      <w:bookmarkEnd w:id="3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19F" w:csb1="00000000"/>
  </w:font>
  <w:font w:name="Times New Roman Regular">
    <w:altName w:val="Times New Roman"/>
    <w:panose1 w:val="02020803070505020304"/>
    <w:charset w:val="00"/>
    <w:family w:val="auto"/>
    <w:pitch w:val="default"/>
    <w:sig w:usb0="00000000" w:usb1="00000000"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EE1B3D"/>
    <w:multiLevelType w:val="multilevel"/>
    <w:tmpl w:val="65EE1B3D"/>
    <w:lvl w:ilvl="0" w:tentative="0">
      <w:start w:val="1"/>
      <w:numFmt w:val="decimal"/>
      <w:pStyle w:val="2"/>
      <w:lvlText w:val="%1"/>
      <w:lvlJc w:val="left"/>
      <w:pPr>
        <w:ind w:left="567" w:hanging="567"/>
      </w:pPr>
      <w:rPr>
        <w:rFonts w:hint="eastAsia"/>
      </w:rPr>
    </w:lvl>
    <w:lvl w:ilvl="1" w:tentative="0">
      <w:start w:val="1"/>
      <w:numFmt w:val="decimal"/>
      <w:pStyle w:val="3"/>
      <w:lvlText w:val="%1.%2"/>
      <w:lvlJc w:val="left"/>
      <w:pPr>
        <w:ind w:left="567" w:hanging="567"/>
      </w:pPr>
      <w:rPr>
        <w:rFonts w:hint="eastAsia"/>
      </w:rPr>
    </w:lvl>
    <w:lvl w:ilvl="2" w:tentative="0">
      <w:start w:val="1"/>
      <w:numFmt w:val="decimal"/>
      <w:lvlText w:val="%1.%2.%3"/>
      <w:lvlJc w:val="left"/>
      <w:pPr>
        <w:ind w:left="567"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4YzA2MWZlY2YyNDBkOGYzZjZhZDA1ZWQzM2ZiOTgifQ=="/>
  </w:docVars>
  <w:rsids>
    <w:rsidRoot w:val="00000000"/>
    <w:rsid w:val="03C86237"/>
    <w:rsid w:val="08206641"/>
    <w:rsid w:val="092E2FE0"/>
    <w:rsid w:val="0F1B5DB5"/>
    <w:rsid w:val="0F2904D1"/>
    <w:rsid w:val="106F460A"/>
    <w:rsid w:val="140943BD"/>
    <w:rsid w:val="17E92EF4"/>
    <w:rsid w:val="23E36B02"/>
    <w:rsid w:val="25E42F4C"/>
    <w:rsid w:val="278C389C"/>
    <w:rsid w:val="2E532A1D"/>
    <w:rsid w:val="2EF51D26"/>
    <w:rsid w:val="355D23FE"/>
    <w:rsid w:val="39D569DC"/>
    <w:rsid w:val="3A3D6694"/>
    <w:rsid w:val="409F3430"/>
    <w:rsid w:val="40B64E72"/>
    <w:rsid w:val="459534C4"/>
    <w:rsid w:val="47FD5FB7"/>
    <w:rsid w:val="490E1F0B"/>
    <w:rsid w:val="49D123EE"/>
    <w:rsid w:val="4BD5286C"/>
    <w:rsid w:val="4D144D0B"/>
    <w:rsid w:val="4E946A0E"/>
    <w:rsid w:val="501C315F"/>
    <w:rsid w:val="51F10A82"/>
    <w:rsid w:val="564D4072"/>
    <w:rsid w:val="58B459F6"/>
    <w:rsid w:val="5AC27E15"/>
    <w:rsid w:val="5E824D8B"/>
    <w:rsid w:val="5F182D44"/>
    <w:rsid w:val="5FFC638B"/>
    <w:rsid w:val="65F55B8D"/>
    <w:rsid w:val="6ACA5A68"/>
    <w:rsid w:val="6C5F1FB2"/>
    <w:rsid w:val="6CF3094C"/>
    <w:rsid w:val="6D793547"/>
    <w:rsid w:val="6EB04D47"/>
    <w:rsid w:val="70057314"/>
    <w:rsid w:val="75834F63"/>
    <w:rsid w:val="77F51A1C"/>
    <w:rsid w:val="7A2134D3"/>
    <w:rsid w:val="7AD63D87"/>
    <w:rsid w:val="7CC37017"/>
    <w:rsid w:val="7D407BDD"/>
    <w:rsid w:val="7F343772"/>
    <w:rsid w:val="7F767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numPr>
        <w:ilvl w:val="0"/>
        <w:numId w:val="1"/>
      </w:numPr>
      <w:spacing w:before="240" w:after="240"/>
      <w:outlineLvl w:val="0"/>
    </w:pPr>
    <w:rPr>
      <w:rFonts w:ascii="Times New Roman" w:hAnsi="Times New Roman"/>
      <w:b/>
      <w:bCs/>
      <w:kern w:val="44"/>
      <w:sz w:val="24"/>
      <w:szCs w:val="44"/>
    </w:rPr>
  </w:style>
  <w:style w:type="paragraph" w:styleId="3">
    <w:name w:val="heading 2"/>
    <w:basedOn w:val="1"/>
    <w:next w:val="1"/>
    <w:unhideWhenUsed/>
    <w:qFormat/>
    <w:uiPriority w:val="9"/>
    <w:pPr>
      <w:keepNext/>
      <w:keepLines/>
      <w:numPr>
        <w:ilvl w:val="1"/>
        <w:numId w:val="1"/>
      </w:numPr>
      <w:spacing w:before="240" w:after="240"/>
      <w:outlineLvl w:val="1"/>
    </w:pPr>
    <w:rPr>
      <w:rFonts w:ascii="Times New Roman" w:hAnsi="Times New Roman" w:eastAsia="等线 Light"/>
      <w:b/>
      <w:bCs/>
      <w:sz w:val="24"/>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Title"/>
    <w:basedOn w:val="1"/>
    <w:next w:val="1"/>
    <w:qFormat/>
    <w:uiPriority w:val="0"/>
    <w:pPr>
      <w:suppressLineNumbers/>
      <w:spacing w:before="240" w:after="360"/>
      <w:jc w:val="center"/>
    </w:pPr>
    <w:rPr>
      <w:rFonts w:cs="Times New Roman"/>
      <w:b/>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paragraph" w:customStyle="1" w:styleId="9">
    <w:name w:val="Supplementary Material"/>
    <w:basedOn w:val="4"/>
    <w:next w:val="4"/>
    <w:qFormat/>
    <w:uiPriority w:val="0"/>
    <w:pPr>
      <w:spacing w:after="120"/>
    </w:pPr>
    <w:rPr>
      <w:i/>
    </w:rPr>
  </w:style>
  <w:style w:type="paragraph" w:customStyle="1" w:styleId="10">
    <w:name w:val="Default"/>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4897</Words>
  <Characters>30089</Characters>
  <Lines>0</Lines>
  <Paragraphs>0</Paragraphs>
  <TotalTime>12</TotalTime>
  <ScaleCrop>false</ScaleCrop>
  <LinksUpToDate>false</LinksUpToDate>
  <CharactersWithSpaces>35396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2022-10-16T06:57:00Z</dcterms:created>
  <dc:creator>yy1233</dc:creator>
  <cp:lastModifiedBy>向日葵的:-)</cp:lastModifiedBy>
  <dcterms:modified xsi:type="dcterms:W3CDTF">2023-08-02T10:33:51Z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376EF984D3A7487F9B05D63FD29ED8A1</vt:lpwstr>
  </property>
</Properties>
</file>