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99BB68" w14:textId="116E48D4" w:rsidR="00770FDA" w:rsidRDefault="005E4E6B">
      <w:pPr>
        <w:spacing w:after="120" w:line="360" w:lineRule="auto"/>
        <w:rPr>
          <w:b/>
          <w:sz w:val="28"/>
        </w:rPr>
      </w:pPr>
      <w:bookmarkStart w:id="0" w:name="__DdeLink__633_863273594"/>
      <w:bookmarkStart w:id="1" w:name="OLE_LINK4"/>
      <w:bookmarkStart w:id="2" w:name="OLE_LINK13"/>
      <w:bookmarkEnd w:id="0"/>
      <w:r>
        <w:rPr>
          <w:b/>
          <w:sz w:val="28"/>
        </w:rPr>
        <w:t>Just another level? Comparing quantitative patterns of global school and higher education expansion</w:t>
      </w:r>
    </w:p>
    <w:bookmarkEnd w:id="1"/>
    <w:bookmarkEnd w:id="2"/>
    <w:p w14:paraId="4EECB7CB" w14:textId="4F033E4D" w:rsidR="00770FDA" w:rsidRDefault="00770FDA">
      <w:pPr>
        <w:spacing w:line="240" w:lineRule="auto"/>
        <w:rPr>
          <w:b/>
          <w:sz w:val="28"/>
        </w:rPr>
      </w:pPr>
    </w:p>
    <w:p w14:paraId="076FB4FB" w14:textId="67C44009" w:rsidR="00376FE5" w:rsidRDefault="00C80579">
      <w:pPr>
        <w:spacing w:line="240" w:lineRule="auto"/>
        <w:rPr>
          <w:b/>
          <w:sz w:val="28"/>
        </w:rPr>
      </w:pPr>
      <w:r>
        <w:rPr>
          <w:b/>
          <w:sz w:val="28"/>
        </w:rPr>
        <w:t>O</w:t>
      </w:r>
      <w:r w:rsidR="00376FE5">
        <w:rPr>
          <w:b/>
          <w:sz w:val="28"/>
        </w:rPr>
        <w:t xml:space="preserve">nline </w:t>
      </w:r>
      <w:r w:rsidR="00795F5A">
        <w:rPr>
          <w:b/>
          <w:sz w:val="28"/>
        </w:rPr>
        <w:t>A</w:t>
      </w:r>
      <w:r w:rsidR="00376FE5">
        <w:rPr>
          <w:b/>
          <w:sz w:val="28"/>
        </w:rPr>
        <w:t>ppendix</w:t>
      </w:r>
    </w:p>
    <w:p w14:paraId="07995B5D" w14:textId="0AE2D31D" w:rsidR="00755FE7" w:rsidRPr="00376FE5" w:rsidRDefault="006133C3" w:rsidP="00376FE5">
      <w:pPr>
        <w:pStyle w:val="Heading2"/>
        <w:numPr>
          <w:ilvl w:val="0"/>
          <w:numId w:val="5"/>
        </w:numPr>
        <w:rPr>
          <w:b/>
          <w:bCs/>
        </w:rPr>
      </w:pPr>
      <w:r w:rsidRPr="00376FE5">
        <w:rPr>
          <w:b/>
          <w:bCs/>
          <w:u w:val="none"/>
        </w:rPr>
        <w:t>Tertiary Versus Non-Tertiary Post-Secondary Attainment</w:t>
      </w:r>
    </w:p>
    <w:p w14:paraId="34A89681" w14:textId="6ED98850" w:rsidR="006133C3" w:rsidRPr="008C04AE" w:rsidRDefault="006229CE" w:rsidP="006133C3">
      <w:pPr>
        <w:pStyle w:val="TextBody"/>
      </w:pPr>
      <w:r>
        <w:t>T</w:t>
      </w:r>
      <w:r w:rsidR="006133C3">
        <w:t>he above analyses cannot be performed</w:t>
      </w:r>
      <w:r>
        <w:t xml:space="preserve"> separately</w:t>
      </w:r>
      <w:r w:rsidR="006133C3">
        <w:t xml:space="preserve"> for non-tertiary and tertiary</w:t>
      </w:r>
      <w:r w:rsidR="002C2BCB">
        <w:t xml:space="preserve"> types of</w:t>
      </w:r>
      <w:r w:rsidR="006133C3">
        <w:t xml:space="preserve"> post-secondary attainment, because</w:t>
      </w:r>
      <w:r>
        <w:t xml:space="preserve"> </w:t>
      </w:r>
      <w:r w:rsidR="00C502C2">
        <w:t xml:space="preserve">this disaggregation </w:t>
      </w:r>
      <w:r w:rsidR="006133C3">
        <w:t xml:space="preserve">is </w:t>
      </w:r>
      <w:r w:rsidR="003E49A1">
        <w:t xml:space="preserve">unavailable </w:t>
      </w:r>
      <w:r>
        <w:t>for a majority of countries.</w:t>
      </w:r>
      <w:r w:rsidR="006133C3">
        <w:t xml:space="preserve"> </w:t>
      </w:r>
      <w:r w:rsidR="00755FE7">
        <w:t>On the</w:t>
      </w:r>
      <w:r w:rsidR="006133C3" w:rsidRPr="008C04AE">
        <w:t xml:space="preserve"> subset of countries for which</w:t>
      </w:r>
      <w:r w:rsidR="00755FE7">
        <w:t xml:space="preserve"> the detailed categor</w:t>
      </w:r>
      <w:r w:rsidR="006133C3">
        <w:t>ies</w:t>
      </w:r>
      <w:r w:rsidR="006133C3" w:rsidRPr="008C04AE">
        <w:t xml:space="preserve"> can be distinguished in the cross-sectional data for the baseline year,</w:t>
      </w:r>
      <w:r w:rsidR="00755FE7">
        <w:t xml:space="preserve"> a supplementary analysis</w:t>
      </w:r>
      <w:r w:rsidR="006133C3" w:rsidRPr="008C04AE">
        <w:t xml:space="preserve"> shows that the split of overall post-secondary attainment</w:t>
      </w:r>
      <w:r w:rsidR="00755FE7">
        <w:t xml:space="preserve"> between tertiary and non-tertiary</w:t>
      </w:r>
      <w:r w:rsidR="006133C3" w:rsidRPr="008C04AE">
        <w:t xml:space="preserve"> lacks any meaningful systematic tre</w:t>
      </w:r>
      <w:r w:rsidR="006133C3">
        <w:t xml:space="preserve">nd at the global level (Fig. </w:t>
      </w:r>
      <w:r w:rsidR="00C80579">
        <w:t>A1</w:t>
      </w:r>
      <w:r w:rsidR="006133C3" w:rsidRPr="008C04AE">
        <w:t xml:space="preserve">). Over cohorts (a), </w:t>
      </w:r>
      <w:r w:rsidR="00755FE7">
        <w:t>there may ha</w:t>
      </w:r>
      <w:r w:rsidR="00C3579F">
        <w:t xml:space="preserve">ve been a slight shift from </w:t>
      </w:r>
      <w:r w:rsidR="00755FE7">
        <w:t xml:space="preserve">tertiary towards </w:t>
      </w:r>
      <w:r w:rsidR="00C3579F">
        <w:t>non-</w:t>
      </w:r>
      <w:r w:rsidR="006133C3" w:rsidRPr="008C04AE">
        <w:t xml:space="preserve">tertiary post-secondary attainment. </w:t>
      </w:r>
      <w:r w:rsidR="00E84868">
        <w:t>However, this marginal trend</w:t>
      </w:r>
      <w:r w:rsidR="006133C3" w:rsidRPr="008C04AE">
        <w:t xml:space="preserve"> is an order of magnitude of smaller than the baseline level variation between countries. In any case, more salient for the present question is the relationship</w:t>
      </w:r>
      <w:r w:rsidR="00895865">
        <w:t xml:space="preserve"> between the non-tertiary/tertiary balance</w:t>
      </w:r>
      <w:r w:rsidR="006133C3" w:rsidRPr="008C04AE">
        <w:t xml:space="preserve"> </w:t>
      </w:r>
      <w:r w:rsidR="00895865">
        <w:t xml:space="preserve">and </w:t>
      </w:r>
      <w:r w:rsidR="006133C3" w:rsidRPr="008C04AE">
        <w:t xml:space="preserve">the stage of </w:t>
      </w:r>
      <w:r w:rsidR="00895865">
        <w:t xml:space="preserve">overall </w:t>
      </w:r>
      <w:r w:rsidR="006133C3" w:rsidRPr="008C04AE">
        <w:t xml:space="preserve">post-secondary expansion (b). From this perspective, there is even less evidence of a </w:t>
      </w:r>
      <w:r w:rsidR="006133C3" w:rsidRPr="00A4489C">
        <w:rPr>
          <w:u w:val="single"/>
        </w:rPr>
        <w:t>generalisable</w:t>
      </w:r>
      <w:r w:rsidR="006133C3" w:rsidRPr="008C04AE">
        <w:t xml:space="preserve"> pattern. In other words,</w:t>
      </w:r>
      <w:r w:rsidR="006A0F22">
        <w:t xml:space="preserve"> expanded</w:t>
      </w:r>
      <w:r w:rsidR="006133C3" w:rsidRPr="008C04AE">
        <w:t xml:space="preserve"> </w:t>
      </w:r>
      <w:r w:rsidR="008706C7">
        <w:t xml:space="preserve">mass </w:t>
      </w:r>
      <w:r w:rsidR="006133C3" w:rsidRPr="008C04AE">
        <w:t xml:space="preserve">participation at the post-secondary level is </w:t>
      </w:r>
      <w:r w:rsidR="006A0F22">
        <w:t xml:space="preserve">not </w:t>
      </w:r>
      <w:r w:rsidR="006133C3" w:rsidRPr="008C04AE">
        <w:t xml:space="preserve">necessarily, or even typically, concentrated at the lower, non-tertiary, end of </w:t>
      </w:r>
      <w:r w:rsidR="00AF723D">
        <w:t>post-secondary attainment</w:t>
      </w:r>
      <w:r w:rsidR="008706C7">
        <w:t xml:space="preserve">, in a way that would change </w:t>
      </w:r>
      <w:r w:rsidR="006133C3" w:rsidRPr="008C04AE">
        <w:t>the implications of continued post-secondary expansion</w:t>
      </w:r>
      <w:r w:rsidR="008706C7">
        <w:t xml:space="preserve"> as discussed in the main text</w:t>
      </w:r>
      <w:r w:rsidR="006133C3" w:rsidRPr="008C04AE">
        <w:t>.</w:t>
      </w:r>
    </w:p>
    <w:p w14:paraId="183E38A9" w14:textId="4B81858A" w:rsidR="006133C3" w:rsidRDefault="006133C3">
      <w:pPr>
        <w:pStyle w:val="TextBody"/>
      </w:pPr>
      <w:r>
        <w:t xml:space="preserve">[Figure </w:t>
      </w:r>
      <w:r w:rsidR="00882C5D">
        <w:t>6</w:t>
      </w:r>
      <w:r>
        <w:t xml:space="preserve"> here]</w:t>
      </w:r>
    </w:p>
    <w:p w14:paraId="2345F4BB" w14:textId="04C02208" w:rsidR="006133C3" w:rsidRPr="00376FE5" w:rsidRDefault="006133C3" w:rsidP="00376FE5">
      <w:pPr>
        <w:pStyle w:val="Heading2"/>
        <w:numPr>
          <w:ilvl w:val="0"/>
          <w:numId w:val="5"/>
        </w:numPr>
        <w:rPr>
          <w:b/>
          <w:bCs/>
          <w:u w:val="none"/>
        </w:rPr>
      </w:pPr>
      <w:r w:rsidRPr="00376FE5">
        <w:rPr>
          <w:b/>
          <w:bCs/>
          <w:u w:val="none"/>
        </w:rPr>
        <w:t>Trends in Tertiary Enrolment</w:t>
      </w:r>
    </w:p>
    <w:p w14:paraId="2C9B79B1" w14:textId="2A4F463F" w:rsidR="0092004A" w:rsidRPr="00836223" w:rsidRDefault="006133C3" w:rsidP="006133C3">
      <w:pPr>
        <w:pStyle w:val="TextBody"/>
      </w:pPr>
      <w:bookmarkStart w:id="3" w:name="references"/>
      <w:bookmarkEnd w:id="3"/>
      <w:r w:rsidRPr="00836223">
        <w:t xml:space="preserve">While data on tertiary enrolments are </w:t>
      </w:r>
      <w:proofErr w:type="gramStart"/>
      <w:r w:rsidRPr="00836223">
        <w:t>more timely</w:t>
      </w:r>
      <w:proofErr w:type="gramEnd"/>
      <w:r w:rsidRPr="00836223">
        <w:t xml:space="preserve">, they offer little insight into ultimate attainment in real-life, dynamic settings. The only indicator available on a global basis is the Gross </w:t>
      </w:r>
      <w:proofErr w:type="spellStart"/>
      <w:r w:rsidRPr="00836223">
        <w:t>Enrol</w:t>
      </w:r>
      <w:r w:rsidR="00F66699" w:rsidRPr="00836223">
        <w:t>l</w:t>
      </w:r>
      <w:r w:rsidRPr="00836223">
        <w:t>ment</w:t>
      </w:r>
      <w:proofErr w:type="spellEnd"/>
      <w:r w:rsidRPr="00836223">
        <w:t xml:space="preserve"> Ratio (</w:t>
      </w:r>
      <w:proofErr w:type="spellStart"/>
      <w:r w:rsidRPr="00836223">
        <w:t>GER</w:t>
      </w:r>
      <w:proofErr w:type="spellEnd"/>
      <w:r w:rsidRPr="00836223">
        <w:t xml:space="preserve">) in tertiary education. This is defined as total tertiary enrolments divided by the population in the five-year age group following the standard secondary school graduation age. As a proxy for cohort lifetime tertiary attainment, this is distorted by the fact that a degree may be attained in less than five years, and both by drop-out and study at later ages. The latter is very common in many countries, and perhaps increasingly so in the context of ‘lifelong learning’. Moreover, it is clear for demographers in particular that even at constant attainment, the tertiary GER will change in response to changes in the duration and timing of enrolment even within the five-year window. As a result of all these dynamics, a tertiary GER of 120% may well arise in a situation where far from all young people attain a tertiary degree, and a tertiary GER of 80%, say, in a situation where all do. In other words, trends in </w:t>
      </w:r>
      <w:proofErr w:type="spellStart"/>
      <w:r w:rsidRPr="00836223">
        <w:t>enro</w:t>
      </w:r>
      <w:r w:rsidR="00F66699" w:rsidRPr="00836223">
        <w:t>l</w:t>
      </w:r>
      <w:r w:rsidRPr="00836223">
        <w:t>lment</w:t>
      </w:r>
      <w:proofErr w:type="spellEnd"/>
      <w:r w:rsidRPr="00836223">
        <w:t xml:space="preserve"> in principle cannot provide conclusive evidence for or against a ceiling in attainment. For what it is worth, the global (unweighted cross-country average) tertiary GER has </w:t>
      </w:r>
      <w:r w:rsidR="00801A5C" w:rsidRPr="00836223">
        <w:t xml:space="preserve">been rising continuously (Fig. </w:t>
      </w:r>
      <w:r w:rsidR="00C80579">
        <w:t>A2</w:t>
      </w:r>
      <w:r w:rsidRPr="00836223">
        <w:t xml:space="preserve">, solid </w:t>
      </w:r>
      <w:r w:rsidRPr="00836223">
        <w:lastRenderedPageBreak/>
        <w:t>line). This is also true for the subset of countries where it has already risen above 70% (dashed line) (both averages would show a slight drop for 2016, however this value is not actually comparable because the 2016 figure is still missing for a third of countries). In other words, at the global level, enrolment trends do not even provide face-value evidence in favour of a ceiling effect</w:t>
      </w:r>
      <w:r w:rsidR="00F66699" w:rsidRPr="00836223">
        <w:t xml:space="preserve">, and an analysis based fully on </w:t>
      </w:r>
      <w:proofErr w:type="spellStart"/>
      <w:r w:rsidR="00F66699" w:rsidRPr="00836223">
        <w:t>enrollments</w:t>
      </w:r>
      <w:proofErr w:type="spellEnd"/>
      <w:r w:rsidR="00F66699" w:rsidRPr="00836223">
        <w:t xml:space="preserve"> rather than attainment leads to similar conclusions (</w:t>
      </w:r>
      <w:proofErr w:type="spellStart"/>
      <w:r w:rsidR="00F66699" w:rsidRPr="00836223">
        <w:t>Marginson</w:t>
      </w:r>
      <w:proofErr w:type="spellEnd"/>
      <w:r w:rsidR="00F66699" w:rsidRPr="00836223">
        <w:t xml:space="preserve"> 2016</w:t>
      </w:r>
      <w:r w:rsidR="0044752B" w:rsidRPr="00836223">
        <w:t>a</w:t>
      </w:r>
      <w:r w:rsidR="00F66699" w:rsidRPr="00836223">
        <w:t>)</w:t>
      </w:r>
      <w:r w:rsidRPr="00836223">
        <w:t>.</w:t>
      </w:r>
    </w:p>
    <w:p w14:paraId="5D049718" w14:textId="77777777" w:rsidR="008D6D8B" w:rsidRPr="00836223" w:rsidRDefault="0092004A" w:rsidP="006133C3">
      <w:pPr>
        <w:pStyle w:val="TextBody"/>
      </w:pPr>
      <w:r w:rsidRPr="00836223">
        <w:t>[</w:t>
      </w:r>
      <w:r w:rsidR="00801A5C" w:rsidRPr="00836223">
        <w:t>Figure 7</w:t>
      </w:r>
      <w:r w:rsidRPr="00836223">
        <w:t xml:space="preserve"> here]</w:t>
      </w:r>
    </w:p>
    <w:p w14:paraId="037D8EF0" w14:textId="3AA0AF95" w:rsidR="008D6D8B" w:rsidRPr="00376FE5" w:rsidRDefault="008D6D8B" w:rsidP="00376FE5">
      <w:pPr>
        <w:pStyle w:val="Heading2"/>
        <w:numPr>
          <w:ilvl w:val="0"/>
          <w:numId w:val="5"/>
        </w:numPr>
        <w:rPr>
          <w:b/>
          <w:bCs/>
          <w:u w:val="none"/>
        </w:rPr>
      </w:pPr>
      <w:r w:rsidRPr="00376FE5">
        <w:rPr>
          <w:b/>
          <w:bCs/>
          <w:u w:val="none"/>
        </w:rPr>
        <w:t>Bayesian Prior Distributions</w:t>
      </w:r>
    </w:p>
    <w:p w14:paraId="33D6B2D5" w14:textId="5EB96B08" w:rsidR="00FE173A" w:rsidRDefault="00FE173A" w:rsidP="008D6D8B">
      <w:pPr>
        <w:pStyle w:val="FirstParagraph"/>
      </w:pPr>
      <w:r>
        <w:t xml:space="preserve">The Bayesian estimation framework requires the specification of prior distributions for all parameters. Here, vague priors are specified that only incorporate knowledge of the order-of-magnitude of various effects, as well as logical bounds, and do not drive the results. </w:t>
      </w:r>
    </w:p>
    <w:p w14:paraId="02E13667" w14:textId="57E2678E" w:rsidR="008D6D8B" w:rsidRDefault="008D6D8B" w:rsidP="008D6D8B">
      <w:pPr>
        <w:pStyle w:val="FirstParagraph"/>
      </w:pPr>
      <w:r>
        <w:t xml:space="preserve">The mean-reversion effect </w:t>
      </w:r>
      <m:oMath>
        <m:r>
          <w:rPr>
            <w:rFonts w:ascii="Cambria Math" w:hAnsi="Cambria Math"/>
          </w:rPr>
          <m:t>θ</m:t>
        </m:r>
      </m:oMath>
      <w:r>
        <w:t xml:space="preserve"> has a </w:t>
      </w:r>
      <w:proofErr w:type="gramStart"/>
      <w:r>
        <w:t>Beta(</w:t>
      </w:r>
      <w:proofErr w:type="gramEnd"/>
      <w:r>
        <w:t xml:space="preserve">1.5, 1.5) prior in the interval (0, 1). The </w:t>
      </w:r>
      <w:r w:rsidR="009218E1">
        <w:t>estimated</w:t>
      </w:r>
      <w:r>
        <w:t xml:space="preserve"> gender convergence factor </w:t>
      </w:r>
      <m:oMath>
        <m:r>
          <w:rPr>
            <w:rFonts w:ascii="Cambria Math" w:hAnsi="Cambria Math"/>
          </w:rPr>
          <m:t>ν</m:t>
        </m:r>
      </m:oMath>
      <w:r>
        <w:t xml:space="preserve"> is level and country specific, with prior </w:t>
      </w:r>
      <w:proofErr w:type="gramStart"/>
      <w:r>
        <w:t>Beta(</w:t>
      </w:r>
      <w:proofErr w:type="gramEnd"/>
      <w:r>
        <w:t xml:space="preserve">1, 5), to ensure a value in the interval (0, 1), strongly skewed towards smaller values. True initial levels are given conceptually uninformative ‘flat’ priors, but restricted to the interval (-4, 4) to ensure a proper posterior. The idiosyncratic shocks at the </w:t>
      </w:r>
      <w:proofErr w:type="spellStart"/>
      <w:r>
        <w:t>probit</w:t>
      </w:r>
      <w:proofErr w:type="spellEnd"/>
      <w:r>
        <w:t xml:space="preserve"> scale, i.e. the gender, level, year, and country specific epsilons, are </w:t>
      </w:r>
      <w:proofErr w:type="spellStart"/>
      <w:r>
        <w:t>i.i.d</w:t>
      </w:r>
      <w:proofErr w:type="spellEnd"/>
      <w:r>
        <w:t xml:space="preserve">. draws from a Gaussian distribution with zero mean and standard error </w:t>
      </w:r>
      <m:oMath>
        <m:sSub>
          <m:sSubPr>
            <m:ctrlPr>
              <w:rPr>
                <w:rFonts w:ascii="Cambria Math" w:hAnsi="Cambria Math"/>
              </w:rPr>
            </m:ctrlPr>
          </m:sSubPr>
          <m:e>
            <m:r>
              <w:rPr>
                <w:rFonts w:ascii="Cambria Math" w:hAnsi="Cambria Math"/>
              </w:rPr>
              <m:t>σ</m:t>
            </m:r>
          </m:e>
          <m:sub>
            <m:r>
              <w:rPr>
                <w:rFonts w:ascii="Cambria Math" w:hAnsi="Cambria Math"/>
              </w:rPr>
              <m:t>ϵ</m:t>
            </m:r>
          </m:sub>
        </m:sSub>
      </m:oMath>
      <w:r>
        <w:t xml:space="preserve">. The additional errors stem from a Gaussian </w:t>
      </w:r>
      <w:proofErr w:type="gramStart"/>
      <w:r>
        <w:t>N(</w:t>
      </w:r>
      <w:proofErr w:type="gramEnd"/>
      <w:r>
        <w:t xml:space="preserve">0, 0.05) distribution. The (gender, level, and country specific) drift parameters have Gaussian priors centred on regional means (themselves drawn from a Gaussian </w:t>
      </w:r>
      <w:proofErr w:type="gramStart"/>
      <w:r>
        <w:t>N(</w:t>
      </w:r>
      <w:proofErr w:type="gramEnd"/>
      <w:r>
        <w:t xml:space="preserve">0, 1) distribution), with standard error </w:t>
      </w:r>
      <m:oMath>
        <m:sSub>
          <m:sSubPr>
            <m:ctrlPr>
              <w:rPr>
                <w:rFonts w:ascii="Cambria Math" w:hAnsi="Cambria Math"/>
              </w:rPr>
            </m:ctrlPr>
          </m:sSubPr>
          <m:e>
            <m:r>
              <w:rPr>
                <w:rFonts w:ascii="Cambria Math" w:hAnsi="Cambria Math"/>
              </w:rPr>
              <m:t>σ</m:t>
            </m:r>
          </m:e>
          <m:sub>
            <m:r>
              <w:rPr>
                <w:rFonts w:ascii="Cambria Math" w:hAnsi="Cambria Math"/>
              </w:rPr>
              <m:t>trend</m:t>
            </m:r>
          </m:sub>
        </m:sSub>
      </m:oMath>
      <w:r>
        <w:t xml:space="preserve">. The hyper-priors on variance parameters </w:t>
      </w:r>
      <m:oMath>
        <m:sSub>
          <m:sSubPr>
            <m:ctrlPr>
              <w:rPr>
                <w:rFonts w:ascii="Cambria Math" w:hAnsi="Cambria Math"/>
              </w:rPr>
            </m:ctrlPr>
          </m:sSubPr>
          <m:e>
            <m:r>
              <w:rPr>
                <w:rFonts w:ascii="Cambria Math" w:hAnsi="Cambria Math"/>
              </w:rPr>
              <m:t>σ</m:t>
            </m:r>
          </m:e>
          <m:sub>
            <m:r>
              <w:rPr>
                <w:rFonts w:ascii="Cambria Math" w:hAnsi="Cambria Math"/>
              </w:rPr>
              <m:t>ϵ</m:t>
            </m:r>
          </m:sub>
        </m:sSub>
      </m:oMath>
      <w:r>
        <w:t xml:space="preserve"> and </w:t>
      </w:r>
      <m:oMath>
        <m:sSub>
          <m:sSubPr>
            <m:ctrlPr>
              <w:rPr>
                <w:rFonts w:ascii="Cambria Math" w:hAnsi="Cambria Math"/>
              </w:rPr>
            </m:ctrlPr>
          </m:sSubPr>
          <m:e>
            <m:r>
              <w:rPr>
                <w:rFonts w:ascii="Cambria Math" w:hAnsi="Cambria Math"/>
              </w:rPr>
              <m:t>σ</m:t>
            </m:r>
          </m:e>
          <m:sub>
            <m:r>
              <w:rPr>
                <w:rFonts w:ascii="Cambria Math" w:hAnsi="Cambria Math"/>
              </w:rPr>
              <m:t>trend</m:t>
            </m:r>
          </m:sub>
        </m:sSub>
      </m:oMath>
      <w:r>
        <w:t xml:space="preserve"> are Gaussian with mean zero and variance 0.2.</w:t>
      </w:r>
    </w:p>
    <w:p w14:paraId="285973CE" w14:textId="3DCE8803" w:rsidR="00F56010" w:rsidRDefault="009A226B">
      <w:pPr>
        <w:pStyle w:val="TextBody"/>
      </w:pPr>
      <w:r>
        <w:br w:type="page"/>
      </w:r>
    </w:p>
    <w:p w14:paraId="3893D787" w14:textId="50D606C5" w:rsidR="00F56010" w:rsidRDefault="00F56010">
      <w:pPr>
        <w:pStyle w:val="TextBody"/>
      </w:pPr>
      <w:r>
        <w:rPr>
          <w:noProof/>
        </w:rPr>
        <w:lastRenderedPageBreak/>
        <w:drawing>
          <wp:inline distT="0" distB="0" distL="0" distR="0" wp14:anchorId="6B5F9316" wp14:editId="618F4850">
            <wp:extent cx="3200400" cy="3200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1a.pdf"/>
                    <pic:cNvPicPr/>
                  </pic:nvPicPr>
                  <pic:blipFill>
                    <a:blip r:embed="rId7">
                      <a:extLst>
                        <a:ext uri="{28A0092B-C50C-407E-A947-70E740481C1C}">
                          <a14:useLocalDpi xmlns:a14="http://schemas.microsoft.com/office/drawing/2010/main" val="0"/>
                        </a:ext>
                      </a:extLst>
                    </a:blip>
                    <a:stretch>
                      <a:fillRect/>
                    </a:stretch>
                  </pic:blipFill>
                  <pic:spPr>
                    <a:xfrm>
                      <a:off x="0" y="0"/>
                      <a:ext cx="3200400" cy="3200400"/>
                    </a:xfrm>
                    <a:prstGeom prst="rect">
                      <a:avLst/>
                    </a:prstGeom>
                  </pic:spPr>
                </pic:pic>
              </a:graphicData>
            </a:graphic>
          </wp:inline>
        </w:drawing>
      </w:r>
    </w:p>
    <w:p w14:paraId="70F83EF4" w14:textId="2013F467" w:rsidR="000E290F" w:rsidRDefault="00025035">
      <w:pPr>
        <w:pStyle w:val="TextBody"/>
      </w:pPr>
      <w:r>
        <w:rPr>
          <w:noProof/>
        </w:rPr>
        <w:drawing>
          <wp:inline distT="0" distB="0" distL="0" distR="0" wp14:anchorId="4CA02204" wp14:editId="30659676">
            <wp:extent cx="3200400" cy="3200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1b copy.pdf"/>
                    <pic:cNvPicPr/>
                  </pic:nvPicPr>
                  <pic:blipFill>
                    <a:blip r:embed="rId8">
                      <a:extLst>
                        <a:ext uri="{28A0092B-C50C-407E-A947-70E740481C1C}">
                          <a14:useLocalDpi xmlns:a14="http://schemas.microsoft.com/office/drawing/2010/main" val="0"/>
                        </a:ext>
                      </a:extLst>
                    </a:blip>
                    <a:stretch>
                      <a:fillRect/>
                    </a:stretch>
                  </pic:blipFill>
                  <pic:spPr>
                    <a:xfrm>
                      <a:off x="0" y="0"/>
                      <a:ext cx="3200400" cy="3200400"/>
                    </a:xfrm>
                    <a:prstGeom prst="rect">
                      <a:avLst/>
                    </a:prstGeom>
                  </pic:spPr>
                </pic:pic>
              </a:graphicData>
            </a:graphic>
          </wp:inline>
        </w:drawing>
      </w:r>
    </w:p>
    <w:p w14:paraId="4D4DD190" w14:textId="36C95EF5" w:rsidR="000E290F" w:rsidRDefault="000E290F">
      <w:pPr>
        <w:pStyle w:val="TextBody"/>
      </w:pPr>
    </w:p>
    <w:p w14:paraId="577D362C" w14:textId="37CDE467" w:rsidR="008C04AE" w:rsidRDefault="00A62702">
      <w:pPr>
        <w:pStyle w:val="TextBody"/>
      </w:pPr>
      <w:r>
        <w:t>Fig.</w:t>
      </w:r>
      <w:r w:rsidR="00A244C5">
        <w:t xml:space="preserve"> </w:t>
      </w:r>
      <w:r w:rsidR="00C80579">
        <w:t>A1</w:t>
      </w:r>
      <w:r w:rsidR="008C04AE">
        <w:t xml:space="preserve"> Tertiary/non-tertiary composition of post-secondary attainment on cross-sectional sub-sample (latest available year) for which detailed higher attainment data is available.</w:t>
      </w:r>
      <w:r w:rsidR="00D62991">
        <w:t xml:space="preserve"> Log-odds-ratios</w:t>
      </w:r>
      <w:r w:rsidR="004623CF">
        <w:t>:</w:t>
      </w:r>
      <w:r w:rsidR="00D62991">
        <w:t xml:space="preserve"> higher values </w:t>
      </w:r>
      <w:r w:rsidR="004623CF">
        <w:t>favour non-tertiary.</w:t>
      </w:r>
    </w:p>
    <w:p w14:paraId="2104EAA3" w14:textId="3428E06C" w:rsidR="008C04AE" w:rsidRDefault="008A5969" w:rsidP="00A4489C">
      <w:pPr>
        <w:pStyle w:val="TextBody"/>
        <w:numPr>
          <w:ilvl w:val="0"/>
          <w:numId w:val="1"/>
        </w:numPr>
      </w:pPr>
      <w:r>
        <w:t>over</w:t>
      </w:r>
      <w:r w:rsidR="008C04AE">
        <w:t xml:space="preserve"> age</w:t>
      </w:r>
      <w:r>
        <w:t>/cohort.</w:t>
      </w:r>
    </w:p>
    <w:p w14:paraId="5C9F8B8F" w14:textId="6DD0290B" w:rsidR="008C04AE" w:rsidRDefault="008A5969" w:rsidP="00A4489C">
      <w:pPr>
        <w:pStyle w:val="TextBody"/>
        <w:numPr>
          <w:ilvl w:val="0"/>
          <w:numId w:val="1"/>
        </w:numPr>
      </w:pPr>
      <w:r>
        <w:t>over</w:t>
      </w:r>
      <w:r w:rsidR="008C04AE">
        <w:t xml:space="preserve"> overall level of post-secondary attainment</w:t>
      </w:r>
      <w:bookmarkStart w:id="4" w:name="_GoBack"/>
      <w:bookmarkEnd w:id="4"/>
    </w:p>
    <w:p w14:paraId="43E34354" w14:textId="3744A9C4" w:rsidR="0092004A" w:rsidRDefault="0092004A">
      <w:pPr>
        <w:spacing w:line="240" w:lineRule="auto"/>
      </w:pPr>
    </w:p>
    <w:p w14:paraId="707B417B" w14:textId="63FC2170" w:rsidR="0092004A" w:rsidRDefault="00025035">
      <w:pPr>
        <w:pStyle w:val="TextBody"/>
      </w:pPr>
      <w:r>
        <w:rPr>
          <w:noProof/>
        </w:rPr>
        <w:drawing>
          <wp:inline distT="0" distB="0" distL="0" distR="0" wp14:anchorId="5A9BA8BE" wp14:editId="0359596D">
            <wp:extent cx="3200400" cy="3200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2 copy.pdf"/>
                    <pic:cNvPicPr/>
                  </pic:nvPicPr>
                  <pic:blipFill>
                    <a:blip r:embed="rId9">
                      <a:extLst>
                        <a:ext uri="{28A0092B-C50C-407E-A947-70E740481C1C}">
                          <a14:useLocalDpi xmlns:a14="http://schemas.microsoft.com/office/drawing/2010/main" val="0"/>
                        </a:ext>
                      </a:extLst>
                    </a:blip>
                    <a:stretch>
                      <a:fillRect/>
                    </a:stretch>
                  </pic:blipFill>
                  <pic:spPr>
                    <a:xfrm>
                      <a:off x="0" y="0"/>
                      <a:ext cx="3200400" cy="3200400"/>
                    </a:xfrm>
                    <a:prstGeom prst="rect">
                      <a:avLst/>
                    </a:prstGeom>
                  </pic:spPr>
                </pic:pic>
              </a:graphicData>
            </a:graphic>
          </wp:inline>
        </w:drawing>
      </w:r>
    </w:p>
    <w:p w14:paraId="1140AD81" w14:textId="70C00BDF" w:rsidR="0092004A" w:rsidRDefault="0092004A">
      <w:pPr>
        <w:pStyle w:val="TextBody"/>
      </w:pPr>
      <w:r>
        <w:t xml:space="preserve">Fig. </w:t>
      </w:r>
      <w:r w:rsidR="00C80579">
        <w:t>A2</w:t>
      </w:r>
      <w:r>
        <w:t>: Gross Tertiary Enrolment Ratio (Tertiary GER)</w:t>
      </w:r>
      <w:r w:rsidR="0075795C">
        <w:t>, all available countries. Solid line: unweighted global average</w:t>
      </w:r>
      <w:r>
        <w:t xml:space="preserve">. </w:t>
      </w:r>
      <w:r w:rsidR="0075795C">
        <w:t xml:space="preserve">Dashed line: unweighted average among countries </w:t>
      </w:r>
      <w:r w:rsidR="003F2866">
        <w:t>ever exceeding 70% (excluding volatile outliers)</w:t>
      </w:r>
      <w:r>
        <w:t>. Data: World Development Indicators (WDI).</w:t>
      </w:r>
    </w:p>
    <w:sectPr w:rsidR="0092004A">
      <w:footerReference w:type="default" r:id="rId10"/>
      <w:pgSz w:w="12240" w:h="15840"/>
      <w:pgMar w:top="1440" w:right="1440" w:bottom="1440" w:left="1440" w:header="0" w:footer="0" w:gutter="0"/>
      <w:cols w:space="720"/>
      <w:formProt w:val="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69D775" w14:textId="77777777" w:rsidR="00146921" w:rsidRDefault="00146921" w:rsidP="00AB11A3">
      <w:pPr>
        <w:spacing w:line="240" w:lineRule="auto"/>
      </w:pPr>
      <w:r>
        <w:separator/>
      </w:r>
    </w:p>
    <w:p w14:paraId="667B7A0B" w14:textId="77777777" w:rsidR="00146921" w:rsidRDefault="00146921"/>
  </w:endnote>
  <w:endnote w:type="continuationSeparator" w:id="0">
    <w:p w14:paraId="40E1BBC7" w14:textId="77777777" w:rsidR="00146921" w:rsidRDefault="00146921" w:rsidP="00AB11A3">
      <w:pPr>
        <w:spacing w:line="240" w:lineRule="auto"/>
      </w:pPr>
      <w:r>
        <w:continuationSeparator/>
      </w:r>
    </w:p>
    <w:p w14:paraId="2EEDA566" w14:textId="77777777" w:rsidR="00146921" w:rsidRDefault="001469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Liberation Sans">
    <w:altName w:val="Arial"/>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BC201B" w14:textId="77777777" w:rsidR="00AE21BD" w:rsidRDefault="00AE21BD">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6</w:t>
    </w:r>
    <w:r>
      <w:rPr>
        <w:caps/>
        <w:noProof/>
        <w:color w:val="4F81BD" w:themeColor="accent1"/>
      </w:rPr>
      <w:fldChar w:fldCharType="end"/>
    </w:r>
  </w:p>
  <w:p w14:paraId="1FD75679" w14:textId="77777777" w:rsidR="00AE21BD" w:rsidRDefault="00AE21BD">
    <w:pPr>
      <w:pStyle w:val="Footer"/>
    </w:pPr>
  </w:p>
  <w:p w14:paraId="6F4CE9C2" w14:textId="77777777" w:rsidR="00930521" w:rsidRDefault="0093052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D8850A" w14:textId="77777777" w:rsidR="00146921" w:rsidRDefault="00146921" w:rsidP="00AB11A3">
      <w:pPr>
        <w:spacing w:line="240" w:lineRule="auto"/>
      </w:pPr>
      <w:r>
        <w:separator/>
      </w:r>
    </w:p>
    <w:p w14:paraId="2874A887" w14:textId="77777777" w:rsidR="00146921" w:rsidRDefault="00146921"/>
  </w:footnote>
  <w:footnote w:type="continuationSeparator" w:id="0">
    <w:p w14:paraId="1569F9B9" w14:textId="77777777" w:rsidR="00146921" w:rsidRDefault="00146921" w:rsidP="00AB11A3">
      <w:pPr>
        <w:spacing w:line="240" w:lineRule="auto"/>
      </w:pPr>
      <w:r>
        <w:continuationSeparator/>
      </w:r>
    </w:p>
    <w:p w14:paraId="1D9DF2B2" w14:textId="77777777" w:rsidR="00146921" w:rsidRDefault="0014692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59349FA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1916DB22"/>
    <w:lvl w:ilvl="0">
      <w:start w:val="1"/>
      <w:numFmt w:val="decimal"/>
      <w:lvlText w:val="%1."/>
      <w:lvlJc w:val="left"/>
      <w:pPr>
        <w:tabs>
          <w:tab w:val="num" w:pos="1492"/>
        </w:tabs>
        <w:ind w:left="1492" w:hanging="360"/>
      </w:pPr>
    </w:lvl>
  </w:abstractNum>
  <w:abstractNum w:abstractNumId="2" w15:restartNumberingAfterBreak="0">
    <w:nsid w:val="FFFFFF7F"/>
    <w:multiLevelType w:val="singleLevel"/>
    <w:tmpl w:val="471C8CDC"/>
    <w:lvl w:ilvl="0">
      <w:start w:val="1"/>
      <w:numFmt w:val="decimal"/>
      <w:lvlText w:val="%1."/>
      <w:lvlJc w:val="left"/>
      <w:pPr>
        <w:tabs>
          <w:tab w:val="num" w:pos="643"/>
        </w:tabs>
        <w:ind w:left="643" w:hanging="360"/>
      </w:pPr>
    </w:lvl>
  </w:abstractNum>
  <w:abstractNum w:abstractNumId="3" w15:restartNumberingAfterBreak="0">
    <w:nsid w:val="16DA5899"/>
    <w:multiLevelType w:val="hybridMultilevel"/>
    <w:tmpl w:val="EE9A51C6"/>
    <w:lvl w:ilvl="0" w:tplc="970665D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AC96782"/>
    <w:multiLevelType w:val="hybridMultilevel"/>
    <w:tmpl w:val="B8E6CD1C"/>
    <w:lvl w:ilvl="0" w:tplc="04090015">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AE3"/>
    <w:rsid w:val="00017DC0"/>
    <w:rsid w:val="00021548"/>
    <w:rsid w:val="000215A0"/>
    <w:rsid w:val="0002482C"/>
    <w:rsid w:val="00025035"/>
    <w:rsid w:val="00027D83"/>
    <w:rsid w:val="00031BAA"/>
    <w:rsid w:val="00032A0A"/>
    <w:rsid w:val="00056E0A"/>
    <w:rsid w:val="0007403B"/>
    <w:rsid w:val="00074AF4"/>
    <w:rsid w:val="00075BD3"/>
    <w:rsid w:val="00096BB0"/>
    <w:rsid w:val="000B3533"/>
    <w:rsid w:val="000E290F"/>
    <w:rsid w:val="000E4BF0"/>
    <w:rsid w:val="000F227E"/>
    <w:rsid w:val="00113AE3"/>
    <w:rsid w:val="001165A8"/>
    <w:rsid w:val="00123E5C"/>
    <w:rsid w:val="001271E7"/>
    <w:rsid w:val="00136345"/>
    <w:rsid w:val="00146846"/>
    <w:rsid w:val="00146921"/>
    <w:rsid w:val="0014754D"/>
    <w:rsid w:val="00154E73"/>
    <w:rsid w:val="00165284"/>
    <w:rsid w:val="00170875"/>
    <w:rsid w:val="0018480E"/>
    <w:rsid w:val="00187533"/>
    <w:rsid w:val="001B4116"/>
    <w:rsid w:val="001B6B74"/>
    <w:rsid w:val="001D7352"/>
    <w:rsid w:val="001E0CFF"/>
    <w:rsid w:val="001E2645"/>
    <w:rsid w:val="001E2EE8"/>
    <w:rsid w:val="001F1D18"/>
    <w:rsid w:val="00213309"/>
    <w:rsid w:val="0024193F"/>
    <w:rsid w:val="0025007B"/>
    <w:rsid w:val="00267B59"/>
    <w:rsid w:val="002725DB"/>
    <w:rsid w:val="002776BE"/>
    <w:rsid w:val="00287E92"/>
    <w:rsid w:val="002A4D8C"/>
    <w:rsid w:val="002B6983"/>
    <w:rsid w:val="002C18C5"/>
    <w:rsid w:val="002C2BCB"/>
    <w:rsid w:val="002D12F2"/>
    <w:rsid w:val="002D3DE9"/>
    <w:rsid w:val="002E4742"/>
    <w:rsid w:val="002F3EBE"/>
    <w:rsid w:val="002F74AA"/>
    <w:rsid w:val="00300D2A"/>
    <w:rsid w:val="003014A7"/>
    <w:rsid w:val="003024E5"/>
    <w:rsid w:val="00303B95"/>
    <w:rsid w:val="00323D17"/>
    <w:rsid w:val="00337549"/>
    <w:rsid w:val="003403A1"/>
    <w:rsid w:val="003454D6"/>
    <w:rsid w:val="003573C4"/>
    <w:rsid w:val="003574F0"/>
    <w:rsid w:val="0036318D"/>
    <w:rsid w:val="003705B2"/>
    <w:rsid w:val="00373C04"/>
    <w:rsid w:val="00374904"/>
    <w:rsid w:val="00376FE5"/>
    <w:rsid w:val="00385BF9"/>
    <w:rsid w:val="003A4385"/>
    <w:rsid w:val="003C17F9"/>
    <w:rsid w:val="003E49A1"/>
    <w:rsid w:val="003F2866"/>
    <w:rsid w:val="003F7990"/>
    <w:rsid w:val="00407AF2"/>
    <w:rsid w:val="00442FC6"/>
    <w:rsid w:val="0044752B"/>
    <w:rsid w:val="004623CF"/>
    <w:rsid w:val="00465BF4"/>
    <w:rsid w:val="00474238"/>
    <w:rsid w:val="0048230A"/>
    <w:rsid w:val="00482C0F"/>
    <w:rsid w:val="00483C49"/>
    <w:rsid w:val="004844C3"/>
    <w:rsid w:val="00485B27"/>
    <w:rsid w:val="00492D8E"/>
    <w:rsid w:val="00492E9C"/>
    <w:rsid w:val="00495CB5"/>
    <w:rsid w:val="004971A1"/>
    <w:rsid w:val="004A35E5"/>
    <w:rsid w:val="004B40BB"/>
    <w:rsid w:val="004E2FF5"/>
    <w:rsid w:val="004F15F6"/>
    <w:rsid w:val="004F213F"/>
    <w:rsid w:val="004F5A05"/>
    <w:rsid w:val="004F71C2"/>
    <w:rsid w:val="005010CF"/>
    <w:rsid w:val="005019A8"/>
    <w:rsid w:val="00505C30"/>
    <w:rsid w:val="00506FAD"/>
    <w:rsid w:val="00517091"/>
    <w:rsid w:val="005176FF"/>
    <w:rsid w:val="00517F26"/>
    <w:rsid w:val="00520B14"/>
    <w:rsid w:val="0055079F"/>
    <w:rsid w:val="005525BA"/>
    <w:rsid w:val="00552C35"/>
    <w:rsid w:val="0055430B"/>
    <w:rsid w:val="0056003D"/>
    <w:rsid w:val="005707FF"/>
    <w:rsid w:val="00573B2B"/>
    <w:rsid w:val="00583FD3"/>
    <w:rsid w:val="005841E7"/>
    <w:rsid w:val="00586D65"/>
    <w:rsid w:val="00593909"/>
    <w:rsid w:val="005A2BA6"/>
    <w:rsid w:val="005A5542"/>
    <w:rsid w:val="005D06AF"/>
    <w:rsid w:val="005D1C9E"/>
    <w:rsid w:val="005D3027"/>
    <w:rsid w:val="005E24E5"/>
    <w:rsid w:val="005E2DCB"/>
    <w:rsid w:val="005E4E6B"/>
    <w:rsid w:val="005F2FCA"/>
    <w:rsid w:val="005F4EAC"/>
    <w:rsid w:val="005F5095"/>
    <w:rsid w:val="006023F8"/>
    <w:rsid w:val="006049DA"/>
    <w:rsid w:val="006102FC"/>
    <w:rsid w:val="0061213A"/>
    <w:rsid w:val="006133C3"/>
    <w:rsid w:val="006229CE"/>
    <w:rsid w:val="0062481C"/>
    <w:rsid w:val="00637548"/>
    <w:rsid w:val="006406B8"/>
    <w:rsid w:val="00650BB9"/>
    <w:rsid w:val="00692671"/>
    <w:rsid w:val="006944E0"/>
    <w:rsid w:val="006A0F22"/>
    <w:rsid w:val="006B5220"/>
    <w:rsid w:val="006D4A47"/>
    <w:rsid w:val="006E22A1"/>
    <w:rsid w:val="00706123"/>
    <w:rsid w:val="00706169"/>
    <w:rsid w:val="0070625B"/>
    <w:rsid w:val="007110FD"/>
    <w:rsid w:val="0072302B"/>
    <w:rsid w:val="007263DC"/>
    <w:rsid w:val="00727CE6"/>
    <w:rsid w:val="00732211"/>
    <w:rsid w:val="007337F0"/>
    <w:rsid w:val="00752D22"/>
    <w:rsid w:val="007535CD"/>
    <w:rsid w:val="0075443A"/>
    <w:rsid w:val="00755FE7"/>
    <w:rsid w:val="0075795C"/>
    <w:rsid w:val="007579CF"/>
    <w:rsid w:val="007666E4"/>
    <w:rsid w:val="00770FDA"/>
    <w:rsid w:val="00773EF3"/>
    <w:rsid w:val="00781182"/>
    <w:rsid w:val="00792012"/>
    <w:rsid w:val="00795F5A"/>
    <w:rsid w:val="007A0451"/>
    <w:rsid w:val="007A18B8"/>
    <w:rsid w:val="007A5BE6"/>
    <w:rsid w:val="007C1F6C"/>
    <w:rsid w:val="007D0ADA"/>
    <w:rsid w:val="007E1AA8"/>
    <w:rsid w:val="007F5C85"/>
    <w:rsid w:val="00801A5C"/>
    <w:rsid w:val="00801FAA"/>
    <w:rsid w:val="00803B37"/>
    <w:rsid w:val="00806120"/>
    <w:rsid w:val="0080664B"/>
    <w:rsid w:val="0081587A"/>
    <w:rsid w:val="00822C03"/>
    <w:rsid w:val="0082778E"/>
    <w:rsid w:val="00836223"/>
    <w:rsid w:val="00852286"/>
    <w:rsid w:val="008706C7"/>
    <w:rsid w:val="0087558C"/>
    <w:rsid w:val="00877A4F"/>
    <w:rsid w:val="0088114F"/>
    <w:rsid w:val="00881A95"/>
    <w:rsid w:val="00882C5D"/>
    <w:rsid w:val="00883744"/>
    <w:rsid w:val="00884617"/>
    <w:rsid w:val="008859F0"/>
    <w:rsid w:val="00891A7C"/>
    <w:rsid w:val="008933EB"/>
    <w:rsid w:val="00895865"/>
    <w:rsid w:val="00896389"/>
    <w:rsid w:val="008A5969"/>
    <w:rsid w:val="008C04AE"/>
    <w:rsid w:val="008C6E36"/>
    <w:rsid w:val="008D6097"/>
    <w:rsid w:val="008D6D8B"/>
    <w:rsid w:val="008E1246"/>
    <w:rsid w:val="008E3486"/>
    <w:rsid w:val="008F0171"/>
    <w:rsid w:val="008F5A95"/>
    <w:rsid w:val="00904365"/>
    <w:rsid w:val="009102C7"/>
    <w:rsid w:val="0092004A"/>
    <w:rsid w:val="009218E1"/>
    <w:rsid w:val="00927FA4"/>
    <w:rsid w:val="00930521"/>
    <w:rsid w:val="009335F8"/>
    <w:rsid w:val="009406EE"/>
    <w:rsid w:val="00953CCF"/>
    <w:rsid w:val="00957BEF"/>
    <w:rsid w:val="00981F63"/>
    <w:rsid w:val="009A0492"/>
    <w:rsid w:val="009A226B"/>
    <w:rsid w:val="009B4695"/>
    <w:rsid w:val="009E56AE"/>
    <w:rsid w:val="009F4F0B"/>
    <w:rsid w:val="00A125EB"/>
    <w:rsid w:val="00A244C5"/>
    <w:rsid w:val="00A36335"/>
    <w:rsid w:val="00A410CC"/>
    <w:rsid w:val="00A4489C"/>
    <w:rsid w:val="00A543A4"/>
    <w:rsid w:val="00A62702"/>
    <w:rsid w:val="00A6529F"/>
    <w:rsid w:val="00A66C1E"/>
    <w:rsid w:val="00A772CB"/>
    <w:rsid w:val="00A83080"/>
    <w:rsid w:val="00A8776C"/>
    <w:rsid w:val="00AA3155"/>
    <w:rsid w:val="00AA43AF"/>
    <w:rsid w:val="00AB11A3"/>
    <w:rsid w:val="00AB32F2"/>
    <w:rsid w:val="00AB7EE1"/>
    <w:rsid w:val="00AD10CB"/>
    <w:rsid w:val="00AD2AA0"/>
    <w:rsid w:val="00AE21BD"/>
    <w:rsid w:val="00AE73C8"/>
    <w:rsid w:val="00AF5227"/>
    <w:rsid w:val="00AF723D"/>
    <w:rsid w:val="00B106D5"/>
    <w:rsid w:val="00B24FC6"/>
    <w:rsid w:val="00B35BDC"/>
    <w:rsid w:val="00B37682"/>
    <w:rsid w:val="00B459C4"/>
    <w:rsid w:val="00B5151A"/>
    <w:rsid w:val="00B52F63"/>
    <w:rsid w:val="00B647B0"/>
    <w:rsid w:val="00B72CB4"/>
    <w:rsid w:val="00B8054C"/>
    <w:rsid w:val="00B9365F"/>
    <w:rsid w:val="00B96B1B"/>
    <w:rsid w:val="00BA7B46"/>
    <w:rsid w:val="00BC6D2F"/>
    <w:rsid w:val="00BD0714"/>
    <w:rsid w:val="00BE05E3"/>
    <w:rsid w:val="00C03D6A"/>
    <w:rsid w:val="00C14886"/>
    <w:rsid w:val="00C23DA6"/>
    <w:rsid w:val="00C2448E"/>
    <w:rsid w:val="00C349EB"/>
    <w:rsid w:val="00C3579F"/>
    <w:rsid w:val="00C42980"/>
    <w:rsid w:val="00C4344E"/>
    <w:rsid w:val="00C470F8"/>
    <w:rsid w:val="00C502C2"/>
    <w:rsid w:val="00C51756"/>
    <w:rsid w:val="00C51933"/>
    <w:rsid w:val="00C51D28"/>
    <w:rsid w:val="00C524FA"/>
    <w:rsid w:val="00C77B35"/>
    <w:rsid w:val="00C80579"/>
    <w:rsid w:val="00C92E8F"/>
    <w:rsid w:val="00C95A4A"/>
    <w:rsid w:val="00CA0247"/>
    <w:rsid w:val="00CB0872"/>
    <w:rsid w:val="00CC63A9"/>
    <w:rsid w:val="00CD31A6"/>
    <w:rsid w:val="00CD6E7D"/>
    <w:rsid w:val="00CF3104"/>
    <w:rsid w:val="00D02CA8"/>
    <w:rsid w:val="00D04AA0"/>
    <w:rsid w:val="00D055E7"/>
    <w:rsid w:val="00D07C17"/>
    <w:rsid w:val="00D1714A"/>
    <w:rsid w:val="00D21148"/>
    <w:rsid w:val="00D31735"/>
    <w:rsid w:val="00D451B7"/>
    <w:rsid w:val="00D538F5"/>
    <w:rsid w:val="00D62991"/>
    <w:rsid w:val="00D64BC1"/>
    <w:rsid w:val="00D77EF4"/>
    <w:rsid w:val="00D845CA"/>
    <w:rsid w:val="00DA6480"/>
    <w:rsid w:val="00DF4C7F"/>
    <w:rsid w:val="00DF770F"/>
    <w:rsid w:val="00E02DA2"/>
    <w:rsid w:val="00E106C9"/>
    <w:rsid w:val="00E1427B"/>
    <w:rsid w:val="00E30A06"/>
    <w:rsid w:val="00E36B6A"/>
    <w:rsid w:val="00E42BA4"/>
    <w:rsid w:val="00E45535"/>
    <w:rsid w:val="00E6105F"/>
    <w:rsid w:val="00E624AB"/>
    <w:rsid w:val="00E84868"/>
    <w:rsid w:val="00E87C0C"/>
    <w:rsid w:val="00E95246"/>
    <w:rsid w:val="00EA4F78"/>
    <w:rsid w:val="00EA64E5"/>
    <w:rsid w:val="00EB5374"/>
    <w:rsid w:val="00ED39EF"/>
    <w:rsid w:val="00ED7648"/>
    <w:rsid w:val="00ED7D62"/>
    <w:rsid w:val="00EE5DBD"/>
    <w:rsid w:val="00EF2E24"/>
    <w:rsid w:val="00F02BF5"/>
    <w:rsid w:val="00F159EA"/>
    <w:rsid w:val="00F222B5"/>
    <w:rsid w:val="00F320DB"/>
    <w:rsid w:val="00F35E71"/>
    <w:rsid w:val="00F41007"/>
    <w:rsid w:val="00F41CC7"/>
    <w:rsid w:val="00F56010"/>
    <w:rsid w:val="00F63C14"/>
    <w:rsid w:val="00F663C5"/>
    <w:rsid w:val="00F66699"/>
    <w:rsid w:val="00F7273D"/>
    <w:rsid w:val="00F72939"/>
    <w:rsid w:val="00F74717"/>
    <w:rsid w:val="00F76ACB"/>
    <w:rsid w:val="00F77F9A"/>
    <w:rsid w:val="00F815DB"/>
    <w:rsid w:val="00F828E4"/>
    <w:rsid w:val="00F863C1"/>
    <w:rsid w:val="00F94DCA"/>
    <w:rsid w:val="00F95AA8"/>
    <w:rsid w:val="00F9742B"/>
    <w:rsid w:val="00FA106B"/>
    <w:rsid w:val="00FA5720"/>
    <w:rsid w:val="00FD34CD"/>
    <w:rsid w:val="00FD3FAD"/>
    <w:rsid w:val="00FE173A"/>
    <w:rsid w:val="00FE1B12"/>
    <w:rsid w:val="00FF433D"/>
    <w:rsid w:val="00FF6D5D"/>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3992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4"/>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qFormat="1"/>
    <w:lsdException w:name="annotation text" w:semiHidden="1"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D951E1"/>
    <w:pPr>
      <w:spacing w:line="480" w:lineRule="auto"/>
    </w:pPr>
    <w:rPr>
      <w:rFonts w:ascii="Times New Roman" w:eastAsia="Times New Roman" w:hAnsi="Times New Roman" w:cs="Times New Roman"/>
      <w:color w:val="00000A"/>
      <w:sz w:val="24"/>
      <w:lang w:val="en-GB" w:eastAsia="en-GB"/>
    </w:rPr>
  </w:style>
  <w:style w:type="paragraph" w:styleId="Heading1">
    <w:name w:val="heading 1"/>
    <w:basedOn w:val="Normal"/>
    <w:link w:val="Heading1Char"/>
    <w:qFormat/>
    <w:rsid w:val="00D951E1"/>
    <w:pPr>
      <w:keepNext/>
      <w:spacing w:before="360" w:after="60" w:line="360" w:lineRule="auto"/>
      <w:ind w:right="567"/>
      <w:contextualSpacing/>
      <w:outlineLvl w:val="0"/>
    </w:pPr>
    <w:rPr>
      <w:rFonts w:cs="Arial"/>
      <w:b/>
      <w:bCs/>
      <w:szCs w:val="32"/>
    </w:rPr>
  </w:style>
  <w:style w:type="paragraph" w:styleId="Heading2">
    <w:name w:val="heading 2"/>
    <w:basedOn w:val="Normal"/>
    <w:link w:val="Heading2Char"/>
    <w:qFormat/>
    <w:rsid w:val="00485B27"/>
    <w:pPr>
      <w:keepNext/>
      <w:spacing w:before="360" w:after="60" w:line="360" w:lineRule="auto"/>
      <w:ind w:right="567"/>
      <w:contextualSpacing/>
      <w:outlineLvl w:val="1"/>
    </w:pPr>
    <w:rPr>
      <w:rFonts w:cs="Arial"/>
      <w:szCs w:val="28"/>
      <w:u w:val="single"/>
    </w:rPr>
  </w:style>
  <w:style w:type="paragraph" w:styleId="Heading3">
    <w:name w:val="heading 3"/>
    <w:basedOn w:val="Normal"/>
    <w:link w:val="Heading3Char"/>
    <w:qFormat/>
    <w:rsid w:val="00D951E1"/>
    <w:pPr>
      <w:keepNext/>
      <w:spacing w:before="360" w:after="60" w:line="360" w:lineRule="auto"/>
      <w:ind w:right="567"/>
      <w:contextualSpacing/>
      <w:outlineLvl w:val="2"/>
    </w:pPr>
    <w:rPr>
      <w:rFonts w:cs="Arial"/>
      <w:bCs/>
      <w:i/>
      <w:szCs w:val="26"/>
    </w:rPr>
  </w:style>
  <w:style w:type="paragraph" w:styleId="Heading4">
    <w:name w:val="heading 4"/>
    <w:basedOn w:val="Heading"/>
    <w:link w:val="Heading4Char"/>
    <w:qFormat/>
    <w:rsid w:val="00D951E1"/>
    <w:pPr>
      <w:widowControl w:val="0"/>
      <w:spacing w:before="360" w:after="0"/>
      <w:outlineLvl w:val="3"/>
    </w:pPr>
    <w:rPr>
      <w:rFonts w:ascii="Times New Roman" w:eastAsia="Times New Roman" w:hAnsi="Times New Roman" w:cs="Times New Roman"/>
      <w:bCs/>
    </w:rPr>
  </w:style>
  <w:style w:type="paragraph" w:styleId="Heading5">
    <w:name w:val="heading 5"/>
    <w:basedOn w:val="Normal"/>
    <w:uiPriority w:val="9"/>
    <w:unhideWhenUsed/>
    <w:qFormat/>
    <w:rsid w:val="004732EA"/>
    <w:pPr>
      <w:keepNext/>
      <w:keepLines/>
      <w:spacing w:before="200"/>
      <w:outlineLvl w:val="4"/>
    </w:pPr>
    <w:rPr>
      <w:rFonts w:eastAsiaTheme="majorEastAsia"/>
      <w:iCs/>
      <w:smallCaps/>
      <w:color w:val="000000" w:themeColor="text1"/>
      <w:sz w:val="22"/>
      <w:szCs w:val="22"/>
    </w:rPr>
  </w:style>
  <w:style w:type="paragraph" w:styleId="Heading6">
    <w:name w:val="heading 6"/>
    <w:basedOn w:val="Normal"/>
    <w:uiPriority w:val="9"/>
    <w:unhideWhenUsed/>
    <w:qFormat/>
    <w:pPr>
      <w:keepNext/>
      <w:keepLines/>
      <w:spacing w:before="200"/>
      <w:outlineLvl w:val="5"/>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ptionChar">
    <w:name w:val="Caption Char"/>
    <w:basedOn w:val="DefaultParagraphFont"/>
    <w:link w:val="Caption"/>
    <w:qFormat/>
    <w:rPr>
      <w:rFonts w:ascii="Times New Roman" w:eastAsia="Times New Roman" w:hAnsi="Times New Roman" w:cs="Times New Roman"/>
      <w:i/>
      <w:iCs/>
      <w:lang w:val="en-GB" w:eastAsia="en-GB"/>
    </w:rPr>
  </w:style>
  <w:style w:type="character" w:customStyle="1" w:styleId="VerbatimChar">
    <w:name w:val="Verbatim Char"/>
    <w:basedOn w:val="CaptionChar"/>
    <w:link w:val="SourceCode"/>
    <w:qFormat/>
    <w:rPr>
      <w:rFonts w:ascii="Consolas" w:eastAsia="Times New Roman" w:hAnsi="Consolas" w:cs="Times New Roman"/>
      <w:i/>
      <w:iCs/>
      <w:sz w:val="22"/>
      <w:lang w:val="en-GB" w:eastAsia="en-GB"/>
    </w:rPr>
  </w:style>
  <w:style w:type="character" w:styleId="FootnoteReference">
    <w:name w:val="footnote reference"/>
    <w:basedOn w:val="DefaultParagraphFont"/>
    <w:qFormat/>
    <w:rsid w:val="00D951E1"/>
    <w:rPr>
      <w:vertAlign w:val="superscript"/>
    </w:rPr>
  </w:style>
  <w:style w:type="character" w:customStyle="1" w:styleId="InternetLink">
    <w:name w:val="Internet Link"/>
    <w:basedOn w:val="CaptionChar"/>
    <w:rPr>
      <w:rFonts w:ascii="Times New Roman" w:eastAsia="Times New Roman" w:hAnsi="Times New Roman" w:cs="Times New Roman"/>
      <w:i/>
      <w:iCs/>
      <w:color w:val="4F81BD" w:themeColor="accent1"/>
      <w:lang w:val="en-GB" w:eastAsia="en-GB"/>
    </w:rPr>
  </w:style>
  <w:style w:type="character" w:customStyle="1" w:styleId="KeywordTok">
    <w:name w:val="KeywordTok"/>
    <w:basedOn w:val="VerbatimChar"/>
    <w:qFormat/>
    <w:rPr>
      <w:rFonts w:ascii="Consolas" w:eastAsia="Times New Roman" w:hAnsi="Consolas" w:cs="Times New Roman"/>
      <w:b/>
      <w:i/>
      <w:iCs/>
      <w:color w:val="007020"/>
      <w:sz w:val="22"/>
      <w:lang w:val="en-GB" w:eastAsia="en-GB"/>
    </w:rPr>
  </w:style>
  <w:style w:type="character" w:customStyle="1" w:styleId="DataTypeTok">
    <w:name w:val="DataTypeTok"/>
    <w:basedOn w:val="VerbatimChar"/>
    <w:qFormat/>
    <w:rPr>
      <w:rFonts w:ascii="Consolas" w:eastAsia="Times New Roman" w:hAnsi="Consolas" w:cs="Times New Roman"/>
      <w:i/>
      <w:iCs/>
      <w:color w:val="902000"/>
      <w:sz w:val="22"/>
      <w:lang w:val="en-GB" w:eastAsia="en-GB"/>
    </w:rPr>
  </w:style>
  <w:style w:type="character" w:customStyle="1" w:styleId="DecValTok">
    <w:name w:val="DecValTok"/>
    <w:basedOn w:val="VerbatimChar"/>
    <w:qFormat/>
    <w:rPr>
      <w:rFonts w:ascii="Consolas" w:eastAsia="Times New Roman" w:hAnsi="Consolas" w:cs="Times New Roman"/>
      <w:i/>
      <w:iCs/>
      <w:color w:val="40A070"/>
      <w:sz w:val="22"/>
      <w:lang w:val="en-GB" w:eastAsia="en-GB"/>
    </w:rPr>
  </w:style>
  <w:style w:type="character" w:customStyle="1" w:styleId="BaseNTok">
    <w:name w:val="BaseNTok"/>
    <w:basedOn w:val="VerbatimChar"/>
    <w:qFormat/>
    <w:rPr>
      <w:rFonts w:ascii="Consolas" w:eastAsia="Times New Roman" w:hAnsi="Consolas" w:cs="Times New Roman"/>
      <w:i/>
      <w:iCs/>
      <w:color w:val="40A070"/>
      <w:sz w:val="22"/>
      <w:lang w:val="en-GB" w:eastAsia="en-GB"/>
    </w:rPr>
  </w:style>
  <w:style w:type="character" w:customStyle="1" w:styleId="FloatTok">
    <w:name w:val="FloatTok"/>
    <w:basedOn w:val="VerbatimChar"/>
    <w:qFormat/>
    <w:rPr>
      <w:rFonts w:ascii="Consolas" w:eastAsia="Times New Roman" w:hAnsi="Consolas" w:cs="Times New Roman"/>
      <w:i/>
      <w:iCs/>
      <w:color w:val="40A070"/>
      <w:sz w:val="22"/>
      <w:lang w:val="en-GB" w:eastAsia="en-GB"/>
    </w:rPr>
  </w:style>
  <w:style w:type="character" w:customStyle="1" w:styleId="ConstantTok">
    <w:name w:val="ConstantTok"/>
    <w:basedOn w:val="VerbatimChar"/>
    <w:qFormat/>
    <w:rPr>
      <w:rFonts w:ascii="Consolas" w:eastAsia="Times New Roman" w:hAnsi="Consolas" w:cs="Times New Roman"/>
      <w:i/>
      <w:iCs/>
      <w:color w:val="880000"/>
      <w:sz w:val="22"/>
      <w:lang w:val="en-GB" w:eastAsia="en-GB"/>
    </w:rPr>
  </w:style>
  <w:style w:type="character" w:customStyle="1" w:styleId="CharTok">
    <w:name w:val="CharTok"/>
    <w:basedOn w:val="VerbatimChar"/>
    <w:qFormat/>
    <w:rPr>
      <w:rFonts w:ascii="Consolas" w:eastAsia="Times New Roman" w:hAnsi="Consolas" w:cs="Times New Roman"/>
      <w:i/>
      <w:iCs/>
      <w:color w:val="4070A0"/>
      <w:sz w:val="22"/>
      <w:lang w:val="en-GB" w:eastAsia="en-GB"/>
    </w:rPr>
  </w:style>
  <w:style w:type="character" w:customStyle="1" w:styleId="SpecialCharTok">
    <w:name w:val="SpecialCharTok"/>
    <w:basedOn w:val="VerbatimChar"/>
    <w:qFormat/>
    <w:rPr>
      <w:rFonts w:ascii="Consolas" w:eastAsia="Times New Roman" w:hAnsi="Consolas" w:cs="Times New Roman"/>
      <w:i/>
      <w:iCs/>
      <w:color w:val="4070A0"/>
      <w:sz w:val="22"/>
      <w:lang w:val="en-GB" w:eastAsia="en-GB"/>
    </w:rPr>
  </w:style>
  <w:style w:type="character" w:customStyle="1" w:styleId="StringTok">
    <w:name w:val="StringTok"/>
    <w:basedOn w:val="VerbatimChar"/>
    <w:qFormat/>
    <w:rPr>
      <w:rFonts w:ascii="Consolas" w:eastAsia="Times New Roman" w:hAnsi="Consolas" w:cs="Times New Roman"/>
      <w:i/>
      <w:iCs/>
      <w:color w:val="4070A0"/>
      <w:sz w:val="22"/>
      <w:lang w:val="en-GB" w:eastAsia="en-GB"/>
    </w:rPr>
  </w:style>
  <w:style w:type="character" w:customStyle="1" w:styleId="VerbatimStringTok">
    <w:name w:val="VerbatimStringTok"/>
    <w:basedOn w:val="VerbatimChar"/>
    <w:qFormat/>
    <w:rPr>
      <w:rFonts w:ascii="Consolas" w:eastAsia="Times New Roman" w:hAnsi="Consolas" w:cs="Times New Roman"/>
      <w:i/>
      <w:iCs/>
      <w:color w:val="4070A0"/>
      <w:sz w:val="22"/>
      <w:lang w:val="en-GB" w:eastAsia="en-GB"/>
    </w:rPr>
  </w:style>
  <w:style w:type="character" w:customStyle="1" w:styleId="SpecialStringTok">
    <w:name w:val="SpecialStringTok"/>
    <w:basedOn w:val="VerbatimChar"/>
    <w:qFormat/>
    <w:rPr>
      <w:rFonts w:ascii="Consolas" w:eastAsia="Times New Roman" w:hAnsi="Consolas" w:cs="Times New Roman"/>
      <w:i/>
      <w:iCs/>
      <w:color w:val="BB6688"/>
      <w:sz w:val="22"/>
      <w:lang w:val="en-GB" w:eastAsia="en-GB"/>
    </w:rPr>
  </w:style>
  <w:style w:type="character" w:customStyle="1" w:styleId="ImportTok">
    <w:name w:val="ImportTok"/>
    <w:basedOn w:val="VerbatimChar"/>
    <w:qFormat/>
    <w:rPr>
      <w:rFonts w:ascii="Consolas" w:eastAsia="Times New Roman" w:hAnsi="Consolas" w:cs="Times New Roman"/>
      <w:i/>
      <w:iCs/>
      <w:sz w:val="22"/>
      <w:lang w:val="en-GB" w:eastAsia="en-GB"/>
    </w:rPr>
  </w:style>
  <w:style w:type="character" w:customStyle="1" w:styleId="CommentTok">
    <w:name w:val="CommentTok"/>
    <w:basedOn w:val="VerbatimChar"/>
    <w:qFormat/>
    <w:rPr>
      <w:rFonts w:ascii="Consolas" w:eastAsia="Times New Roman" w:hAnsi="Consolas" w:cs="Times New Roman"/>
      <w:i w:val="0"/>
      <w:iCs/>
      <w:color w:val="60A0B0"/>
      <w:sz w:val="22"/>
      <w:lang w:val="en-GB" w:eastAsia="en-GB"/>
    </w:rPr>
  </w:style>
  <w:style w:type="character" w:customStyle="1" w:styleId="DocumentationTok">
    <w:name w:val="DocumentationTok"/>
    <w:basedOn w:val="VerbatimChar"/>
    <w:qFormat/>
    <w:rPr>
      <w:rFonts w:ascii="Consolas" w:eastAsia="Times New Roman" w:hAnsi="Consolas" w:cs="Times New Roman"/>
      <w:i w:val="0"/>
      <w:iCs/>
      <w:color w:val="BA2121"/>
      <w:sz w:val="22"/>
      <w:lang w:val="en-GB" w:eastAsia="en-GB"/>
    </w:rPr>
  </w:style>
  <w:style w:type="character" w:customStyle="1" w:styleId="AnnotationTok">
    <w:name w:val="AnnotationTok"/>
    <w:basedOn w:val="VerbatimChar"/>
    <w:qFormat/>
    <w:rPr>
      <w:rFonts w:ascii="Consolas" w:eastAsia="Times New Roman" w:hAnsi="Consolas" w:cs="Times New Roman"/>
      <w:b/>
      <w:i w:val="0"/>
      <w:iCs/>
      <w:color w:val="60A0B0"/>
      <w:sz w:val="22"/>
      <w:lang w:val="en-GB" w:eastAsia="en-GB"/>
    </w:rPr>
  </w:style>
  <w:style w:type="character" w:customStyle="1" w:styleId="CommentVarTok">
    <w:name w:val="CommentVarTok"/>
    <w:basedOn w:val="VerbatimChar"/>
    <w:qFormat/>
    <w:rPr>
      <w:rFonts w:ascii="Consolas" w:eastAsia="Times New Roman" w:hAnsi="Consolas" w:cs="Times New Roman"/>
      <w:b/>
      <w:i w:val="0"/>
      <w:iCs/>
      <w:color w:val="60A0B0"/>
      <w:sz w:val="22"/>
      <w:lang w:val="en-GB" w:eastAsia="en-GB"/>
    </w:rPr>
  </w:style>
  <w:style w:type="character" w:customStyle="1" w:styleId="OtherTok">
    <w:name w:val="OtherTok"/>
    <w:basedOn w:val="VerbatimChar"/>
    <w:qFormat/>
    <w:rPr>
      <w:rFonts w:ascii="Consolas" w:eastAsia="Times New Roman" w:hAnsi="Consolas" w:cs="Times New Roman"/>
      <w:i/>
      <w:iCs/>
      <w:color w:val="007020"/>
      <w:sz w:val="22"/>
      <w:lang w:val="en-GB" w:eastAsia="en-GB"/>
    </w:rPr>
  </w:style>
  <w:style w:type="character" w:customStyle="1" w:styleId="FunctionTok">
    <w:name w:val="FunctionTok"/>
    <w:basedOn w:val="VerbatimChar"/>
    <w:qFormat/>
    <w:rPr>
      <w:rFonts w:ascii="Consolas" w:eastAsia="Times New Roman" w:hAnsi="Consolas" w:cs="Times New Roman"/>
      <w:i/>
      <w:iCs/>
      <w:color w:val="06287E"/>
      <w:sz w:val="22"/>
      <w:lang w:val="en-GB" w:eastAsia="en-GB"/>
    </w:rPr>
  </w:style>
  <w:style w:type="character" w:customStyle="1" w:styleId="VariableTok">
    <w:name w:val="VariableTok"/>
    <w:basedOn w:val="VerbatimChar"/>
    <w:qFormat/>
    <w:rPr>
      <w:rFonts w:ascii="Consolas" w:eastAsia="Times New Roman" w:hAnsi="Consolas" w:cs="Times New Roman"/>
      <w:i/>
      <w:iCs/>
      <w:color w:val="19177C"/>
      <w:sz w:val="22"/>
      <w:lang w:val="en-GB" w:eastAsia="en-GB"/>
    </w:rPr>
  </w:style>
  <w:style w:type="character" w:customStyle="1" w:styleId="ControlFlowTok">
    <w:name w:val="ControlFlowTok"/>
    <w:basedOn w:val="VerbatimChar"/>
    <w:qFormat/>
    <w:rPr>
      <w:rFonts w:ascii="Consolas" w:eastAsia="Times New Roman" w:hAnsi="Consolas" w:cs="Times New Roman"/>
      <w:b/>
      <w:i/>
      <w:iCs/>
      <w:color w:val="007020"/>
      <w:sz w:val="22"/>
      <w:lang w:val="en-GB" w:eastAsia="en-GB"/>
    </w:rPr>
  </w:style>
  <w:style w:type="character" w:customStyle="1" w:styleId="OperatorTok">
    <w:name w:val="OperatorTok"/>
    <w:basedOn w:val="VerbatimChar"/>
    <w:qFormat/>
    <w:rPr>
      <w:rFonts w:ascii="Consolas" w:eastAsia="Times New Roman" w:hAnsi="Consolas" w:cs="Times New Roman"/>
      <w:i/>
      <w:iCs/>
      <w:color w:val="666666"/>
      <w:sz w:val="22"/>
      <w:lang w:val="en-GB" w:eastAsia="en-GB"/>
    </w:rPr>
  </w:style>
  <w:style w:type="character" w:customStyle="1" w:styleId="BuiltInTok">
    <w:name w:val="BuiltInTok"/>
    <w:basedOn w:val="VerbatimChar"/>
    <w:qFormat/>
    <w:rPr>
      <w:rFonts w:ascii="Consolas" w:eastAsia="Times New Roman" w:hAnsi="Consolas" w:cs="Times New Roman"/>
      <w:i/>
      <w:iCs/>
      <w:sz w:val="22"/>
      <w:lang w:val="en-GB" w:eastAsia="en-GB"/>
    </w:rPr>
  </w:style>
  <w:style w:type="character" w:customStyle="1" w:styleId="ExtensionTok">
    <w:name w:val="ExtensionTok"/>
    <w:basedOn w:val="VerbatimChar"/>
    <w:qFormat/>
    <w:rPr>
      <w:rFonts w:ascii="Consolas" w:eastAsia="Times New Roman" w:hAnsi="Consolas" w:cs="Times New Roman"/>
      <w:i/>
      <w:iCs/>
      <w:sz w:val="22"/>
      <w:lang w:val="en-GB" w:eastAsia="en-GB"/>
    </w:rPr>
  </w:style>
  <w:style w:type="character" w:customStyle="1" w:styleId="PreprocessorTok">
    <w:name w:val="PreprocessorTok"/>
    <w:basedOn w:val="VerbatimChar"/>
    <w:qFormat/>
    <w:rPr>
      <w:rFonts w:ascii="Consolas" w:eastAsia="Times New Roman" w:hAnsi="Consolas" w:cs="Times New Roman"/>
      <w:i/>
      <w:iCs/>
      <w:color w:val="BC7A00"/>
      <w:sz w:val="22"/>
      <w:lang w:val="en-GB" w:eastAsia="en-GB"/>
    </w:rPr>
  </w:style>
  <w:style w:type="character" w:customStyle="1" w:styleId="AttributeTok">
    <w:name w:val="AttributeTok"/>
    <w:basedOn w:val="VerbatimChar"/>
    <w:qFormat/>
    <w:rPr>
      <w:rFonts w:ascii="Consolas" w:eastAsia="Times New Roman" w:hAnsi="Consolas" w:cs="Times New Roman"/>
      <w:i/>
      <w:iCs/>
      <w:color w:val="7D9029"/>
      <w:sz w:val="22"/>
      <w:lang w:val="en-GB" w:eastAsia="en-GB"/>
    </w:rPr>
  </w:style>
  <w:style w:type="character" w:customStyle="1" w:styleId="RegionMarkerTok">
    <w:name w:val="RegionMarkerTok"/>
    <w:basedOn w:val="VerbatimChar"/>
    <w:qFormat/>
    <w:rPr>
      <w:rFonts w:ascii="Consolas" w:eastAsia="Times New Roman" w:hAnsi="Consolas" w:cs="Times New Roman"/>
      <w:i/>
      <w:iCs/>
      <w:sz w:val="22"/>
      <w:lang w:val="en-GB" w:eastAsia="en-GB"/>
    </w:rPr>
  </w:style>
  <w:style w:type="character" w:customStyle="1" w:styleId="InformationTok">
    <w:name w:val="InformationTok"/>
    <w:basedOn w:val="VerbatimChar"/>
    <w:qFormat/>
    <w:rPr>
      <w:rFonts w:ascii="Consolas" w:eastAsia="Times New Roman" w:hAnsi="Consolas" w:cs="Times New Roman"/>
      <w:b/>
      <w:i w:val="0"/>
      <w:iCs/>
      <w:color w:val="60A0B0"/>
      <w:sz w:val="22"/>
      <w:lang w:val="en-GB" w:eastAsia="en-GB"/>
    </w:rPr>
  </w:style>
  <w:style w:type="character" w:customStyle="1" w:styleId="WarningTok">
    <w:name w:val="WarningTok"/>
    <w:basedOn w:val="VerbatimChar"/>
    <w:qFormat/>
    <w:rPr>
      <w:rFonts w:ascii="Consolas" w:eastAsia="Times New Roman" w:hAnsi="Consolas" w:cs="Times New Roman"/>
      <w:b/>
      <w:i w:val="0"/>
      <w:iCs/>
      <w:color w:val="60A0B0"/>
      <w:sz w:val="22"/>
      <w:lang w:val="en-GB" w:eastAsia="en-GB"/>
    </w:rPr>
  </w:style>
  <w:style w:type="character" w:customStyle="1" w:styleId="AlertTok">
    <w:name w:val="AlertTok"/>
    <w:basedOn w:val="VerbatimChar"/>
    <w:qFormat/>
    <w:rPr>
      <w:rFonts w:ascii="Consolas" w:eastAsia="Times New Roman" w:hAnsi="Consolas" w:cs="Times New Roman"/>
      <w:b/>
      <w:i/>
      <w:iCs/>
      <w:color w:val="FF0000"/>
      <w:sz w:val="22"/>
      <w:lang w:val="en-GB" w:eastAsia="en-GB"/>
    </w:rPr>
  </w:style>
  <w:style w:type="character" w:customStyle="1" w:styleId="ErrorTok">
    <w:name w:val="ErrorTok"/>
    <w:basedOn w:val="VerbatimChar"/>
    <w:qFormat/>
    <w:rPr>
      <w:rFonts w:ascii="Consolas" w:eastAsia="Times New Roman" w:hAnsi="Consolas" w:cs="Times New Roman"/>
      <w:b/>
      <w:i/>
      <w:iCs/>
      <w:color w:val="FF0000"/>
      <w:sz w:val="22"/>
      <w:lang w:val="en-GB" w:eastAsia="en-GB"/>
    </w:rPr>
  </w:style>
  <w:style w:type="character" w:customStyle="1" w:styleId="NormalTok">
    <w:name w:val="NormalTok"/>
    <w:basedOn w:val="VerbatimChar"/>
    <w:qFormat/>
    <w:rPr>
      <w:rFonts w:ascii="Consolas" w:eastAsia="Times New Roman" w:hAnsi="Consolas" w:cs="Times New Roman"/>
      <w:i/>
      <w:iCs/>
      <w:sz w:val="22"/>
      <w:lang w:val="en-GB" w:eastAsia="en-GB"/>
    </w:rPr>
  </w:style>
  <w:style w:type="character" w:customStyle="1" w:styleId="BodyTextChar">
    <w:name w:val="Body Text Char"/>
    <w:basedOn w:val="DefaultParagraphFont"/>
    <w:qFormat/>
    <w:rsid w:val="00D951E1"/>
  </w:style>
  <w:style w:type="character" w:styleId="EndnoteReference">
    <w:name w:val="endnote reference"/>
    <w:basedOn w:val="DefaultParagraphFont"/>
    <w:qFormat/>
    <w:rsid w:val="00D951E1"/>
    <w:rPr>
      <w:vertAlign w:val="superscript"/>
    </w:rPr>
  </w:style>
  <w:style w:type="character" w:customStyle="1" w:styleId="EndnoteTextChar">
    <w:name w:val="Endnote Text Char"/>
    <w:basedOn w:val="DefaultParagraphFont"/>
    <w:link w:val="EndnoteText"/>
    <w:qFormat/>
    <w:rsid w:val="00D951E1"/>
    <w:rPr>
      <w:rFonts w:ascii="Times New Roman" w:eastAsia="Times New Roman" w:hAnsi="Times New Roman" w:cs="Times New Roman"/>
      <w:sz w:val="22"/>
      <w:szCs w:val="20"/>
      <w:lang w:val="en-GB" w:eastAsia="en-GB"/>
    </w:rPr>
  </w:style>
  <w:style w:type="character" w:customStyle="1" w:styleId="FooterChar">
    <w:name w:val="Footer Char"/>
    <w:basedOn w:val="DefaultParagraphFont"/>
    <w:link w:val="Footer"/>
    <w:uiPriority w:val="99"/>
    <w:qFormat/>
    <w:rsid w:val="00D951E1"/>
    <w:rPr>
      <w:rFonts w:ascii="Times New Roman" w:eastAsia="Times New Roman" w:hAnsi="Times New Roman" w:cs="Times New Roman"/>
      <w:lang w:val="en-GB" w:eastAsia="en-GB"/>
    </w:rPr>
  </w:style>
  <w:style w:type="character" w:customStyle="1" w:styleId="FootnoteTextChar">
    <w:name w:val="Footnote Text Char"/>
    <w:basedOn w:val="DefaultParagraphFont"/>
    <w:link w:val="FootnoteText"/>
    <w:qFormat/>
    <w:rsid w:val="00D951E1"/>
    <w:rPr>
      <w:rFonts w:ascii="Times New Roman" w:eastAsia="Times New Roman" w:hAnsi="Times New Roman" w:cs="Times New Roman"/>
      <w:sz w:val="22"/>
      <w:szCs w:val="20"/>
      <w:lang w:val="en-GB" w:eastAsia="en-GB"/>
    </w:rPr>
  </w:style>
  <w:style w:type="character" w:customStyle="1" w:styleId="HeaderChar">
    <w:name w:val="Header Char"/>
    <w:basedOn w:val="DefaultParagraphFont"/>
    <w:link w:val="Header"/>
    <w:qFormat/>
    <w:rsid w:val="00D951E1"/>
    <w:rPr>
      <w:rFonts w:ascii="Times New Roman" w:eastAsia="Times New Roman" w:hAnsi="Times New Roman" w:cs="Times New Roman"/>
      <w:lang w:val="en-GB" w:eastAsia="en-GB"/>
    </w:rPr>
  </w:style>
  <w:style w:type="character" w:customStyle="1" w:styleId="Heading1Char">
    <w:name w:val="Heading 1 Char"/>
    <w:basedOn w:val="DefaultParagraphFont"/>
    <w:link w:val="Heading1"/>
    <w:qFormat/>
    <w:rsid w:val="00D951E1"/>
    <w:rPr>
      <w:rFonts w:ascii="Times New Roman" w:eastAsia="Times New Roman" w:hAnsi="Times New Roman" w:cs="Arial"/>
      <w:b/>
      <w:bCs/>
      <w:szCs w:val="32"/>
      <w:lang w:val="en-GB" w:eastAsia="en-GB"/>
    </w:rPr>
  </w:style>
  <w:style w:type="character" w:customStyle="1" w:styleId="Heading2Char">
    <w:name w:val="Heading 2 Char"/>
    <w:basedOn w:val="DefaultParagraphFont"/>
    <w:link w:val="Heading2"/>
    <w:qFormat/>
    <w:rsid w:val="00485B27"/>
    <w:rPr>
      <w:rFonts w:ascii="Times New Roman" w:eastAsia="Times New Roman" w:hAnsi="Times New Roman" w:cs="Arial"/>
      <w:color w:val="00000A"/>
      <w:sz w:val="24"/>
      <w:szCs w:val="28"/>
      <w:u w:val="single"/>
      <w:lang w:val="en-GB" w:eastAsia="en-GB"/>
    </w:rPr>
  </w:style>
  <w:style w:type="character" w:customStyle="1" w:styleId="Heading3Char">
    <w:name w:val="Heading 3 Char"/>
    <w:basedOn w:val="DefaultParagraphFont"/>
    <w:link w:val="Heading3"/>
    <w:qFormat/>
    <w:rsid w:val="00D951E1"/>
    <w:rPr>
      <w:rFonts w:ascii="Times New Roman" w:eastAsia="Times New Roman" w:hAnsi="Times New Roman" w:cs="Arial"/>
      <w:bCs/>
      <w:i/>
      <w:szCs w:val="26"/>
      <w:lang w:val="en-GB" w:eastAsia="en-GB"/>
    </w:rPr>
  </w:style>
  <w:style w:type="character" w:customStyle="1" w:styleId="Heading4Char">
    <w:name w:val="Heading 4 Char"/>
    <w:basedOn w:val="DefaultParagraphFont"/>
    <w:link w:val="Heading4"/>
    <w:qFormat/>
    <w:rsid w:val="00D951E1"/>
    <w:rPr>
      <w:rFonts w:ascii="Times New Roman" w:eastAsia="Times New Roman" w:hAnsi="Times New Roman" w:cs="Times New Roman"/>
      <w:bCs/>
      <w:szCs w:val="28"/>
      <w:lang w:val="en-GB" w:eastAsia="en-GB"/>
    </w:rPr>
  </w:style>
  <w:style w:type="character" w:customStyle="1" w:styleId="ListLabel1">
    <w:name w:val="ListLabel 1"/>
    <w:qFormat/>
    <w:rsid w:val="00D951E1"/>
    <w:rPr>
      <w:rFonts w:cs="Arial"/>
    </w:rPr>
  </w:style>
  <w:style w:type="character" w:customStyle="1" w:styleId="BalloonTextChar">
    <w:name w:val="Balloon Text Char"/>
    <w:basedOn w:val="DefaultParagraphFont"/>
    <w:link w:val="BalloonText"/>
    <w:semiHidden/>
    <w:qFormat/>
    <w:rsid w:val="00A71C48"/>
    <w:rPr>
      <w:rFonts w:ascii="Times New Roman" w:eastAsia="Times New Roman" w:hAnsi="Times New Roman" w:cs="Times New Roman"/>
      <w:color w:val="00000A"/>
      <w:sz w:val="18"/>
      <w:szCs w:val="18"/>
      <w:lang w:val="en-GB" w:eastAsia="en-GB"/>
    </w:rPr>
  </w:style>
  <w:style w:type="character" w:styleId="CommentReference">
    <w:name w:val="annotation reference"/>
    <w:basedOn w:val="DefaultParagraphFont"/>
    <w:semiHidden/>
    <w:unhideWhenUsed/>
    <w:qFormat/>
    <w:rsid w:val="00251D24"/>
    <w:rPr>
      <w:sz w:val="18"/>
      <w:szCs w:val="18"/>
    </w:rPr>
  </w:style>
  <w:style w:type="character" w:customStyle="1" w:styleId="CommentTextChar">
    <w:name w:val="Comment Text Char"/>
    <w:basedOn w:val="DefaultParagraphFont"/>
    <w:link w:val="CommentText"/>
    <w:semiHidden/>
    <w:qFormat/>
    <w:rsid w:val="00251D24"/>
    <w:rPr>
      <w:rFonts w:ascii="Times New Roman" w:eastAsia="Times New Roman" w:hAnsi="Times New Roman" w:cs="Times New Roman"/>
      <w:color w:val="00000A"/>
      <w:sz w:val="24"/>
      <w:lang w:val="en-GB" w:eastAsia="en-GB"/>
    </w:rPr>
  </w:style>
  <w:style w:type="character" w:customStyle="1" w:styleId="CommentSubjectChar">
    <w:name w:val="Comment Subject Char"/>
    <w:basedOn w:val="CommentTextChar"/>
    <w:link w:val="CommentSubject"/>
    <w:semiHidden/>
    <w:qFormat/>
    <w:rsid w:val="00251D24"/>
    <w:rPr>
      <w:rFonts w:ascii="Times New Roman" w:eastAsia="Times New Roman" w:hAnsi="Times New Roman" w:cs="Times New Roman"/>
      <w:b/>
      <w:bCs/>
      <w:color w:val="00000A"/>
      <w:sz w:val="24"/>
      <w:szCs w:val="20"/>
      <w:lang w:val="en-GB" w:eastAsia="en-GB"/>
    </w:rPr>
  </w:style>
  <w:style w:type="character" w:customStyle="1" w:styleId="ListLabel2">
    <w:name w:val="ListLabel 2"/>
    <w:qFormat/>
    <w:rPr>
      <w:rFonts w:cs="Courier New"/>
    </w:rPr>
  </w:style>
  <w:style w:type="paragraph" w:customStyle="1" w:styleId="Heading">
    <w:name w:val="Heading"/>
    <w:basedOn w:val="Normal"/>
    <w:next w:val="Normal"/>
    <w:qFormat/>
    <w:rsid w:val="00D951E1"/>
    <w:pPr>
      <w:keepNext/>
      <w:spacing w:before="240" w:after="120"/>
    </w:pPr>
    <w:rPr>
      <w:rFonts w:ascii="Liberation Sans" w:eastAsia="Arial Unicode MS" w:hAnsi="Liberation Sans" w:cs="Arial Unicode MS"/>
      <w:sz w:val="28"/>
      <w:szCs w:val="28"/>
    </w:rPr>
  </w:style>
  <w:style w:type="paragraph" w:customStyle="1" w:styleId="TextBody">
    <w:name w:val="Text Body"/>
    <w:basedOn w:val="Normal"/>
    <w:rsid w:val="00D951E1"/>
    <w:pPr>
      <w:spacing w:after="140" w:line="288" w:lineRule="auto"/>
    </w:pPr>
  </w:style>
  <w:style w:type="paragraph" w:styleId="List">
    <w:name w:val="List"/>
    <w:basedOn w:val="TextBody"/>
    <w:rsid w:val="00D951E1"/>
  </w:style>
  <w:style w:type="paragraph" w:styleId="Caption">
    <w:name w:val="caption"/>
    <w:basedOn w:val="Normal"/>
    <w:link w:val="CaptionChar"/>
    <w:qFormat/>
    <w:rsid w:val="00D951E1"/>
    <w:pPr>
      <w:suppressLineNumbers/>
      <w:spacing w:before="120" w:after="120"/>
    </w:pPr>
    <w:rPr>
      <w:i/>
      <w:iCs/>
    </w:rPr>
  </w:style>
  <w:style w:type="paragraph" w:customStyle="1" w:styleId="Index">
    <w:name w:val="Index"/>
    <w:basedOn w:val="Normal"/>
    <w:qFormat/>
    <w:rsid w:val="00D951E1"/>
    <w:pPr>
      <w:suppressLineNumbers/>
    </w:pPr>
  </w:style>
  <w:style w:type="paragraph" w:customStyle="1" w:styleId="FirstParagraph">
    <w:name w:val="First Paragraph"/>
    <w:basedOn w:val="TextBody"/>
    <w:qFormat/>
  </w:style>
  <w:style w:type="paragraph" w:customStyle="1" w:styleId="Compact">
    <w:name w:val="Compact"/>
    <w:basedOn w:val="TextBody"/>
    <w:qFormat/>
    <w:pPr>
      <w:spacing w:before="36" w:after="36"/>
    </w:pPr>
  </w:style>
  <w:style w:type="paragraph" w:styleId="Title">
    <w:name w:val="Title"/>
    <w:basedOn w:val="Normal"/>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qFormat/>
    <w:pPr>
      <w:spacing w:before="240"/>
    </w:pPr>
    <w:rPr>
      <w:sz w:val="30"/>
      <w:szCs w:val="30"/>
    </w:rPr>
  </w:style>
  <w:style w:type="paragraph" w:customStyle="1" w:styleId="Author">
    <w:name w:val="Author"/>
    <w:qFormat/>
    <w:pPr>
      <w:keepNext/>
      <w:keepLines/>
      <w:spacing w:after="200"/>
      <w:jc w:val="center"/>
    </w:pPr>
    <w:rPr>
      <w:rFonts w:ascii="Cambria" w:eastAsia="Cambria" w:hAnsi="Cambria"/>
      <w:color w:val="00000A"/>
      <w:sz w:val="24"/>
    </w:rPr>
  </w:style>
  <w:style w:type="paragraph" w:styleId="Date">
    <w:name w:val="Date"/>
    <w:qFormat/>
    <w:pPr>
      <w:keepNext/>
      <w:keepLines/>
      <w:spacing w:after="200"/>
      <w:jc w:val="center"/>
    </w:pPr>
    <w:rPr>
      <w:rFonts w:ascii="Cambria" w:eastAsia="Cambria" w:hAnsi="Cambria"/>
      <w:color w:val="00000A"/>
      <w:sz w:val="24"/>
    </w:rPr>
  </w:style>
  <w:style w:type="paragraph" w:customStyle="1" w:styleId="Abstract">
    <w:name w:val="Abstract"/>
    <w:basedOn w:val="Normal"/>
    <w:qFormat/>
    <w:rsid w:val="00D951E1"/>
    <w:pPr>
      <w:spacing w:before="360" w:after="300" w:line="360" w:lineRule="auto"/>
      <w:ind w:left="720" w:right="567"/>
    </w:pPr>
    <w:rPr>
      <w:sz w:val="22"/>
    </w:rPr>
  </w:style>
  <w:style w:type="paragraph" w:styleId="Bibliography">
    <w:name w:val="Bibliography"/>
    <w:basedOn w:val="Normal"/>
    <w:qFormat/>
  </w:style>
  <w:style w:type="paragraph" w:styleId="BlockText">
    <w:name w:val="Block Text"/>
    <w:basedOn w:val="TextBody"/>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link w:val="FootnoteTextChar"/>
    <w:autoRedefine/>
    <w:qFormat/>
    <w:rsid w:val="00D951E1"/>
    <w:pPr>
      <w:ind w:left="284" w:hanging="284"/>
    </w:pPr>
    <w:rPr>
      <w:sz w:val="22"/>
      <w:szCs w:val="20"/>
    </w:rPr>
  </w:style>
  <w:style w:type="paragraph" w:customStyle="1" w:styleId="DefinitionTerm">
    <w:name w:val="Definition Term"/>
    <w:basedOn w:val="Normal"/>
    <w:qFormat/>
    <w:pPr>
      <w:keepNext/>
      <w:keepLines/>
    </w:pPr>
    <w:rPr>
      <w:b/>
    </w:rPr>
  </w:style>
  <w:style w:type="paragraph" w:customStyle="1" w:styleId="Definition">
    <w:name w:val="Definition"/>
    <w:basedOn w:val="Normal"/>
    <w:qFormat/>
  </w:style>
  <w:style w:type="paragraph" w:customStyle="1" w:styleId="TableCaption">
    <w:name w:val="Table Caption"/>
    <w:basedOn w:val="Caption"/>
    <w:qFormat/>
    <w:pPr>
      <w:keepNext/>
    </w:pPr>
  </w:style>
  <w:style w:type="paragraph" w:customStyle="1" w:styleId="ImageCaption">
    <w:name w:val="Image Caption"/>
    <w:basedOn w:val="Caption"/>
    <w:qFormat/>
  </w:style>
  <w:style w:type="paragraph" w:customStyle="1" w:styleId="Figure">
    <w:name w:val="Figure"/>
    <w:basedOn w:val="Normal"/>
    <w:qFormat/>
  </w:style>
  <w:style w:type="paragraph" w:customStyle="1" w:styleId="FigurewithCaption">
    <w:name w:val="Figure with Caption"/>
    <w:basedOn w:val="Figure"/>
    <w:qFormat/>
    <w:pPr>
      <w:keepNext/>
    </w:pPr>
  </w:style>
  <w:style w:type="paragraph" w:styleId="TOCHeading">
    <w:name w:val="TOC Heading"/>
    <w:basedOn w:val="Heading1"/>
    <w:uiPriority w:val="39"/>
    <w:unhideWhenUsed/>
    <w:qFormat/>
    <w:pPr>
      <w:spacing w:before="240" w:line="259" w:lineRule="auto"/>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qFormat/>
  </w:style>
  <w:style w:type="paragraph" w:customStyle="1" w:styleId="Acknowledgements">
    <w:name w:val="Acknowledgements"/>
    <w:basedOn w:val="Normal"/>
    <w:next w:val="Normal"/>
    <w:qFormat/>
    <w:rsid w:val="00D951E1"/>
    <w:pPr>
      <w:spacing w:before="120" w:line="360" w:lineRule="auto"/>
    </w:pPr>
    <w:rPr>
      <w:sz w:val="22"/>
    </w:rPr>
  </w:style>
  <w:style w:type="paragraph" w:customStyle="1" w:styleId="Affiliation">
    <w:name w:val="Affiliation"/>
    <w:basedOn w:val="Normal"/>
    <w:qFormat/>
    <w:rsid w:val="00D951E1"/>
    <w:pPr>
      <w:spacing w:before="240" w:line="360" w:lineRule="auto"/>
    </w:pPr>
    <w:rPr>
      <w:i/>
    </w:rPr>
  </w:style>
  <w:style w:type="paragraph" w:customStyle="1" w:styleId="Articletitle">
    <w:name w:val="Article title"/>
    <w:basedOn w:val="Normal"/>
    <w:next w:val="Normal"/>
    <w:qFormat/>
    <w:rsid w:val="00D951E1"/>
    <w:pPr>
      <w:spacing w:after="120" w:line="360" w:lineRule="auto"/>
    </w:pPr>
    <w:rPr>
      <w:b/>
      <w:sz w:val="28"/>
    </w:rPr>
  </w:style>
  <w:style w:type="paragraph" w:customStyle="1" w:styleId="Authornames">
    <w:name w:val="Author names"/>
    <w:basedOn w:val="Normal"/>
    <w:next w:val="Normal"/>
    <w:qFormat/>
    <w:rsid w:val="00D951E1"/>
    <w:pPr>
      <w:spacing w:before="240" w:line="360" w:lineRule="auto"/>
    </w:pPr>
    <w:rPr>
      <w:sz w:val="28"/>
    </w:rPr>
  </w:style>
  <w:style w:type="paragraph" w:customStyle="1" w:styleId="Paragraph">
    <w:name w:val="Paragraph"/>
    <w:basedOn w:val="Normal"/>
    <w:qFormat/>
    <w:rsid w:val="00D951E1"/>
    <w:pPr>
      <w:widowControl w:val="0"/>
      <w:spacing w:before="240"/>
    </w:pPr>
  </w:style>
  <w:style w:type="paragraph" w:customStyle="1" w:styleId="Bulletedlist">
    <w:name w:val="Bulleted list"/>
    <w:basedOn w:val="Paragraph"/>
    <w:next w:val="Paragraph"/>
    <w:qFormat/>
    <w:rsid w:val="00D951E1"/>
    <w:pPr>
      <w:widowControl/>
      <w:spacing w:after="240"/>
      <w:contextualSpacing/>
    </w:pPr>
  </w:style>
  <w:style w:type="paragraph" w:customStyle="1" w:styleId="Correspondencedetails">
    <w:name w:val="Correspondence details"/>
    <w:basedOn w:val="Normal"/>
    <w:qFormat/>
    <w:rsid w:val="00D951E1"/>
    <w:pPr>
      <w:spacing w:before="240" w:line="360" w:lineRule="auto"/>
    </w:pPr>
  </w:style>
  <w:style w:type="paragraph" w:customStyle="1" w:styleId="Displayedequation">
    <w:name w:val="Displayed equation"/>
    <w:basedOn w:val="Normal"/>
    <w:qFormat/>
    <w:rsid w:val="00D951E1"/>
    <w:pPr>
      <w:tabs>
        <w:tab w:val="center" w:pos="4253"/>
        <w:tab w:val="right" w:pos="8222"/>
      </w:tabs>
      <w:spacing w:before="240" w:after="240"/>
      <w:jc w:val="center"/>
    </w:pPr>
  </w:style>
  <w:style w:type="paragraph" w:customStyle="1" w:styleId="Displayedquotation">
    <w:name w:val="Displayed quotation"/>
    <w:basedOn w:val="Normal"/>
    <w:qFormat/>
    <w:rsid w:val="00D951E1"/>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styleId="EndnoteText">
    <w:name w:val="endnote text"/>
    <w:basedOn w:val="Normal"/>
    <w:link w:val="EndnoteTextChar"/>
    <w:autoRedefine/>
    <w:qFormat/>
    <w:rsid w:val="00D951E1"/>
    <w:pPr>
      <w:ind w:left="284" w:hanging="284"/>
    </w:pPr>
    <w:rPr>
      <w:sz w:val="22"/>
      <w:szCs w:val="20"/>
    </w:rPr>
  </w:style>
  <w:style w:type="paragraph" w:customStyle="1" w:styleId="Figurecaption">
    <w:name w:val="Figure caption"/>
    <w:basedOn w:val="Normal"/>
    <w:next w:val="Normal"/>
    <w:qFormat/>
    <w:rsid w:val="00D951E1"/>
    <w:pPr>
      <w:spacing w:before="240" w:line="360" w:lineRule="auto"/>
    </w:pPr>
  </w:style>
  <w:style w:type="paragraph" w:styleId="Footer">
    <w:name w:val="footer"/>
    <w:basedOn w:val="Normal"/>
    <w:link w:val="FooterChar"/>
    <w:uiPriority w:val="99"/>
    <w:rsid w:val="00D951E1"/>
    <w:pPr>
      <w:tabs>
        <w:tab w:val="center" w:pos="4320"/>
        <w:tab w:val="right" w:pos="8640"/>
      </w:tabs>
      <w:spacing w:before="240" w:line="240" w:lineRule="auto"/>
      <w:contextualSpacing/>
    </w:pPr>
  </w:style>
  <w:style w:type="paragraph" w:customStyle="1" w:styleId="Footnotes">
    <w:name w:val="Footnotes"/>
    <w:basedOn w:val="Normal"/>
    <w:qFormat/>
    <w:rsid w:val="00D951E1"/>
    <w:pPr>
      <w:spacing w:before="120" w:line="360" w:lineRule="auto"/>
      <w:ind w:left="482" w:hanging="482"/>
      <w:contextualSpacing/>
    </w:pPr>
    <w:rPr>
      <w:sz w:val="22"/>
    </w:rPr>
  </w:style>
  <w:style w:type="paragraph" w:styleId="Header">
    <w:name w:val="header"/>
    <w:basedOn w:val="Normal"/>
    <w:link w:val="HeaderChar"/>
    <w:rsid w:val="00D951E1"/>
    <w:pPr>
      <w:tabs>
        <w:tab w:val="center" w:pos="4320"/>
        <w:tab w:val="right" w:pos="8640"/>
      </w:tabs>
      <w:spacing w:after="120" w:line="240" w:lineRule="auto"/>
      <w:contextualSpacing/>
    </w:pPr>
  </w:style>
  <w:style w:type="paragraph" w:customStyle="1" w:styleId="Heading4Paragraph">
    <w:name w:val="Heading 4 + Paragraph"/>
    <w:basedOn w:val="Paragraph"/>
    <w:qFormat/>
    <w:rsid w:val="00D951E1"/>
    <w:pPr>
      <w:widowControl/>
      <w:spacing w:before="360"/>
    </w:pPr>
  </w:style>
  <w:style w:type="paragraph" w:customStyle="1" w:styleId="Keywords">
    <w:name w:val="Keywords"/>
    <w:basedOn w:val="Normal"/>
    <w:qFormat/>
    <w:rsid w:val="00D951E1"/>
    <w:pPr>
      <w:spacing w:before="240" w:after="240" w:line="360" w:lineRule="auto"/>
      <w:ind w:left="720" w:right="567"/>
    </w:pPr>
    <w:rPr>
      <w:sz w:val="22"/>
    </w:rPr>
  </w:style>
  <w:style w:type="paragraph" w:customStyle="1" w:styleId="Newparagraph">
    <w:name w:val="New paragraph"/>
    <w:basedOn w:val="Normal"/>
    <w:qFormat/>
    <w:rsid w:val="00D951E1"/>
    <w:pPr>
      <w:ind w:firstLine="720"/>
    </w:pPr>
  </w:style>
  <w:style w:type="paragraph" w:styleId="NormalIndent">
    <w:name w:val="Normal Indent"/>
    <w:basedOn w:val="Normal"/>
    <w:qFormat/>
    <w:rsid w:val="00D951E1"/>
    <w:pPr>
      <w:ind w:left="720"/>
    </w:pPr>
  </w:style>
  <w:style w:type="paragraph" w:customStyle="1" w:styleId="Normalparagraphstyle">
    <w:name w:val="Normal paragraph style"/>
    <w:basedOn w:val="Normal"/>
    <w:next w:val="Normal"/>
    <w:qFormat/>
    <w:rsid w:val="00D951E1"/>
  </w:style>
  <w:style w:type="paragraph" w:customStyle="1" w:styleId="Notesoncontributors">
    <w:name w:val="Notes on contributors"/>
    <w:basedOn w:val="Normal"/>
    <w:qFormat/>
    <w:rsid w:val="00D951E1"/>
    <w:pPr>
      <w:spacing w:before="240" w:line="360" w:lineRule="auto"/>
    </w:pPr>
    <w:rPr>
      <w:sz w:val="22"/>
    </w:rPr>
  </w:style>
  <w:style w:type="paragraph" w:customStyle="1" w:styleId="Numberedlist">
    <w:name w:val="Numbered list"/>
    <w:qFormat/>
    <w:rsid w:val="00D951E1"/>
    <w:pPr>
      <w:spacing w:after="240"/>
      <w:contextualSpacing/>
    </w:pPr>
    <w:rPr>
      <w:rFonts w:ascii="Times New Roman" w:eastAsia="Times New Roman" w:hAnsi="Times New Roman" w:cs="Times New Roman"/>
      <w:color w:val="00000A"/>
      <w:sz w:val="24"/>
      <w:szCs w:val="20"/>
      <w:lang w:val="en-GB" w:eastAsia="en-GB"/>
    </w:rPr>
  </w:style>
  <w:style w:type="paragraph" w:customStyle="1" w:styleId="Receiveddates">
    <w:name w:val="Received dates"/>
    <w:basedOn w:val="Affiliation"/>
    <w:next w:val="Normal"/>
    <w:qFormat/>
    <w:rsid w:val="00D951E1"/>
  </w:style>
  <w:style w:type="paragraph" w:customStyle="1" w:styleId="References">
    <w:name w:val="References"/>
    <w:basedOn w:val="Normal"/>
    <w:qFormat/>
    <w:rsid w:val="00D951E1"/>
    <w:pPr>
      <w:spacing w:before="120" w:line="360" w:lineRule="auto"/>
      <w:ind w:left="720" w:hanging="720"/>
      <w:contextualSpacing/>
    </w:pPr>
  </w:style>
  <w:style w:type="paragraph" w:customStyle="1" w:styleId="Subjectcodes">
    <w:name w:val="Subject codes"/>
    <w:basedOn w:val="Keywords"/>
    <w:next w:val="Paragraph"/>
    <w:qFormat/>
    <w:rsid w:val="00D951E1"/>
  </w:style>
  <w:style w:type="paragraph" w:customStyle="1" w:styleId="Tabletitle">
    <w:name w:val="Table title"/>
    <w:basedOn w:val="Normal"/>
    <w:next w:val="Normal"/>
    <w:qFormat/>
    <w:rsid w:val="00D951E1"/>
    <w:pPr>
      <w:spacing w:before="240" w:line="360" w:lineRule="auto"/>
    </w:pPr>
  </w:style>
  <w:style w:type="paragraph" w:styleId="BalloonText">
    <w:name w:val="Balloon Text"/>
    <w:basedOn w:val="Normal"/>
    <w:link w:val="BalloonTextChar"/>
    <w:semiHidden/>
    <w:unhideWhenUsed/>
    <w:qFormat/>
    <w:rsid w:val="00A71C48"/>
    <w:pPr>
      <w:spacing w:line="240" w:lineRule="auto"/>
    </w:pPr>
    <w:rPr>
      <w:sz w:val="18"/>
      <w:szCs w:val="18"/>
    </w:rPr>
  </w:style>
  <w:style w:type="paragraph" w:styleId="CommentText">
    <w:name w:val="annotation text"/>
    <w:basedOn w:val="Normal"/>
    <w:link w:val="CommentTextChar"/>
    <w:semiHidden/>
    <w:unhideWhenUsed/>
    <w:qFormat/>
    <w:rsid w:val="00251D24"/>
    <w:pPr>
      <w:spacing w:line="240" w:lineRule="auto"/>
    </w:pPr>
  </w:style>
  <w:style w:type="paragraph" w:styleId="CommentSubject">
    <w:name w:val="annotation subject"/>
    <w:basedOn w:val="CommentText"/>
    <w:link w:val="CommentSubjectChar"/>
    <w:semiHidden/>
    <w:unhideWhenUsed/>
    <w:qFormat/>
    <w:rsid w:val="00251D24"/>
    <w:rPr>
      <w:b/>
      <w:bCs/>
      <w:sz w:val="20"/>
      <w:szCs w:val="20"/>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semiHidden/>
    <w:rsid w:val="00AD2AA0"/>
    <w:rPr>
      <w:rFonts w:ascii="Times New Roman" w:eastAsia="Times New Roman" w:hAnsi="Times New Roman" w:cs="Times New Roman"/>
      <w:color w:val="00000A"/>
      <w:sz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8458">
      <w:bodyDiv w:val="1"/>
      <w:marLeft w:val="0"/>
      <w:marRight w:val="0"/>
      <w:marTop w:val="0"/>
      <w:marBottom w:val="0"/>
      <w:divBdr>
        <w:top w:val="none" w:sz="0" w:space="0" w:color="auto"/>
        <w:left w:val="none" w:sz="0" w:space="0" w:color="auto"/>
        <w:bottom w:val="none" w:sz="0" w:space="0" w:color="auto"/>
        <w:right w:val="none" w:sz="0" w:space="0" w:color="auto"/>
      </w:divBdr>
    </w:div>
    <w:div w:id="50616931">
      <w:bodyDiv w:val="1"/>
      <w:marLeft w:val="0"/>
      <w:marRight w:val="0"/>
      <w:marTop w:val="0"/>
      <w:marBottom w:val="0"/>
      <w:divBdr>
        <w:top w:val="none" w:sz="0" w:space="0" w:color="auto"/>
        <w:left w:val="none" w:sz="0" w:space="0" w:color="auto"/>
        <w:bottom w:val="none" w:sz="0" w:space="0" w:color="auto"/>
        <w:right w:val="none" w:sz="0" w:space="0" w:color="auto"/>
      </w:divBdr>
    </w:div>
    <w:div w:id="689529720">
      <w:bodyDiv w:val="1"/>
      <w:marLeft w:val="0"/>
      <w:marRight w:val="0"/>
      <w:marTop w:val="0"/>
      <w:marBottom w:val="0"/>
      <w:divBdr>
        <w:top w:val="none" w:sz="0" w:space="0" w:color="auto"/>
        <w:left w:val="none" w:sz="0" w:space="0" w:color="auto"/>
        <w:bottom w:val="none" w:sz="0" w:space="0" w:color="auto"/>
        <w:right w:val="none" w:sz="0" w:space="0" w:color="auto"/>
      </w:divBdr>
    </w:div>
    <w:div w:id="911962199">
      <w:bodyDiv w:val="1"/>
      <w:marLeft w:val="0"/>
      <w:marRight w:val="0"/>
      <w:marTop w:val="0"/>
      <w:marBottom w:val="0"/>
      <w:divBdr>
        <w:top w:val="none" w:sz="0" w:space="0" w:color="auto"/>
        <w:left w:val="none" w:sz="0" w:space="0" w:color="auto"/>
        <w:bottom w:val="none" w:sz="0" w:space="0" w:color="auto"/>
        <w:right w:val="none" w:sz="0" w:space="0" w:color="auto"/>
      </w:divBdr>
      <w:divsChild>
        <w:div w:id="232084507">
          <w:marLeft w:val="0"/>
          <w:marRight w:val="0"/>
          <w:marTop w:val="0"/>
          <w:marBottom w:val="0"/>
          <w:divBdr>
            <w:top w:val="none" w:sz="0" w:space="0" w:color="auto"/>
            <w:left w:val="none" w:sz="0" w:space="0" w:color="auto"/>
            <w:bottom w:val="none" w:sz="0" w:space="0" w:color="auto"/>
            <w:right w:val="none" w:sz="0" w:space="0" w:color="auto"/>
          </w:divBdr>
          <w:divsChild>
            <w:div w:id="378089512">
              <w:marLeft w:val="0"/>
              <w:marRight w:val="0"/>
              <w:marTop w:val="0"/>
              <w:marBottom w:val="0"/>
              <w:divBdr>
                <w:top w:val="none" w:sz="0" w:space="0" w:color="auto"/>
                <w:left w:val="none" w:sz="0" w:space="0" w:color="auto"/>
                <w:bottom w:val="none" w:sz="0" w:space="0" w:color="auto"/>
                <w:right w:val="none" w:sz="0" w:space="0" w:color="auto"/>
              </w:divBdr>
              <w:divsChild>
                <w:div w:id="107612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930497">
      <w:bodyDiv w:val="1"/>
      <w:marLeft w:val="0"/>
      <w:marRight w:val="0"/>
      <w:marTop w:val="0"/>
      <w:marBottom w:val="0"/>
      <w:divBdr>
        <w:top w:val="none" w:sz="0" w:space="0" w:color="auto"/>
        <w:left w:val="none" w:sz="0" w:space="0" w:color="auto"/>
        <w:bottom w:val="none" w:sz="0" w:space="0" w:color="auto"/>
        <w:right w:val="none" w:sz="0" w:space="0" w:color="auto"/>
      </w:divBdr>
    </w:div>
    <w:div w:id="1804423119">
      <w:bodyDiv w:val="1"/>
      <w:marLeft w:val="0"/>
      <w:marRight w:val="0"/>
      <w:marTop w:val="0"/>
      <w:marBottom w:val="0"/>
      <w:divBdr>
        <w:top w:val="none" w:sz="0" w:space="0" w:color="auto"/>
        <w:left w:val="none" w:sz="0" w:space="0" w:color="auto"/>
        <w:bottom w:val="none" w:sz="0" w:space="0" w:color="auto"/>
        <w:right w:val="none" w:sz="0" w:space="0" w:color="auto"/>
      </w:divBdr>
      <w:divsChild>
        <w:div w:id="1942226716">
          <w:marLeft w:val="0"/>
          <w:marRight w:val="0"/>
          <w:marTop w:val="0"/>
          <w:marBottom w:val="0"/>
          <w:divBdr>
            <w:top w:val="none" w:sz="0" w:space="0" w:color="auto"/>
            <w:left w:val="none" w:sz="0" w:space="0" w:color="auto"/>
            <w:bottom w:val="none" w:sz="0" w:space="0" w:color="auto"/>
            <w:right w:val="none" w:sz="0" w:space="0" w:color="auto"/>
          </w:divBdr>
        </w:div>
        <w:div w:id="1051074468">
          <w:marLeft w:val="0"/>
          <w:marRight w:val="0"/>
          <w:marTop w:val="0"/>
          <w:marBottom w:val="0"/>
          <w:divBdr>
            <w:top w:val="none" w:sz="0" w:space="0" w:color="auto"/>
            <w:left w:val="none" w:sz="0" w:space="0" w:color="auto"/>
            <w:bottom w:val="none" w:sz="0" w:space="0" w:color="auto"/>
            <w:right w:val="none" w:sz="0" w:space="0" w:color="auto"/>
          </w:divBdr>
        </w:div>
      </w:divsChild>
    </w:div>
    <w:div w:id="19270321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4</Pages>
  <Words>781</Words>
  <Characters>4453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Just another level? Comparing quantitative patterns of global school and higher education expansion</vt:lpstr>
    </vt:vector>
  </TitlesOfParts>
  <Company/>
  <LinksUpToDate>false</LinksUpToDate>
  <CharactersWithSpaces>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 another level? Comparing quantitative patterns of global school and higher education expansion</dc:title>
  <dc:creator>Bilal Barakat and Robin Shields</dc:creator>
  <cp:lastModifiedBy>Laura Tesch</cp:lastModifiedBy>
  <cp:revision>15</cp:revision>
  <cp:lastPrinted>2017-09-27T09:00:00Z</cp:lastPrinted>
  <dcterms:created xsi:type="dcterms:W3CDTF">2018-05-18T14:14:00Z</dcterms:created>
  <dcterms:modified xsi:type="dcterms:W3CDTF">2019-03-07T13:39:00Z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