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6E41" w14:textId="7930E941" w:rsidR="00B353EF" w:rsidRPr="00B353EF" w:rsidRDefault="00B353EF" w:rsidP="00B353EF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  <w:shd w:val="clear" w:color="auto" w:fill="FFFFFF"/>
        </w:rPr>
        <w:t xml:space="preserve">Supplementary Material: </w:t>
      </w:r>
      <w:r w:rsidRPr="00B353EF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  <w:shd w:val="clear" w:color="auto" w:fill="FFFFFF"/>
        </w:rPr>
        <w:t>Stability of Optimization Method</w:t>
      </w:r>
    </w:p>
    <w:p w14:paraId="3466E445" w14:textId="2DA1413F" w:rsidR="00B353EF" w:rsidRPr="00B353EF" w:rsidRDefault="00B353EF" w:rsidP="00B353EF">
      <w:pP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</w:p>
    <w:p w14:paraId="53B6DDEF" w14:textId="667B252F" w:rsidR="00867D5A" w:rsidRDefault="00B353EF" w:rsidP="00B353EF">
      <w:pP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  <w:r w:rsidRPr="00B353EF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 xml:space="preserve"> </w:t>
      </w:r>
      <w:r w:rsidR="008E7BE4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In the first step, t</w:t>
      </w:r>
      <w:r w:rsidRPr="00B353EF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o </w:t>
      </w:r>
      <w:r w:rsidRPr="00B353EF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approximate</w:t>
      </w:r>
      <w:r w:rsidRPr="00B353EF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the optimal montage, we employed a brute-force search </w:t>
      </w:r>
      <w:r w:rsidR="00261455" w:rsidRPr="00261455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randomly sampled subsets of the full montage </w:t>
      </w:r>
      <w:proofErr w:type="gramStart"/>
      <w:r w:rsidR="00261455" w:rsidRPr="00261455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space</w:t>
      </w:r>
      <w:r w:rsidR="008E7BE4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 xml:space="preserve"> </w:t>
      </w:r>
      <w:r w:rsidR="00261455" w:rsidRPr="00261455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(“</w:t>
      </w:r>
      <w:proofErr w:type="gramEnd"/>
      <w:r w:rsidR="00261455" w:rsidRPr="00261455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quasi-</w:t>
      </w:r>
      <w:proofErr w:type="gramStart"/>
      <w:r w:rsidR="00261455" w:rsidRPr="00261455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optimization”)</w:t>
      </w:r>
      <w:proofErr w:type="gramEnd"/>
      <w:r w:rsidR="00261455" w:rsidRPr="00261455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, enabling unbiased global exploration.</w:t>
      </w:r>
      <w:r w:rsidRPr="00B353EF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 xml:space="preserve"> </w:t>
      </w:r>
      <w:r w:rsidR="00261455" w:rsidRPr="00261455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To assess the stability of this procedure, we varied the sampled subspace size from 5,000 to 50,000 candidates and, for each size, performed six independent random </w:t>
      </w:r>
      <w:r w:rsidR="00261455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trials</w:t>
      </w:r>
      <w:r w:rsidR="00261455" w:rsidRPr="00261455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(Table 1).</w:t>
      </w:r>
      <w:r w:rsidRPr="00B353EF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 xml:space="preserve"> </w:t>
      </w:r>
    </w:p>
    <w:p w14:paraId="01B410FA" w14:textId="21456529" w:rsidR="00867D5A" w:rsidRDefault="00867D5A" w:rsidP="00B353EF">
      <w:pP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Results show two consistent trends. First, the mean spinal-cord modulation depth increases </w:t>
      </w:r>
      <w: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slowly</w:t>
      </w: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with subspace size, reflecting the higher probability of sampling better montages as coverage grows.</w:t>
      </w:r>
      <w: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</w:t>
      </w: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Second, focality ratios converge with increasing subspace size. Quantitatively, the percent change between consecutive sizes was &lt;6% from 10,000</w:t>
      </w:r>
      <w: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to </w:t>
      </w: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20,000 and &lt;10% from 20,000</w:t>
      </w:r>
      <w: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to </w:t>
      </w: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50,000 (Fig. 1). </w:t>
      </w:r>
      <w:r w:rsidR="008E7BE4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In addition, t</w:t>
      </w: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he standard deviation across the six repeat</w:t>
      </w:r>
      <w:r w:rsidR="008E7BE4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ed</w:t>
      </w: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</w:t>
      </w:r>
      <w:r w:rsidR="008E7BE4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random</w:t>
      </w:r>
      <w:r w:rsidR="008E7BE4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 xml:space="preserve"> trials </w:t>
      </w: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also decreases with size and plateaus at 10,000 (Table 1).</w:t>
      </w:r>
      <w: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</w:t>
      </w: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Taken together, these findings indicate that subspaces </w:t>
      </w:r>
      <w: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larger than </w:t>
      </w: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10,000 provide a reliable and computationally efficient global search, balancing accuracy with runtime.</w:t>
      </w:r>
    </w:p>
    <w:p w14:paraId="7D5A62FC" w14:textId="6C2D2E83" w:rsidR="00867D5A" w:rsidRDefault="00867D5A" w:rsidP="008E7BE4">
      <w:pPr>
        <w:ind w:firstLineChars="50" w:firstLine="105"/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In the second </w:t>
      </w:r>
      <w:r w:rsidR="008E7BE4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step</w:t>
      </w: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, we restricted the search to the most influential electrodes identified during global exploration (the “relevant electrode map”</w:t>
      </w:r>
      <w:r w:rsidR="008E7BE4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 xml:space="preserve"> in subsection 2.6</w:t>
      </w:r>
      <w:r w:rsidRPr="00867D5A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), reducing the grid from 162 to 44 positions, and then performed an exhaustive evaluation over all montage combinations in this reduced space.</w:t>
      </w:r>
    </w:p>
    <w:p w14:paraId="3356191A" w14:textId="07EAB4BD" w:rsidR="00B353EF" w:rsidRPr="00B353EF" w:rsidRDefault="00B353EF" w:rsidP="00B353EF">
      <w:pP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  <w:bookmarkStart w:id="0" w:name="_Hlk209784308"/>
      <w:r w:rsidRPr="00B353EF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 xml:space="preserve"> </w:t>
      </w:r>
      <w:bookmarkEnd w:id="0"/>
    </w:p>
    <w:p w14:paraId="2A07E059" w14:textId="5DD6F60C" w:rsidR="00B353EF" w:rsidRPr="00B353EF" w:rsidRDefault="00B353EF" w:rsidP="00B353EF">
      <w:pPr>
        <w:jc w:val="center"/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  <w:r w:rsidRPr="00B353EF">
        <w:rPr>
          <w:rFonts w:ascii="Times New Roman" w:hAnsi="Times New Roman" w:cs="Times New Roman" w:hint="eastAsia"/>
          <w:b/>
          <w:bCs/>
          <w:color w:val="000000" w:themeColor="text1"/>
          <w:szCs w:val="21"/>
          <w:shd w:val="clear" w:color="auto" w:fill="FFFFFF"/>
        </w:rPr>
        <w:t>Table 1</w:t>
      </w:r>
      <w:r w:rsidRPr="00B353EF">
        <w:rPr>
          <w:rFonts w:ascii="Times New Roman" w:hAnsi="Times New Roman" w:cs="Times New Roman"/>
          <w:b/>
          <w:bCs/>
          <w:color w:val="000000" w:themeColor="text1"/>
          <w:szCs w:val="21"/>
          <w:shd w:val="clear" w:color="auto" w:fill="FFFFFF"/>
        </w:rPr>
        <w:t>:</w:t>
      </w:r>
      <w:r w:rsidRPr="00B353EF">
        <w:rPr>
          <w:rFonts w:ascii="Times New Roman" w:hAnsi="Times New Roman" w:cs="Times New Roman" w:hint="eastAsia"/>
          <w:b/>
          <w:bCs/>
          <w:color w:val="000000" w:themeColor="text1"/>
          <w:szCs w:val="21"/>
          <w:shd w:val="clear" w:color="auto" w:fill="FFFFFF"/>
        </w:rPr>
        <w:t xml:space="preserve"> </w:t>
      </w:r>
      <w:r w:rsidRPr="00B353EF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Effect of subspace size in the quasi-optimization method</w:t>
      </w:r>
      <w:r w:rsidR="00A80BF2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(</w:t>
      </w:r>
      <w:r w:rsidR="00A80BF2" w:rsidRPr="00A80BF2">
        <w:rPr>
          <w:rFonts w:ascii="Times New Roman" w:hAnsi="Times New Roman" w:cs="Times New Roman"/>
          <w:i/>
          <w:iCs/>
          <w:color w:val="000000" w:themeColor="text1"/>
          <w:szCs w:val="21"/>
          <w:shd w:val="clear" w:color="auto" w:fill="FFFFFF"/>
        </w:rPr>
        <w:t>n</w:t>
      </w:r>
      <w:r w:rsidR="00A80BF2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 xml:space="preserve"> = 6)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1"/>
        <w:gridCol w:w="2722"/>
        <w:gridCol w:w="1843"/>
        <w:gridCol w:w="2068"/>
      </w:tblGrid>
      <w:tr w:rsidR="00B353EF" w:rsidRPr="00B353EF" w14:paraId="31118EFD" w14:textId="77777777" w:rsidTr="00A80BF2">
        <w:tc>
          <w:tcPr>
            <w:tcW w:w="1531" w:type="dxa"/>
            <w:vMerge w:val="restart"/>
            <w:vAlign w:val="center"/>
          </w:tcPr>
          <w:p w14:paraId="0B368E60" w14:textId="77777777" w:rsidR="00B353EF" w:rsidRPr="00B353EF" w:rsidRDefault="00B353EF" w:rsidP="00F67601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Subspace Size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0BCC3" w14:textId="67B1093A" w:rsidR="00B353EF" w:rsidRPr="00B353EF" w:rsidRDefault="00A80BF2" w:rsidP="00F676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 xml:space="preserve">Average </w:t>
            </w:r>
            <w:r w:rsidR="00B353EF"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Electric Field [V/m]</w:t>
            </w:r>
          </w:p>
          <w:p w14:paraId="02564E0D" w14:textId="77777777" w:rsidR="00B353EF" w:rsidRPr="00B353EF" w:rsidRDefault="00B353EF" w:rsidP="00F676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(</w:t>
            </w:r>
            <w:r w:rsidRPr="00B353EF">
              <w:rPr>
                <w:rFonts w:ascii="Times New Roman" w:hAnsi="Times New Roman" w:cs="Times New Roman" w:hint="eastAsia"/>
                <w:color w:val="000000" w:themeColor="text1"/>
              </w:rPr>
              <w:t>Relative SD [%])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CE798" w14:textId="0763AB21" w:rsidR="00B353EF" w:rsidRPr="00B353EF" w:rsidRDefault="00A80BF2" w:rsidP="00F676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 xml:space="preserve">Average </w:t>
            </w:r>
            <w:r w:rsidR="00B353EF"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Focality Ratio</w:t>
            </w:r>
          </w:p>
          <w:p w14:paraId="584D85C4" w14:textId="77777777" w:rsidR="00B353EF" w:rsidRPr="00B353EF" w:rsidRDefault="00B353EF" w:rsidP="00F676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(</w:t>
            </w:r>
            <w:r w:rsidRPr="00B353EF">
              <w:rPr>
                <w:rFonts w:ascii="Times New Roman" w:hAnsi="Times New Roman" w:cs="Times New Roman" w:hint="eastAsia"/>
                <w:color w:val="000000" w:themeColor="text1"/>
              </w:rPr>
              <w:t>Relative SD [%])</w:t>
            </w:r>
          </w:p>
        </w:tc>
      </w:tr>
      <w:tr w:rsidR="00B353EF" w:rsidRPr="00B353EF" w14:paraId="74D5D4C0" w14:textId="77777777" w:rsidTr="00A80BF2">
        <w:tc>
          <w:tcPr>
            <w:tcW w:w="1531" w:type="dxa"/>
            <w:vMerge/>
            <w:tcBorders>
              <w:bottom w:val="single" w:sz="4" w:space="0" w:color="auto"/>
            </w:tcBorders>
          </w:tcPr>
          <w:p w14:paraId="09A75123" w14:textId="77777777" w:rsidR="00B353EF" w:rsidRPr="00B353EF" w:rsidRDefault="00B353EF" w:rsidP="00F67601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05B4B" w14:textId="77777777" w:rsidR="00B353EF" w:rsidRPr="00B353EF" w:rsidRDefault="00B353EF" w:rsidP="00F676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Spinal Cord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1B3333" w14:textId="77777777" w:rsidR="00B353EF" w:rsidRPr="00B353EF" w:rsidRDefault="00B353EF" w:rsidP="00F676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Spinal Cord / Skin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7F52F" w14:textId="77777777" w:rsidR="00B353EF" w:rsidRPr="00B353EF" w:rsidRDefault="00B353EF" w:rsidP="00F676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Spinal Cord / Muscle</w:t>
            </w:r>
          </w:p>
        </w:tc>
      </w:tr>
      <w:tr w:rsidR="00B353EF" w:rsidRPr="00B353EF" w14:paraId="0B181D45" w14:textId="77777777" w:rsidTr="00A80BF2"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A4FD14C" w14:textId="77777777" w:rsidR="00B353EF" w:rsidRPr="00B353EF" w:rsidRDefault="00B353EF" w:rsidP="00F67601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1</w:t>
            </w: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,</w:t>
            </w:r>
            <w:r w:rsidRPr="00B353E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000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vAlign w:val="center"/>
          </w:tcPr>
          <w:p w14:paraId="731D1AB6" w14:textId="77777777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1.28 (23%)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E96AA9C" w14:textId="77777777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0.25 (35%)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center"/>
          </w:tcPr>
          <w:p w14:paraId="351BEB21" w14:textId="77777777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0.56 (46%)</w:t>
            </w:r>
          </w:p>
        </w:tc>
      </w:tr>
      <w:tr w:rsidR="00B353EF" w:rsidRPr="00B353EF" w14:paraId="21F9FD35" w14:textId="77777777" w:rsidTr="00A80BF2">
        <w:tc>
          <w:tcPr>
            <w:tcW w:w="1531" w:type="dxa"/>
            <w:vAlign w:val="center"/>
          </w:tcPr>
          <w:p w14:paraId="37279019" w14:textId="77777777" w:rsidR="00B353EF" w:rsidRPr="00B353EF" w:rsidRDefault="00B353EF" w:rsidP="00F67601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5</w:t>
            </w: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,</w:t>
            </w:r>
            <w:r w:rsidRPr="00B353E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000</w:t>
            </w:r>
          </w:p>
        </w:tc>
        <w:tc>
          <w:tcPr>
            <w:tcW w:w="2722" w:type="dxa"/>
            <w:vAlign w:val="center"/>
          </w:tcPr>
          <w:p w14:paraId="03CFD31F" w14:textId="77777777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1.82 (23%)</w:t>
            </w:r>
          </w:p>
        </w:tc>
        <w:tc>
          <w:tcPr>
            <w:tcW w:w="1843" w:type="dxa"/>
            <w:vAlign w:val="center"/>
          </w:tcPr>
          <w:p w14:paraId="56E2FD0A" w14:textId="77777777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0.30 (18%)</w:t>
            </w:r>
          </w:p>
        </w:tc>
        <w:tc>
          <w:tcPr>
            <w:tcW w:w="2068" w:type="dxa"/>
            <w:vAlign w:val="center"/>
          </w:tcPr>
          <w:p w14:paraId="5D124BFC" w14:textId="77777777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0.43 (27%)</w:t>
            </w:r>
          </w:p>
        </w:tc>
      </w:tr>
      <w:tr w:rsidR="00B353EF" w:rsidRPr="00B353EF" w14:paraId="1CC629AE" w14:textId="77777777" w:rsidTr="00A80BF2">
        <w:trPr>
          <w:trHeight w:val="739"/>
        </w:trPr>
        <w:tc>
          <w:tcPr>
            <w:tcW w:w="1531" w:type="dxa"/>
            <w:vAlign w:val="center"/>
          </w:tcPr>
          <w:p w14:paraId="0E739AFF" w14:textId="77777777" w:rsidR="00B353EF" w:rsidRPr="00B353EF" w:rsidRDefault="00B353EF" w:rsidP="00F67601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10</w:t>
            </w: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,</w:t>
            </w:r>
            <w:r w:rsidRPr="00B353E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000</w:t>
            </w:r>
          </w:p>
        </w:tc>
        <w:tc>
          <w:tcPr>
            <w:tcW w:w="2722" w:type="dxa"/>
            <w:vAlign w:val="center"/>
          </w:tcPr>
          <w:p w14:paraId="040DD9B8" w14:textId="401AC621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1.65 (1</w:t>
            </w:r>
            <w:r w:rsidR="00A80BF2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8</w:t>
            </w: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%)</w:t>
            </w:r>
          </w:p>
        </w:tc>
        <w:tc>
          <w:tcPr>
            <w:tcW w:w="1843" w:type="dxa"/>
            <w:vAlign w:val="center"/>
          </w:tcPr>
          <w:p w14:paraId="22661A59" w14:textId="699998EF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0.36 (1</w:t>
            </w:r>
            <w:r w:rsidR="00A80BF2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7</w:t>
            </w: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%)</w:t>
            </w:r>
          </w:p>
        </w:tc>
        <w:tc>
          <w:tcPr>
            <w:tcW w:w="2068" w:type="dxa"/>
            <w:vAlign w:val="center"/>
          </w:tcPr>
          <w:p w14:paraId="420D8C24" w14:textId="77777777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0.56 (6%)</w:t>
            </w:r>
          </w:p>
        </w:tc>
      </w:tr>
      <w:tr w:rsidR="00B353EF" w:rsidRPr="00B353EF" w14:paraId="067FC4EB" w14:textId="77777777" w:rsidTr="00A80BF2">
        <w:tc>
          <w:tcPr>
            <w:tcW w:w="1531" w:type="dxa"/>
            <w:vAlign w:val="center"/>
          </w:tcPr>
          <w:p w14:paraId="7939C190" w14:textId="77777777" w:rsidR="00B353EF" w:rsidRPr="00B353EF" w:rsidRDefault="00B353EF" w:rsidP="00F67601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20</w:t>
            </w: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,</w:t>
            </w:r>
            <w:r w:rsidRPr="00B353E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000</w:t>
            </w:r>
          </w:p>
        </w:tc>
        <w:tc>
          <w:tcPr>
            <w:tcW w:w="2722" w:type="dxa"/>
            <w:vAlign w:val="center"/>
          </w:tcPr>
          <w:p w14:paraId="37C3AAD9" w14:textId="77777777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1.76 (15%)</w:t>
            </w:r>
          </w:p>
        </w:tc>
        <w:tc>
          <w:tcPr>
            <w:tcW w:w="1843" w:type="dxa"/>
            <w:vAlign w:val="center"/>
          </w:tcPr>
          <w:p w14:paraId="687E1248" w14:textId="77777777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 xml:space="preserve">0.34 (20%) </w:t>
            </w:r>
          </w:p>
        </w:tc>
        <w:tc>
          <w:tcPr>
            <w:tcW w:w="2068" w:type="dxa"/>
            <w:vAlign w:val="center"/>
          </w:tcPr>
          <w:p w14:paraId="479050FD" w14:textId="77777777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0.53 (9%)</w:t>
            </w:r>
          </w:p>
        </w:tc>
      </w:tr>
      <w:tr w:rsidR="00B353EF" w:rsidRPr="00B353EF" w14:paraId="5CE2A82B" w14:textId="77777777" w:rsidTr="00A80BF2">
        <w:trPr>
          <w:trHeight w:val="70"/>
        </w:trPr>
        <w:tc>
          <w:tcPr>
            <w:tcW w:w="1531" w:type="dxa"/>
            <w:vAlign w:val="center"/>
          </w:tcPr>
          <w:p w14:paraId="6EB21807" w14:textId="77777777" w:rsidR="00B353EF" w:rsidRPr="00B353EF" w:rsidRDefault="00B353EF" w:rsidP="00F67601"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50</w:t>
            </w: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,</w:t>
            </w:r>
            <w:r w:rsidRPr="00B353E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000</w:t>
            </w:r>
          </w:p>
        </w:tc>
        <w:tc>
          <w:tcPr>
            <w:tcW w:w="2722" w:type="dxa"/>
            <w:vAlign w:val="center"/>
          </w:tcPr>
          <w:p w14:paraId="4150A846" w14:textId="319879F1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1.84 (1</w:t>
            </w:r>
            <w:r w:rsidR="00A80BF2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8</w:t>
            </w: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%)</w:t>
            </w:r>
          </w:p>
        </w:tc>
        <w:tc>
          <w:tcPr>
            <w:tcW w:w="1843" w:type="dxa"/>
            <w:vAlign w:val="center"/>
          </w:tcPr>
          <w:p w14:paraId="4E545647" w14:textId="0FD8E719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0.37 (</w:t>
            </w:r>
            <w:r w:rsidR="00A80BF2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17</w:t>
            </w: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 xml:space="preserve">%) </w:t>
            </w:r>
          </w:p>
        </w:tc>
        <w:tc>
          <w:tcPr>
            <w:tcW w:w="2068" w:type="dxa"/>
            <w:vAlign w:val="center"/>
          </w:tcPr>
          <w:p w14:paraId="147EBB43" w14:textId="4F66F708" w:rsidR="00B353EF" w:rsidRPr="00B353EF" w:rsidRDefault="00B353EF" w:rsidP="00F67601">
            <w:pPr>
              <w:jc w:val="righ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</w:pP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0.55 (</w:t>
            </w:r>
            <w:r w:rsidR="00A80BF2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6</w:t>
            </w:r>
            <w:r w:rsidRPr="00B353EF">
              <w:rPr>
                <w:rFonts w:ascii="Times New Roman" w:hAnsi="Times New Roman" w:cs="Times New Roman" w:hint="eastAsia"/>
                <w:color w:val="000000" w:themeColor="text1"/>
                <w:szCs w:val="21"/>
                <w:shd w:val="clear" w:color="auto" w:fill="FFFFFF"/>
              </w:rPr>
              <w:t>%)</w:t>
            </w:r>
          </w:p>
        </w:tc>
      </w:tr>
    </w:tbl>
    <w:p w14:paraId="7E5A679D" w14:textId="77777777" w:rsidR="00B353EF" w:rsidRPr="00B353EF" w:rsidRDefault="00B353EF" w:rsidP="00B353EF">
      <w:pP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</w:p>
    <w:p w14:paraId="6D45E4BF" w14:textId="77777777" w:rsidR="00B353EF" w:rsidRPr="00B353EF" w:rsidRDefault="00B353EF" w:rsidP="00B353EF">
      <w:pP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</w:p>
    <w:p w14:paraId="2D657730" w14:textId="77777777" w:rsidR="00B353EF" w:rsidRPr="00B353EF" w:rsidRDefault="00B353EF" w:rsidP="00B353EF">
      <w:pPr>
        <w:jc w:val="center"/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  <w:r w:rsidRPr="00B353EF">
        <w:rPr>
          <w:rFonts w:ascii="Times New Roman" w:hAnsi="Times New Roman" w:cs="Times New Roman"/>
          <w:noProof/>
          <w:color w:val="000000" w:themeColor="text1"/>
          <w:szCs w:val="21"/>
          <w:shd w:val="clear" w:color="auto" w:fill="FFFFFF"/>
        </w:rPr>
        <w:lastRenderedPageBreak/>
        <w:drawing>
          <wp:inline distT="0" distB="0" distL="0" distR="0" wp14:anchorId="3EB2840E" wp14:editId="6180E92C">
            <wp:extent cx="5400040" cy="3200400"/>
            <wp:effectExtent l="0" t="0" r="0" b="0"/>
            <wp:docPr id="28" name="Picture 27" descr="A graph with red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ACD1FAB-2638-2CB8-A82B-4C0711074A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 descr="A graph with red lines&#10;&#10;AI-generated content may be incorrect.">
                      <a:extLst>
                        <a:ext uri="{FF2B5EF4-FFF2-40B4-BE49-F238E27FC236}">
                          <a16:creationId xmlns:a16="http://schemas.microsoft.com/office/drawing/2014/main" id="{0ACD1FAB-2638-2CB8-A82B-4C0711074A7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A3365" w14:textId="77777777" w:rsidR="00B353EF" w:rsidRPr="00B353EF" w:rsidRDefault="00B353EF" w:rsidP="00B353EF">
      <w:pPr>
        <w:jc w:val="center"/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</w:pPr>
      <w:r w:rsidRPr="00B353EF">
        <w:rPr>
          <w:rFonts w:ascii="Times New Roman" w:hAnsi="Times New Roman" w:cs="Times New Roman" w:hint="eastAsia"/>
          <w:b/>
          <w:bCs/>
          <w:color w:val="000000" w:themeColor="text1"/>
          <w:szCs w:val="21"/>
          <w:shd w:val="clear" w:color="auto" w:fill="FFFFFF"/>
        </w:rPr>
        <w:t>Figure 1</w:t>
      </w:r>
      <w:r w:rsidRPr="00B353EF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 xml:space="preserve"> Percentage difference between subspace sizes</w:t>
      </w:r>
    </w:p>
    <w:p w14:paraId="6ACCD51B" w14:textId="77777777" w:rsidR="00E8393E" w:rsidRPr="00B353EF" w:rsidRDefault="00E8393E">
      <w:pPr>
        <w:rPr>
          <w:color w:val="000000" w:themeColor="text1"/>
        </w:rPr>
      </w:pPr>
    </w:p>
    <w:sectPr w:rsidR="00E8393E" w:rsidRPr="00B353E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76D"/>
    <w:rsid w:val="0017776D"/>
    <w:rsid w:val="00261455"/>
    <w:rsid w:val="0027431D"/>
    <w:rsid w:val="00291769"/>
    <w:rsid w:val="003803CC"/>
    <w:rsid w:val="005A6AE4"/>
    <w:rsid w:val="006464F5"/>
    <w:rsid w:val="0081101E"/>
    <w:rsid w:val="00867D5A"/>
    <w:rsid w:val="008E7BE4"/>
    <w:rsid w:val="00A80BF2"/>
    <w:rsid w:val="00B353EF"/>
    <w:rsid w:val="00C54982"/>
    <w:rsid w:val="00DC55DB"/>
    <w:rsid w:val="00DD3B9F"/>
    <w:rsid w:val="00DF2D37"/>
    <w:rsid w:val="00E8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9A3EAC"/>
  <w15:chartTrackingRefBased/>
  <w15:docId w15:val="{E6D087D5-59B1-4876-B8BA-8741B5CD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3EF"/>
    <w:pPr>
      <w:widowControl w:val="0"/>
      <w:jc w:val="both"/>
    </w:pPr>
    <w:rPr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76D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76D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76D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76D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76D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76D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76D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76D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76D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76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76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76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7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7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7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7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7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76D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1777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7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7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77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76D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77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76D"/>
    <w:pPr>
      <w:ind w:left="720"/>
      <w:contextualSpacing/>
      <w:jc w:val="left"/>
    </w:pPr>
    <w:rPr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77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7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7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53EF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353E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353EF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353EF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GOMEZ TAMES JOSE D.</dc:creator>
  <cp:keywords/>
  <dc:description/>
  <cp:lastModifiedBy>GOMEZ TAMES JOSE D.</cp:lastModifiedBy>
  <cp:revision>8</cp:revision>
  <dcterms:created xsi:type="dcterms:W3CDTF">2025-09-26T04:32:00Z</dcterms:created>
  <dcterms:modified xsi:type="dcterms:W3CDTF">2025-10-04T23:00:00Z</dcterms:modified>
</cp:coreProperties>
</file>