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6AF63" w14:textId="77777777" w:rsidR="00D55871" w:rsidRPr="00422962" w:rsidRDefault="00D55871" w:rsidP="00D55871">
      <w:pPr>
        <w:jc w:val="center"/>
        <w:rPr>
          <w:rFonts w:ascii="Verdana" w:hAnsi="Verdana"/>
          <w:sz w:val="24"/>
          <w:szCs w:val="24"/>
          <w:lang w:val="en-US"/>
        </w:rPr>
      </w:pPr>
      <w:r w:rsidRPr="00422962">
        <w:rPr>
          <w:rFonts w:ascii="Verdana" w:hAnsi="Verdana"/>
          <w:sz w:val="24"/>
          <w:szCs w:val="24"/>
          <w:lang w:val="en-US"/>
        </w:rPr>
        <w:t>Design and Validation of an Angular Dependent Interatomic Potential for Nickel</w:t>
      </w:r>
    </w:p>
    <w:p w14:paraId="035355B1" w14:textId="77777777" w:rsidR="00D55871" w:rsidRPr="00422962" w:rsidRDefault="00D55871" w:rsidP="00D55871">
      <w:pPr>
        <w:rPr>
          <w:rFonts w:ascii="Verdana" w:hAnsi="Verdana"/>
          <w:sz w:val="18"/>
          <w:szCs w:val="18"/>
          <w:lang w:val="en-US"/>
        </w:rPr>
      </w:pPr>
    </w:p>
    <w:p w14:paraId="2F0B09EB" w14:textId="77777777" w:rsidR="00D55871" w:rsidRPr="00422962" w:rsidRDefault="00D55871" w:rsidP="00D55871">
      <w:pPr>
        <w:rPr>
          <w:rFonts w:ascii="Verdana" w:hAnsi="Verdana"/>
          <w:sz w:val="18"/>
          <w:szCs w:val="18"/>
        </w:rPr>
      </w:pPr>
      <w:r w:rsidRPr="00422962">
        <w:rPr>
          <w:rFonts w:ascii="Verdana" w:hAnsi="Verdana"/>
          <w:sz w:val="18"/>
          <w:szCs w:val="18"/>
        </w:rPr>
        <w:t>Douglas Soares Oliveira*</w:t>
      </w:r>
    </w:p>
    <w:p w14:paraId="55885311" w14:textId="77777777" w:rsidR="00D55871" w:rsidRPr="00422962" w:rsidRDefault="00D55871" w:rsidP="00D55871">
      <w:pPr>
        <w:rPr>
          <w:rFonts w:ascii="Verdana" w:hAnsi="Verdana"/>
          <w:sz w:val="18"/>
          <w:szCs w:val="18"/>
        </w:rPr>
      </w:pPr>
    </w:p>
    <w:p w14:paraId="69E783B9" w14:textId="77777777" w:rsidR="00D55871" w:rsidRPr="00422962" w:rsidRDefault="00D55871" w:rsidP="00D55871">
      <w:pPr>
        <w:spacing w:line="240" w:lineRule="auto"/>
        <w:jc w:val="center"/>
        <w:rPr>
          <w:rFonts w:ascii="Verdana" w:hAnsi="Verdana"/>
          <w:sz w:val="18"/>
          <w:szCs w:val="18"/>
        </w:rPr>
      </w:pPr>
      <w:r w:rsidRPr="00422962">
        <w:rPr>
          <w:rFonts w:ascii="Verdana" w:hAnsi="Verdana"/>
          <w:sz w:val="18"/>
          <w:szCs w:val="18"/>
        </w:rPr>
        <w:t xml:space="preserve">Universidade Federal do Paraná, Campus Avançado de Jandaia do Sul, 86900-000 Jandaia do Sul, Paraná, </w:t>
      </w:r>
      <w:proofErr w:type="spellStart"/>
      <w:r w:rsidRPr="00422962">
        <w:rPr>
          <w:rFonts w:ascii="Verdana" w:hAnsi="Verdana"/>
          <w:sz w:val="18"/>
          <w:szCs w:val="18"/>
        </w:rPr>
        <w:t>Brazil</w:t>
      </w:r>
      <w:proofErr w:type="spellEnd"/>
    </w:p>
    <w:p w14:paraId="71B53429" w14:textId="284F8944" w:rsidR="00D55871" w:rsidRPr="00422962" w:rsidRDefault="00D55871" w:rsidP="00D55871">
      <w:pPr>
        <w:rPr>
          <w:rFonts w:ascii="Verdana" w:hAnsi="Verdana"/>
          <w:sz w:val="18"/>
          <w:szCs w:val="18"/>
          <w:lang w:val="en-US"/>
        </w:rPr>
      </w:pPr>
      <w:r w:rsidRPr="00422962">
        <w:rPr>
          <w:rFonts w:ascii="Verdana" w:hAnsi="Verdana"/>
          <w:sz w:val="18"/>
          <w:szCs w:val="18"/>
          <w:lang w:val="en-US"/>
        </w:rPr>
        <w:t>*Corresponding author: douglas.oliveira@ufpr.br</w:t>
      </w:r>
    </w:p>
    <w:p w14:paraId="049BED3F" w14:textId="77777777" w:rsidR="00D55871" w:rsidRPr="00422962" w:rsidRDefault="00D55871" w:rsidP="00D55871">
      <w:pPr>
        <w:rPr>
          <w:rFonts w:ascii="Verdana" w:hAnsi="Verdana"/>
          <w:sz w:val="18"/>
          <w:szCs w:val="18"/>
          <w:lang w:val="en-US"/>
        </w:rPr>
      </w:pPr>
    </w:p>
    <w:p w14:paraId="74E76EF0" w14:textId="1F9A615D" w:rsidR="0067487A" w:rsidRPr="000005C6" w:rsidRDefault="009C51A7" w:rsidP="000005C6">
      <w:pPr>
        <w:jc w:val="center"/>
        <w:rPr>
          <w:rFonts w:ascii="Verdana" w:hAnsi="Verdana"/>
          <w:b/>
          <w:bCs/>
          <w:lang w:val="en-US"/>
        </w:rPr>
      </w:pPr>
      <w:r w:rsidRPr="000005C6">
        <w:rPr>
          <w:rFonts w:ascii="Verdana" w:hAnsi="Verdana"/>
          <w:b/>
          <w:bCs/>
          <w:lang w:val="en-US"/>
        </w:rPr>
        <w:t>DFT Computational Details and Convergence Tests</w:t>
      </w:r>
    </w:p>
    <w:p w14:paraId="36EF4C7C" w14:textId="77777777" w:rsidR="009C51A7" w:rsidRPr="00422962" w:rsidRDefault="009C51A7" w:rsidP="00D55871">
      <w:pPr>
        <w:rPr>
          <w:rFonts w:ascii="Verdana" w:hAnsi="Verdana"/>
          <w:b/>
          <w:bCs/>
          <w:sz w:val="18"/>
          <w:szCs w:val="18"/>
          <w:u w:val="single"/>
          <w:lang w:val="en-US"/>
        </w:rPr>
      </w:pPr>
    </w:p>
    <w:p w14:paraId="31AA44B1" w14:textId="77777777" w:rsidR="009C51A7" w:rsidRPr="009C51A7" w:rsidRDefault="009C51A7" w:rsidP="009C51A7">
      <w:pPr>
        <w:rPr>
          <w:rFonts w:ascii="Verdana" w:hAnsi="Verdana"/>
          <w:b/>
          <w:bCs/>
          <w:sz w:val="18"/>
          <w:szCs w:val="18"/>
          <w:lang w:val="en-US"/>
        </w:rPr>
      </w:pPr>
      <w:r w:rsidRPr="009C51A7">
        <w:rPr>
          <w:rFonts w:ascii="Verdana" w:hAnsi="Verdana"/>
          <w:b/>
          <w:bCs/>
          <w:sz w:val="18"/>
          <w:szCs w:val="18"/>
          <w:lang w:val="en-US"/>
        </w:rPr>
        <w:t>General Parameters</w:t>
      </w:r>
    </w:p>
    <w:p w14:paraId="478328C8" w14:textId="787172C9" w:rsidR="00422962" w:rsidRPr="00422962" w:rsidRDefault="00422962" w:rsidP="00422962">
      <w:pPr>
        <w:jc w:val="both"/>
        <w:rPr>
          <w:rFonts w:ascii="Verdana" w:hAnsi="Verdana"/>
          <w:sz w:val="18"/>
          <w:szCs w:val="18"/>
          <w:lang w:val="en-US"/>
        </w:rPr>
      </w:pPr>
      <w:r w:rsidRPr="00422962">
        <w:rPr>
          <w:rFonts w:ascii="Verdana" w:hAnsi="Verdana"/>
          <w:sz w:val="18"/>
          <w:szCs w:val="18"/>
          <w:lang w:val="en-US"/>
        </w:rPr>
        <w:t>The calculations employed the Projector Augmented-Wave (PAW) method with the Perdew–Burke–</w:t>
      </w:r>
      <w:proofErr w:type="spellStart"/>
      <w:r w:rsidRPr="00422962">
        <w:rPr>
          <w:rFonts w:ascii="Verdana" w:hAnsi="Verdana"/>
          <w:sz w:val="18"/>
          <w:szCs w:val="18"/>
          <w:lang w:val="en-US"/>
        </w:rPr>
        <w:t>Ernzerhof</w:t>
      </w:r>
      <w:proofErr w:type="spellEnd"/>
      <w:r w:rsidRPr="00422962">
        <w:rPr>
          <w:rFonts w:ascii="Verdana" w:hAnsi="Verdana"/>
          <w:sz w:val="18"/>
          <w:szCs w:val="18"/>
          <w:lang w:val="en-US"/>
        </w:rPr>
        <w:t xml:space="preserve"> (PBE) exchange-correlation functional, accounting for spin polarization effects. The electronic self-consistency loop was considered converged when the energy difference between steps dropped below 10</w:t>
      </w:r>
      <w:r w:rsidRPr="00422962">
        <w:rPr>
          <w:rFonts w:ascii="Verdana" w:hAnsi="Verdana"/>
          <w:sz w:val="18"/>
          <w:szCs w:val="18"/>
          <w:vertAlign w:val="superscript"/>
          <w:lang w:val="en-US"/>
        </w:rPr>
        <w:t>-6</w:t>
      </w:r>
      <w:r w:rsidRPr="00422962">
        <w:rPr>
          <w:rFonts w:ascii="Verdana" w:hAnsi="Verdana"/>
          <w:sz w:val="18"/>
          <w:szCs w:val="18"/>
          <w:lang w:val="en-US"/>
        </w:rPr>
        <w:t xml:space="preserve"> eV. For structural relaxations, the ionic minimization was stopped when the forces on all atoms were smaller than 10</w:t>
      </w:r>
      <w:r w:rsidRPr="00422962">
        <w:rPr>
          <w:rFonts w:ascii="Verdana" w:hAnsi="Verdana"/>
          <w:sz w:val="18"/>
          <w:szCs w:val="18"/>
          <w:vertAlign w:val="superscript"/>
          <w:lang w:val="en-US"/>
        </w:rPr>
        <w:t>-3</w:t>
      </w:r>
      <w:r w:rsidRPr="00422962">
        <w:rPr>
          <w:rFonts w:ascii="Verdana" w:hAnsi="Verdana"/>
          <w:sz w:val="18"/>
          <w:szCs w:val="18"/>
          <w:lang w:val="en-US"/>
        </w:rPr>
        <w:t xml:space="preserve"> eV/Å. The integration over the Brillouin zone employed </w:t>
      </w:r>
      <w:proofErr w:type="spellStart"/>
      <w:r w:rsidRPr="00422962">
        <w:rPr>
          <w:rFonts w:ascii="Verdana" w:hAnsi="Verdana"/>
          <w:sz w:val="18"/>
          <w:szCs w:val="18"/>
          <w:lang w:val="en-US"/>
        </w:rPr>
        <w:t>Methfessel</w:t>
      </w:r>
      <w:proofErr w:type="spellEnd"/>
      <w:r w:rsidRPr="00422962">
        <w:rPr>
          <w:rFonts w:ascii="Verdana" w:hAnsi="Verdana"/>
          <w:sz w:val="18"/>
          <w:szCs w:val="18"/>
          <w:lang w:val="en-US"/>
        </w:rPr>
        <w:t>-Paxton smearing with a broadening width (σ) of 0.1 eV.</w:t>
      </w:r>
    </w:p>
    <w:p w14:paraId="403E5258" w14:textId="77777777" w:rsidR="009C51A7" w:rsidRPr="009C51A7" w:rsidRDefault="009C51A7" w:rsidP="009C51A7">
      <w:pPr>
        <w:rPr>
          <w:rFonts w:ascii="Verdana" w:hAnsi="Verdana"/>
          <w:b/>
          <w:bCs/>
          <w:sz w:val="18"/>
          <w:szCs w:val="18"/>
          <w:lang w:val="en-US"/>
        </w:rPr>
      </w:pPr>
      <w:r w:rsidRPr="009C51A7">
        <w:rPr>
          <w:rFonts w:ascii="Verdana" w:hAnsi="Verdana"/>
          <w:b/>
          <w:bCs/>
          <w:sz w:val="18"/>
          <w:szCs w:val="18"/>
          <w:lang w:val="en-US"/>
        </w:rPr>
        <w:t>Convergence Tests</w:t>
      </w:r>
    </w:p>
    <w:p w14:paraId="31E9D41C" w14:textId="208F1A6F" w:rsidR="009C51A7" w:rsidRPr="009C51A7" w:rsidRDefault="009C51A7" w:rsidP="009C51A7">
      <w:pPr>
        <w:rPr>
          <w:rFonts w:ascii="Verdana" w:hAnsi="Verdana"/>
          <w:sz w:val="18"/>
          <w:szCs w:val="18"/>
          <w:lang w:val="en-US"/>
        </w:rPr>
      </w:pPr>
      <w:r w:rsidRPr="009C51A7">
        <w:rPr>
          <w:rFonts w:ascii="Verdana" w:hAnsi="Verdana"/>
          <w:sz w:val="18"/>
          <w:szCs w:val="18"/>
          <w:lang w:val="en-US"/>
        </w:rPr>
        <w:t>The plane-wave energy cutoff (</w:t>
      </w:r>
      <w:r w:rsidR="00422962" w:rsidRPr="00422962">
        <w:rPr>
          <w:rFonts w:ascii="Verdana" w:hAnsi="Verdana"/>
          <w:sz w:val="18"/>
          <w:szCs w:val="18"/>
          <w:lang w:val="en-US"/>
        </w:rPr>
        <w:t>ENCUT</w:t>
      </w:r>
      <w:r w:rsidRPr="009C51A7">
        <w:rPr>
          <w:rFonts w:ascii="Verdana" w:hAnsi="Verdana"/>
          <w:sz w:val="18"/>
          <w:szCs w:val="18"/>
          <w:lang w:val="en-US"/>
        </w:rPr>
        <w:t>) and the k-point mesh density were selected based on systematic convergence tests performed on the FCC supercell</w:t>
      </w:r>
      <w:r w:rsidR="00422962">
        <w:rPr>
          <w:rFonts w:ascii="Verdana" w:hAnsi="Verdana"/>
          <w:sz w:val="18"/>
          <w:szCs w:val="18"/>
          <w:lang w:val="en-US"/>
        </w:rPr>
        <w:t xml:space="preserve"> containing 216 atoms</w:t>
      </w:r>
      <w:r w:rsidRPr="009C51A7">
        <w:rPr>
          <w:rFonts w:ascii="Verdana" w:hAnsi="Verdana"/>
          <w:sz w:val="18"/>
          <w:szCs w:val="18"/>
          <w:lang w:val="en-US"/>
        </w:rPr>
        <w:t>.</w:t>
      </w:r>
    </w:p>
    <w:p w14:paraId="727AFD5A" w14:textId="022D305B" w:rsidR="009C51A7" w:rsidRPr="009C51A7" w:rsidRDefault="009C51A7" w:rsidP="009C51A7">
      <w:pPr>
        <w:rPr>
          <w:rFonts w:ascii="Verdana" w:hAnsi="Verdana"/>
          <w:sz w:val="18"/>
          <w:szCs w:val="18"/>
          <w:lang w:val="en-US"/>
        </w:rPr>
      </w:pPr>
      <w:r w:rsidRPr="009C51A7">
        <w:rPr>
          <w:rFonts w:ascii="Verdana" w:hAnsi="Verdana"/>
          <w:sz w:val="18"/>
          <w:szCs w:val="18"/>
          <w:lang w:val="en-US"/>
        </w:rPr>
        <w:t xml:space="preserve">1. Energy Cutoff </w:t>
      </w:r>
      <w:r w:rsidR="00422962" w:rsidRPr="00422962">
        <w:rPr>
          <w:rFonts w:ascii="Verdana" w:hAnsi="Verdana"/>
          <w:sz w:val="18"/>
          <w:szCs w:val="18"/>
          <w:lang w:val="en-US"/>
        </w:rPr>
        <w:t>(ENCUT)</w:t>
      </w:r>
    </w:p>
    <w:p w14:paraId="735654F6" w14:textId="14D855BE" w:rsidR="009C51A7" w:rsidRPr="009C51A7" w:rsidRDefault="009C51A7" w:rsidP="00422962">
      <w:pPr>
        <w:jc w:val="both"/>
        <w:rPr>
          <w:rFonts w:ascii="Verdana" w:hAnsi="Verdana"/>
          <w:sz w:val="18"/>
          <w:szCs w:val="18"/>
          <w:lang w:val="en-US"/>
        </w:rPr>
      </w:pPr>
      <w:r w:rsidRPr="009C51A7">
        <w:rPr>
          <w:rFonts w:ascii="Verdana" w:hAnsi="Verdana"/>
          <w:sz w:val="18"/>
          <w:szCs w:val="18"/>
          <w:lang w:val="en-US"/>
        </w:rPr>
        <w:t xml:space="preserve">Table S1 summarizes the total energy convergence as a function of the cutoff energy. We calculated the energy difference per atom </w:t>
      </w:r>
      <w:r w:rsidR="00422962">
        <w:rPr>
          <w:rFonts w:ascii="Verdana" w:hAnsi="Verdana"/>
          <w:sz w:val="18"/>
          <w:szCs w:val="18"/>
          <w:lang w:val="en-US"/>
        </w:rPr>
        <w:t>(</w:t>
      </w:r>
      <w:r w:rsidR="00422962" w:rsidRPr="000C4590">
        <w:rPr>
          <w:rFonts w:ascii="Verdana" w:eastAsia="Times New Roman" w:hAnsi="Verdana" w:cs="Times New Roman"/>
          <w:color w:val="000000"/>
          <w:sz w:val="18"/>
          <w:szCs w:val="18"/>
          <w:lang w:eastAsia="pt-BR"/>
        </w:rPr>
        <w:t>Δ</w:t>
      </w:r>
      <w:r w:rsidR="00422962" w:rsidRPr="000C4590">
        <w:rPr>
          <w:rFonts w:ascii="Verdana" w:eastAsia="Times New Roman" w:hAnsi="Verdana" w:cs="Times New Roman"/>
          <w:color w:val="000000"/>
          <w:sz w:val="18"/>
          <w:szCs w:val="18"/>
          <w:lang w:val="en-US" w:eastAsia="pt-BR"/>
        </w:rPr>
        <w:t>E</w:t>
      </w:r>
      <w:r w:rsidR="00422962">
        <w:rPr>
          <w:rFonts w:ascii="Verdana" w:eastAsia="Times New Roman" w:hAnsi="Verdana" w:cs="Times New Roman"/>
          <w:color w:val="000000"/>
          <w:sz w:val="18"/>
          <w:szCs w:val="18"/>
          <w:lang w:val="en-US" w:eastAsia="pt-BR"/>
        </w:rPr>
        <w:t>)</w:t>
      </w:r>
      <w:r w:rsidRPr="009C51A7">
        <w:rPr>
          <w:rFonts w:ascii="Verdana" w:hAnsi="Verdana"/>
          <w:sz w:val="18"/>
          <w:szCs w:val="18"/>
          <w:lang w:val="en-US"/>
        </w:rPr>
        <w:t xml:space="preserve"> relative to the value obtained at 500 eV.</w:t>
      </w:r>
    </w:p>
    <w:p w14:paraId="1ECD9732" w14:textId="77777777" w:rsidR="009C51A7" w:rsidRPr="00422962" w:rsidRDefault="009C51A7" w:rsidP="00D55871">
      <w:pPr>
        <w:rPr>
          <w:rFonts w:ascii="Verdana" w:hAnsi="Verdana"/>
          <w:sz w:val="18"/>
          <w:szCs w:val="18"/>
          <w:lang w:val="en-US"/>
        </w:rPr>
      </w:pPr>
    </w:p>
    <w:p w14:paraId="33A75791" w14:textId="0B2ECAC0" w:rsidR="009C51A7" w:rsidRPr="009C51A7" w:rsidRDefault="009C51A7" w:rsidP="009C51A7">
      <w:pPr>
        <w:rPr>
          <w:rFonts w:ascii="Verdana" w:hAnsi="Verdana"/>
          <w:sz w:val="18"/>
          <w:szCs w:val="18"/>
          <w:lang w:val="en-US"/>
        </w:rPr>
      </w:pPr>
      <w:r w:rsidRPr="009C51A7">
        <w:rPr>
          <w:rFonts w:ascii="Verdana" w:hAnsi="Verdana"/>
          <w:sz w:val="18"/>
          <w:szCs w:val="18"/>
          <w:lang w:val="en-US"/>
        </w:rPr>
        <w:t xml:space="preserve">Table S1. Convergence of total energy with respect to the plane-wave energy cutoff </w:t>
      </w:r>
      <w:r w:rsidR="00422962" w:rsidRPr="00422962">
        <w:rPr>
          <w:rFonts w:ascii="Verdana" w:hAnsi="Verdana"/>
          <w:sz w:val="18"/>
          <w:szCs w:val="18"/>
          <w:lang w:val="en-US"/>
        </w:rPr>
        <w:t>(ENCUT)</w:t>
      </w:r>
    </w:p>
    <w:tbl>
      <w:tblPr>
        <w:tblW w:w="4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4"/>
        <w:gridCol w:w="1854"/>
        <w:gridCol w:w="1577"/>
      </w:tblGrid>
      <w:tr w:rsidR="00422962" w:rsidRPr="00422962" w14:paraId="1A928A92" w14:textId="77777777" w:rsidTr="00422962">
        <w:trPr>
          <w:trHeight w:val="300"/>
        </w:trPr>
        <w:tc>
          <w:tcPr>
            <w:tcW w:w="1274" w:type="dxa"/>
            <w:shd w:val="clear" w:color="000000" w:fill="FFFFFF"/>
            <w:noWrap/>
            <w:vAlign w:val="bottom"/>
            <w:hideMark/>
          </w:tcPr>
          <w:p w14:paraId="7EEFA666" w14:textId="77777777" w:rsidR="00422962" w:rsidRPr="000C4590" w:rsidRDefault="00422962" w:rsidP="000C4590">
            <w:pPr>
              <w:spacing w:after="0" w:line="240" w:lineRule="auto"/>
              <w:rPr>
                <w:rFonts w:ascii="Verdana" w:eastAsia="Times New Roman" w:hAnsi="Verdana" w:cs="Times New Roman"/>
                <w:color w:val="000000"/>
                <w:sz w:val="18"/>
                <w:szCs w:val="18"/>
                <w:lang w:eastAsia="pt-BR"/>
              </w:rPr>
            </w:pPr>
            <w:r w:rsidRPr="000C4590">
              <w:rPr>
                <w:rFonts w:ascii="Verdana" w:eastAsia="Times New Roman" w:hAnsi="Verdana" w:cs="Times New Roman"/>
                <w:color w:val="000000"/>
                <w:sz w:val="18"/>
                <w:szCs w:val="18"/>
                <w:lang w:eastAsia="pt-BR"/>
              </w:rPr>
              <w:t>ENCUT (</w:t>
            </w:r>
            <w:proofErr w:type="spellStart"/>
            <w:r w:rsidRPr="000C4590">
              <w:rPr>
                <w:rFonts w:ascii="Verdana" w:eastAsia="Times New Roman" w:hAnsi="Verdana" w:cs="Times New Roman"/>
                <w:color w:val="000000"/>
                <w:sz w:val="18"/>
                <w:szCs w:val="18"/>
                <w:lang w:eastAsia="pt-BR"/>
              </w:rPr>
              <w:t>eV</w:t>
            </w:r>
            <w:proofErr w:type="spellEnd"/>
            <w:r w:rsidRPr="000C4590">
              <w:rPr>
                <w:rFonts w:ascii="Verdana" w:eastAsia="Times New Roman" w:hAnsi="Verdana" w:cs="Times New Roman"/>
                <w:color w:val="000000"/>
                <w:sz w:val="18"/>
                <w:szCs w:val="18"/>
                <w:lang w:eastAsia="pt-BR"/>
              </w:rPr>
              <w:t>)</w:t>
            </w:r>
          </w:p>
        </w:tc>
        <w:tc>
          <w:tcPr>
            <w:tcW w:w="1854" w:type="dxa"/>
            <w:shd w:val="clear" w:color="000000" w:fill="FFFFFF"/>
            <w:noWrap/>
            <w:vAlign w:val="bottom"/>
            <w:hideMark/>
          </w:tcPr>
          <w:p w14:paraId="4ACF9DA1" w14:textId="01A0662C" w:rsidR="00422962" w:rsidRPr="000C4590" w:rsidRDefault="00422962" w:rsidP="000C4590">
            <w:pPr>
              <w:spacing w:after="0" w:line="240" w:lineRule="auto"/>
              <w:rPr>
                <w:rFonts w:ascii="Verdana" w:eastAsia="Times New Roman" w:hAnsi="Verdana" w:cs="Times New Roman"/>
                <w:color w:val="000000"/>
                <w:sz w:val="18"/>
                <w:szCs w:val="18"/>
                <w:lang w:eastAsia="pt-BR"/>
              </w:rPr>
            </w:pPr>
            <w:r w:rsidRPr="000C4590">
              <w:rPr>
                <w:rFonts w:ascii="Verdana" w:eastAsia="Times New Roman" w:hAnsi="Verdana" w:cs="Times New Roman"/>
                <w:color w:val="000000"/>
                <w:sz w:val="18"/>
                <w:szCs w:val="18"/>
                <w:lang w:eastAsia="pt-BR"/>
              </w:rPr>
              <w:t>Total Energy (</w:t>
            </w:r>
            <w:proofErr w:type="spellStart"/>
            <w:r w:rsidRPr="000C4590">
              <w:rPr>
                <w:rFonts w:ascii="Verdana" w:eastAsia="Times New Roman" w:hAnsi="Verdana" w:cs="Times New Roman"/>
                <w:color w:val="000000"/>
                <w:sz w:val="18"/>
                <w:szCs w:val="18"/>
                <w:lang w:eastAsia="pt-BR"/>
              </w:rPr>
              <w:t>eV</w:t>
            </w:r>
            <w:proofErr w:type="spellEnd"/>
            <w:r w:rsidRPr="000C4590">
              <w:rPr>
                <w:rFonts w:ascii="Verdana" w:eastAsia="Times New Roman" w:hAnsi="Verdana" w:cs="Times New Roman"/>
                <w:color w:val="000000"/>
                <w:sz w:val="18"/>
                <w:szCs w:val="18"/>
                <w:lang w:eastAsia="pt-BR"/>
              </w:rPr>
              <w:t>)</w:t>
            </w:r>
          </w:p>
        </w:tc>
        <w:tc>
          <w:tcPr>
            <w:tcW w:w="1577" w:type="dxa"/>
            <w:shd w:val="clear" w:color="000000" w:fill="FFFFFF"/>
            <w:noWrap/>
            <w:vAlign w:val="bottom"/>
            <w:hideMark/>
          </w:tcPr>
          <w:p w14:paraId="19DEFCBC" w14:textId="77777777" w:rsidR="00422962" w:rsidRPr="000C4590" w:rsidRDefault="00422962" w:rsidP="000C4590">
            <w:pPr>
              <w:spacing w:after="0" w:line="240" w:lineRule="auto"/>
              <w:rPr>
                <w:rFonts w:ascii="Verdana" w:eastAsia="Times New Roman" w:hAnsi="Verdana" w:cs="Times New Roman"/>
                <w:color w:val="000000"/>
                <w:sz w:val="18"/>
                <w:szCs w:val="18"/>
                <w:lang w:eastAsia="pt-BR"/>
              </w:rPr>
            </w:pPr>
            <w:r w:rsidRPr="000C4590">
              <w:rPr>
                <w:rFonts w:ascii="Verdana" w:eastAsia="Times New Roman" w:hAnsi="Verdana" w:cs="Times New Roman"/>
                <w:color w:val="000000"/>
                <w:sz w:val="18"/>
                <w:szCs w:val="18"/>
                <w:lang w:eastAsia="pt-BR"/>
              </w:rPr>
              <w:t>ΔE (</w:t>
            </w:r>
            <w:proofErr w:type="spellStart"/>
            <w:r w:rsidRPr="000C4590">
              <w:rPr>
                <w:rFonts w:ascii="Verdana" w:eastAsia="Times New Roman" w:hAnsi="Verdana" w:cs="Times New Roman"/>
                <w:color w:val="000000"/>
                <w:sz w:val="18"/>
                <w:szCs w:val="18"/>
                <w:lang w:eastAsia="pt-BR"/>
              </w:rPr>
              <w:t>meV</w:t>
            </w:r>
            <w:proofErr w:type="spellEnd"/>
            <w:r w:rsidRPr="000C4590">
              <w:rPr>
                <w:rFonts w:ascii="Verdana" w:eastAsia="Times New Roman" w:hAnsi="Verdana" w:cs="Times New Roman"/>
                <w:color w:val="000000"/>
                <w:sz w:val="18"/>
                <w:szCs w:val="18"/>
                <w:lang w:eastAsia="pt-BR"/>
              </w:rPr>
              <w:t>/</w:t>
            </w:r>
            <w:proofErr w:type="spellStart"/>
            <w:r w:rsidRPr="000C4590">
              <w:rPr>
                <w:rFonts w:ascii="Verdana" w:eastAsia="Times New Roman" w:hAnsi="Verdana" w:cs="Times New Roman"/>
                <w:color w:val="000000"/>
                <w:sz w:val="18"/>
                <w:szCs w:val="18"/>
                <w:lang w:eastAsia="pt-BR"/>
              </w:rPr>
              <w:t>atom</w:t>
            </w:r>
            <w:proofErr w:type="spellEnd"/>
            <w:r w:rsidRPr="000C4590">
              <w:rPr>
                <w:rFonts w:ascii="Verdana" w:eastAsia="Times New Roman" w:hAnsi="Verdana" w:cs="Times New Roman"/>
                <w:color w:val="000000"/>
                <w:sz w:val="18"/>
                <w:szCs w:val="18"/>
                <w:lang w:eastAsia="pt-BR"/>
              </w:rPr>
              <w:t>)</w:t>
            </w:r>
          </w:p>
        </w:tc>
      </w:tr>
      <w:tr w:rsidR="00422962" w:rsidRPr="00422962" w14:paraId="4B34D102" w14:textId="77777777" w:rsidTr="00422962">
        <w:trPr>
          <w:trHeight w:val="300"/>
        </w:trPr>
        <w:tc>
          <w:tcPr>
            <w:tcW w:w="1274" w:type="dxa"/>
            <w:shd w:val="clear" w:color="DAF2D0" w:fill="FFFFFF"/>
            <w:noWrap/>
            <w:vAlign w:val="bottom"/>
            <w:hideMark/>
          </w:tcPr>
          <w:p w14:paraId="02DAC774" w14:textId="77777777" w:rsidR="00422962" w:rsidRPr="000C4590" w:rsidRDefault="00422962" w:rsidP="000C4590">
            <w:pPr>
              <w:spacing w:after="0" w:line="240" w:lineRule="auto"/>
              <w:jc w:val="right"/>
              <w:rPr>
                <w:rFonts w:ascii="Verdana" w:eastAsia="Times New Roman" w:hAnsi="Verdana" w:cs="Times New Roman"/>
                <w:color w:val="000000"/>
                <w:sz w:val="18"/>
                <w:szCs w:val="18"/>
                <w:lang w:eastAsia="pt-BR"/>
              </w:rPr>
            </w:pPr>
            <w:r w:rsidRPr="000C4590">
              <w:rPr>
                <w:rFonts w:ascii="Verdana" w:eastAsia="Times New Roman" w:hAnsi="Verdana" w:cs="Times New Roman"/>
                <w:color w:val="000000"/>
                <w:sz w:val="18"/>
                <w:szCs w:val="18"/>
                <w:lang w:eastAsia="pt-BR"/>
              </w:rPr>
              <w:t>300</w:t>
            </w:r>
          </w:p>
        </w:tc>
        <w:tc>
          <w:tcPr>
            <w:tcW w:w="1854" w:type="dxa"/>
            <w:shd w:val="clear" w:color="DAF2D0" w:fill="FFFFFF"/>
            <w:noWrap/>
            <w:vAlign w:val="bottom"/>
            <w:hideMark/>
          </w:tcPr>
          <w:p w14:paraId="1E225A66" w14:textId="18A0CB24" w:rsidR="00422962" w:rsidRPr="000C4590" w:rsidRDefault="00422962" w:rsidP="000C4590">
            <w:pPr>
              <w:spacing w:after="0" w:line="240" w:lineRule="auto"/>
              <w:jc w:val="right"/>
              <w:rPr>
                <w:rFonts w:ascii="Verdana" w:eastAsia="Times New Roman" w:hAnsi="Verdana" w:cs="Times New Roman"/>
                <w:color w:val="000000"/>
                <w:sz w:val="18"/>
                <w:szCs w:val="18"/>
                <w:lang w:eastAsia="pt-BR"/>
              </w:rPr>
            </w:pPr>
            <w:r w:rsidRPr="000C4590">
              <w:rPr>
                <w:rFonts w:ascii="Verdana" w:eastAsia="Times New Roman" w:hAnsi="Verdana" w:cs="Times New Roman"/>
                <w:color w:val="000000"/>
                <w:sz w:val="18"/>
                <w:szCs w:val="18"/>
                <w:lang w:eastAsia="pt-BR"/>
              </w:rPr>
              <w:t>-1189.10</w:t>
            </w:r>
          </w:p>
        </w:tc>
        <w:tc>
          <w:tcPr>
            <w:tcW w:w="1577" w:type="dxa"/>
            <w:shd w:val="clear" w:color="000000" w:fill="FFFFFF"/>
            <w:noWrap/>
            <w:vAlign w:val="bottom"/>
            <w:hideMark/>
          </w:tcPr>
          <w:p w14:paraId="26F2C9CF" w14:textId="77777777" w:rsidR="00422962" w:rsidRPr="000C4590" w:rsidRDefault="00422962" w:rsidP="000C4590">
            <w:pPr>
              <w:spacing w:after="0" w:line="240" w:lineRule="auto"/>
              <w:jc w:val="right"/>
              <w:rPr>
                <w:rFonts w:ascii="Verdana" w:eastAsia="Times New Roman" w:hAnsi="Verdana" w:cs="Times New Roman"/>
                <w:color w:val="000000"/>
                <w:sz w:val="18"/>
                <w:szCs w:val="18"/>
                <w:lang w:eastAsia="pt-BR"/>
              </w:rPr>
            </w:pPr>
            <w:r w:rsidRPr="000C4590">
              <w:rPr>
                <w:rFonts w:ascii="Verdana" w:eastAsia="Times New Roman" w:hAnsi="Verdana" w:cs="Times New Roman"/>
                <w:color w:val="000000"/>
                <w:sz w:val="18"/>
                <w:szCs w:val="18"/>
                <w:lang w:eastAsia="pt-BR"/>
              </w:rPr>
              <w:t>4.01</w:t>
            </w:r>
          </w:p>
        </w:tc>
      </w:tr>
      <w:tr w:rsidR="00422962" w:rsidRPr="00422962" w14:paraId="30ECD123" w14:textId="77777777" w:rsidTr="00422962">
        <w:trPr>
          <w:trHeight w:val="300"/>
        </w:trPr>
        <w:tc>
          <w:tcPr>
            <w:tcW w:w="1274" w:type="dxa"/>
            <w:shd w:val="clear" w:color="000000" w:fill="FFFFFF"/>
            <w:noWrap/>
            <w:vAlign w:val="bottom"/>
            <w:hideMark/>
          </w:tcPr>
          <w:p w14:paraId="44430627" w14:textId="77777777" w:rsidR="00422962" w:rsidRPr="000C4590" w:rsidRDefault="00422962" w:rsidP="000C4590">
            <w:pPr>
              <w:spacing w:after="0" w:line="240" w:lineRule="auto"/>
              <w:jc w:val="right"/>
              <w:rPr>
                <w:rFonts w:ascii="Verdana" w:eastAsia="Times New Roman" w:hAnsi="Verdana" w:cs="Times New Roman"/>
                <w:color w:val="000000"/>
                <w:sz w:val="18"/>
                <w:szCs w:val="18"/>
                <w:lang w:eastAsia="pt-BR"/>
              </w:rPr>
            </w:pPr>
            <w:r w:rsidRPr="000C4590">
              <w:rPr>
                <w:rFonts w:ascii="Verdana" w:eastAsia="Times New Roman" w:hAnsi="Verdana" w:cs="Times New Roman"/>
                <w:color w:val="000000"/>
                <w:sz w:val="18"/>
                <w:szCs w:val="18"/>
                <w:lang w:eastAsia="pt-BR"/>
              </w:rPr>
              <w:t>350</w:t>
            </w:r>
          </w:p>
        </w:tc>
        <w:tc>
          <w:tcPr>
            <w:tcW w:w="1854" w:type="dxa"/>
            <w:shd w:val="clear" w:color="000000" w:fill="FFFFFF"/>
            <w:noWrap/>
            <w:vAlign w:val="bottom"/>
            <w:hideMark/>
          </w:tcPr>
          <w:p w14:paraId="5A4FEA7F" w14:textId="22B1FE31" w:rsidR="00422962" w:rsidRPr="000C4590" w:rsidRDefault="00422962" w:rsidP="000C4590">
            <w:pPr>
              <w:spacing w:after="0" w:line="240" w:lineRule="auto"/>
              <w:jc w:val="right"/>
              <w:rPr>
                <w:rFonts w:ascii="Verdana" w:eastAsia="Times New Roman" w:hAnsi="Verdana" w:cs="Times New Roman"/>
                <w:color w:val="000000"/>
                <w:sz w:val="18"/>
                <w:szCs w:val="18"/>
                <w:lang w:eastAsia="pt-BR"/>
              </w:rPr>
            </w:pPr>
            <w:r w:rsidRPr="000C4590">
              <w:rPr>
                <w:rFonts w:ascii="Verdana" w:eastAsia="Times New Roman" w:hAnsi="Verdana" w:cs="Times New Roman"/>
                <w:color w:val="000000"/>
                <w:sz w:val="18"/>
                <w:szCs w:val="18"/>
                <w:lang w:eastAsia="pt-BR"/>
              </w:rPr>
              <w:t>-1188.24</w:t>
            </w:r>
          </w:p>
        </w:tc>
        <w:tc>
          <w:tcPr>
            <w:tcW w:w="1577" w:type="dxa"/>
            <w:shd w:val="clear" w:color="000000" w:fill="FFFFFF"/>
            <w:noWrap/>
            <w:vAlign w:val="bottom"/>
            <w:hideMark/>
          </w:tcPr>
          <w:p w14:paraId="46E3EC4B" w14:textId="77777777" w:rsidR="00422962" w:rsidRPr="000C4590" w:rsidRDefault="00422962" w:rsidP="000C4590">
            <w:pPr>
              <w:spacing w:after="0" w:line="240" w:lineRule="auto"/>
              <w:jc w:val="right"/>
              <w:rPr>
                <w:rFonts w:ascii="Verdana" w:eastAsia="Times New Roman" w:hAnsi="Verdana" w:cs="Times New Roman"/>
                <w:color w:val="000000"/>
                <w:sz w:val="18"/>
                <w:szCs w:val="18"/>
                <w:lang w:eastAsia="pt-BR"/>
              </w:rPr>
            </w:pPr>
            <w:r w:rsidRPr="000C4590">
              <w:rPr>
                <w:rFonts w:ascii="Verdana" w:eastAsia="Times New Roman" w:hAnsi="Verdana" w:cs="Times New Roman"/>
                <w:color w:val="000000"/>
                <w:sz w:val="18"/>
                <w:szCs w:val="18"/>
                <w:lang w:eastAsia="pt-BR"/>
              </w:rPr>
              <w:t>4.94</w:t>
            </w:r>
          </w:p>
        </w:tc>
      </w:tr>
      <w:tr w:rsidR="00422962" w:rsidRPr="00422962" w14:paraId="2C049E11" w14:textId="77777777" w:rsidTr="00422962">
        <w:trPr>
          <w:trHeight w:val="300"/>
        </w:trPr>
        <w:tc>
          <w:tcPr>
            <w:tcW w:w="1274" w:type="dxa"/>
            <w:shd w:val="clear" w:color="DAF2D0" w:fill="FFFFFF"/>
            <w:noWrap/>
            <w:vAlign w:val="bottom"/>
            <w:hideMark/>
          </w:tcPr>
          <w:p w14:paraId="08200808" w14:textId="77777777" w:rsidR="00422962" w:rsidRPr="000C4590" w:rsidRDefault="00422962" w:rsidP="000C4590">
            <w:pPr>
              <w:spacing w:after="0" w:line="240" w:lineRule="auto"/>
              <w:jc w:val="right"/>
              <w:rPr>
                <w:rFonts w:ascii="Verdana" w:eastAsia="Times New Roman" w:hAnsi="Verdana" w:cs="Times New Roman"/>
                <w:color w:val="000000"/>
                <w:sz w:val="18"/>
                <w:szCs w:val="18"/>
                <w:lang w:eastAsia="pt-BR"/>
              </w:rPr>
            </w:pPr>
            <w:r w:rsidRPr="000C4590">
              <w:rPr>
                <w:rFonts w:ascii="Verdana" w:eastAsia="Times New Roman" w:hAnsi="Verdana" w:cs="Times New Roman"/>
                <w:color w:val="000000"/>
                <w:sz w:val="18"/>
                <w:szCs w:val="18"/>
                <w:lang w:eastAsia="pt-BR"/>
              </w:rPr>
              <w:t>400</w:t>
            </w:r>
          </w:p>
        </w:tc>
        <w:tc>
          <w:tcPr>
            <w:tcW w:w="1854" w:type="dxa"/>
            <w:shd w:val="clear" w:color="DAF2D0" w:fill="FFFFFF"/>
            <w:noWrap/>
            <w:vAlign w:val="bottom"/>
            <w:hideMark/>
          </w:tcPr>
          <w:p w14:paraId="4FE0C5FD" w14:textId="147E5480" w:rsidR="00422962" w:rsidRPr="000C4590" w:rsidRDefault="00422962" w:rsidP="000C4590">
            <w:pPr>
              <w:spacing w:after="0" w:line="240" w:lineRule="auto"/>
              <w:jc w:val="right"/>
              <w:rPr>
                <w:rFonts w:ascii="Verdana" w:eastAsia="Times New Roman" w:hAnsi="Verdana" w:cs="Times New Roman"/>
                <w:color w:val="000000"/>
                <w:sz w:val="18"/>
                <w:szCs w:val="18"/>
                <w:lang w:eastAsia="pt-BR"/>
              </w:rPr>
            </w:pPr>
            <w:r w:rsidRPr="000C4590">
              <w:rPr>
                <w:rFonts w:ascii="Verdana" w:eastAsia="Times New Roman" w:hAnsi="Verdana" w:cs="Times New Roman"/>
                <w:color w:val="000000"/>
                <w:sz w:val="18"/>
                <w:szCs w:val="18"/>
                <w:lang w:eastAsia="pt-BR"/>
              </w:rPr>
              <w:t>-1187.17</w:t>
            </w:r>
          </w:p>
        </w:tc>
        <w:tc>
          <w:tcPr>
            <w:tcW w:w="1577" w:type="dxa"/>
            <w:shd w:val="clear" w:color="000000" w:fill="FFFFFF"/>
            <w:noWrap/>
            <w:vAlign w:val="bottom"/>
            <w:hideMark/>
          </w:tcPr>
          <w:p w14:paraId="7D1865C1" w14:textId="77777777" w:rsidR="00422962" w:rsidRPr="000C4590" w:rsidRDefault="00422962" w:rsidP="000C4590">
            <w:pPr>
              <w:spacing w:after="0" w:line="240" w:lineRule="auto"/>
              <w:jc w:val="right"/>
              <w:rPr>
                <w:rFonts w:ascii="Verdana" w:eastAsia="Times New Roman" w:hAnsi="Verdana" w:cs="Times New Roman"/>
                <w:color w:val="000000"/>
                <w:sz w:val="18"/>
                <w:szCs w:val="18"/>
                <w:lang w:eastAsia="pt-BR"/>
              </w:rPr>
            </w:pPr>
            <w:r w:rsidRPr="000C4590">
              <w:rPr>
                <w:rFonts w:ascii="Verdana" w:eastAsia="Times New Roman" w:hAnsi="Verdana" w:cs="Times New Roman"/>
                <w:color w:val="000000"/>
                <w:sz w:val="18"/>
                <w:szCs w:val="18"/>
                <w:lang w:eastAsia="pt-BR"/>
              </w:rPr>
              <w:t>1.67</w:t>
            </w:r>
          </w:p>
        </w:tc>
      </w:tr>
      <w:tr w:rsidR="00422962" w:rsidRPr="00422962" w14:paraId="1B990EB9" w14:textId="77777777" w:rsidTr="00422962">
        <w:trPr>
          <w:trHeight w:val="300"/>
        </w:trPr>
        <w:tc>
          <w:tcPr>
            <w:tcW w:w="1274" w:type="dxa"/>
            <w:shd w:val="clear" w:color="000000" w:fill="FFFFFF"/>
            <w:noWrap/>
            <w:vAlign w:val="bottom"/>
            <w:hideMark/>
          </w:tcPr>
          <w:p w14:paraId="4830BCE1" w14:textId="77777777" w:rsidR="00422962" w:rsidRPr="000C4590" w:rsidRDefault="00422962" w:rsidP="000C4590">
            <w:pPr>
              <w:spacing w:after="0" w:line="240" w:lineRule="auto"/>
              <w:jc w:val="right"/>
              <w:rPr>
                <w:rFonts w:ascii="Verdana" w:eastAsia="Times New Roman" w:hAnsi="Verdana" w:cs="Times New Roman"/>
                <w:b/>
                <w:bCs/>
                <w:color w:val="000000"/>
                <w:sz w:val="18"/>
                <w:szCs w:val="18"/>
                <w:lang w:eastAsia="pt-BR"/>
              </w:rPr>
            </w:pPr>
            <w:r w:rsidRPr="000C4590">
              <w:rPr>
                <w:rFonts w:ascii="Verdana" w:eastAsia="Times New Roman" w:hAnsi="Verdana" w:cs="Times New Roman"/>
                <w:b/>
                <w:bCs/>
                <w:color w:val="000000"/>
                <w:sz w:val="18"/>
                <w:szCs w:val="18"/>
                <w:lang w:eastAsia="pt-BR"/>
              </w:rPr>
              <w:t>450</w:t>
            </w:r>
          </w:p>
        </w:tc>
        <w:tc>
          <w:tcPr>
            <w:tcW w:w="1854" w:type="dxa"/>
            <w:shd w:val="clear" w:color="000000" w:fill="FFFFFF"/>
            <w:noWrap/>
            <w:vAlign w:val="bottom"/>
            <w:hideMark/>
          </w:tcPr>
          <w:p w14:paraId="10CAE141" w14:textId="3A9A1FE3" w:rsidR="00422962" w:rsidRPr="000C4590" w:rsidRDefault="00422962" w:rsidP="000C4590">
            <w:pPr>
              <w:spacing w:after="0" w:line="240" w:lineRule="auto"/>
              <w:jc w:val="right"/>
              <w:rPr>
                <w:rFonts w:ascii="Verdana" w:eastAsia="Times New Roman" w:hAnsi="Verdana" w:cs="Times New Roman"/>
                <w:b/>
                <w:bCs/>
                <w:color w:val="000000"/>
                <w:sz w:val="18"/>
                <w:szCs w:val="18"/>
                <w:lang w:eastAsia="pt-BR"/>
              </w:rPr>
            </w:pPr>
            <w:r w:rsidRPr="000C4590">
              <w:rPr>
                <w:rFonts w:ascii="Verdana" w:eastAsia="Times New Roman" w:hAnsi="Verdana" w:cs="Times New Roman"/>
                <w:b/>
                <w:bCs/>
                <w:color w:val="000000"/>
                <w:sz w:val="18"/>
                <w:szCs w:val="18"/>
                <w:lang w:eastAsia="pt-BR"/>
              </w:rPr>
              <w:t>-1186.81</w:t>
            </w:r>
          </w:p>
        </w:tc>
        <w:tc>
          <w:tcPr>
            <w:tcW w:w="1577" w:type="dxa"/>
            <w:shd w:val="clear" w:color="000000" w:fill="FFFFFF"/>
            <w:noWrap/>
            <w:vAlign w:val="bottom"/>
            <w:hideMark/>
          </w:tcPr>
          <w:p w14:paraId="5230221A" w14:textId="77777777" w:rsidR="00422962" w:rsidRPr="000C4590" w:rsidRDefault="00422962" w:rsidP="000C4590">
            <w:pPr>
              <w:spacing w:after="0" w:line="240" w:lineRule="auto"/>
              <w:jc w:val="right"/>
              <w:rPr>
                <w:rFonts w:ascii="Verdana" w:eastAsia="Times New Roman" w:hAnsi="Verdana" w:cs="Times New Roman"/>
                <w:b/>
                <w:bCs/>
                <w:color w:val="000000"/>
                <w:sz w:val="18"/>
                <w:szCs w:val="18"/>
                <w:lang w:eastAsia="pt-BR"/>
              </w:rPr>
            </w:pPr>
            <w:r w:rsidRPr="000C4590">
              <w:rPr>
                <w:rFonts w:ascii="Verdana" w:eastAsia="Times New Roman" w:hAnsi="Verdana" w:cs="Times New Roman"/>
                <w:b/>
                <w:bCs/>
                <w:color w:val="000000"/>
                <w:sz w:val="18"/>
                <w:szCs w:val="18"/>
                <w:lang w:eastAsia="pt-BR"/>
              </w:rPr>
              <w:t>0.10</w:t>
            </w:r>
          </w:p>
        </w:tc>
      </w:tr>
      <w:tr w:rsidR="00422962" w:rsidRPr="00422962" w14:paraId="4087B344" w14:textId="77777777" w:rsidTr="00422962">
        <w:trPr>
          <w:trHeight w:val="300"/>
        </w:trPr>
        <w:tc>
          <w:tcPr>
            <w:tcW w:w="1274" w:type="dxa"/>
            <w:shd w:val="clear" w:color="DAF2D0" w:fill="FFFFFF"/>
            <w:noWrap/>
            <w:vAlign w:val="bottom"/>
            <w:hideMark/>
          </w:tcPr>
          <w:p w14:paraId="59D6896D" w14:textId="77777777" w:rsidR="00422962" w:rsidRPr="000C4590" w:rsidRDefault="00422962" w:rsidP="000C4590">
            <w:pPr>
              <w:spacing w:after="0" w:line="240" w:lineRule="auto"/>
              <w:jc w:val="right"/>
              <w:rPr>
                <w:rFonts w:ascii="Verdana" w:eastAsia="Times New Roman" w:hAnsi="Verdana" w:cs="Times New Roman"/>
                <w:color w:val="000000"/>
                <w:sz w:val="18"/>
                <w:szCs w:val="18"/>
                <w:lang w:eastAsia="pt-BR"/>
              </w:rPr>
            </w:pPr>
            <w:r w:rsidRPr="000C4590">
              <w:rPr>
                <w:rFonts w:ascii="Verdana" w:eastAsia="Times New Roman" w:hAnsi="Verdana" w:cs="Times New Roman"/>
                <w:color w:val="000000"/>
                <w:sz w:val="18"/>
                <w:szCs w:val="18"/>
                <w:lang w:eastAsia="pt-BR"/>
              </w:rPr>
              <w:t>500</w:t>
            </w:r>
          </w:p>
        </w:tc>
        <w:tc>
          <w:tcPr>
            <w:tcW w:w="1854" w:type="dxa"/>
            <w:shd w:val="clear" w:color="DAF2D0" w:fill="FFFFFF"/>
            <w:noWrap/>
            <w:vAlign w:val="bottom"/>
            <w:hideMark/>
          </w:tcPr>
          <w:p w14:paraId="1662F99C" w14:textId="5B5A91A1" w:rsidR="00422962" w:rsidRPr="000C4590" w:rsidRDefault="00422962" w:rsidP="000C4590">
            <w:pPr>
              <w:spacing w:after="0" w:line="240" w:lineRule="auto"/>
              <w:jc w:val="right"/>
              <w:rPr>
                <w:rFonts w:ascii="Verdana" w:eastAsia="Times New Roman" w:hAnsi="Verdana" w:cs="Times New Roman"/>
                <w:color w:val="000000"/>
                <w:sz w:val="18"/>
                <w:szCs w:val="18"/>
                <w:lang w:eastAsia="pt-BR"/>
              </w:rPr>
            </w:pPr>
            <w:r w:rsidRPr="000C4590">
              <w:rPr>
                <w:rFonts w:ascii="Verdana" w:eastAsia="Times New Roman" w:hAnsi="Verdana" w:cs="Times New Roman"/>
                <w:color w:val="000000"/>
                <w:sz w:val="18"/>
                <w:szCs w:val="18"/>
                <w:lang w:eastAsia="pt-BR"/>
              </w:rPr>
              <w:t>-1186.78</w:t>
            </w:r>
          </w:p>
        </w:tc>
        <w:tc>
          <w:tcPr>
            <w:tcW w:w="1577" w:type="dxa"/>
            <w:shd w:val="clear" w:color="DAF2D0" w:fill="FFFFFF"/>
            <w:noWrap/>
            <w:vAlign w:val="bottom"/>
            <w:hideMark/>
          </w:tcPr>
          <w:p w14:paraId="6E0E956F" w14:textId="77777777" w:rsidR="00422962" w:rsidRPr="000C4590" w:rsidRDefault="00422962" w:rsidP="000C4590">
            <w:pPr>
              <w:spacing w:after="0" w:line="240" w:lineRule="auto"/>
              <w:jc w:val="right"/>
              <w:rPr>
                <w:rFonts w:ascii="Verdana" w:eastAsia="Times New Roman" w:hAnsi="Verdana" w:cs="Times New Roman"/>
                <w:color w:val="000000"/>
                <w:sz w:val="18"/>
                <w:szCs w:val="18"/>
                <w:lang w:eastAsia="pt-BR"/>
              </w:rPr>
            </w:pPr>
            <w:r w:rsidRPr="000C4590">
              <w:rPr>
                <w:rFonts w:ascii="Verdana" w:eastAsia="Times New Roman" w:hAnsi="Verdana" w:cs="Times New Roman"/>
                <w:color w:val="000000"/>
                <w:sz w:val="18"/>
                <w:szCs w:val="18"/>
                <w:lang w:eastAsia="pt-BR"/>
              </w:rPr>
              <w:t>0</w:t>
            </w:r>
          </w:p>
        </w:tc>
      </w:tr>
    </w:tbl>
    <w:p w14:paraId="5F50704C" w14:textId="77777777" w:rsidR="000C4590" w:rsidRPr="00422962" w:rsidRDefault="000C4590" w:rsidP="00D55871">
      <w:pPr>
        <w:rPr>
          <w:rFonts w:ascii="Verdana" w:hAnsi="Verdana"/>
          <w:sz w:val="18"/>
          <w:szCs w:val="18"/>
          <w:lang w:val="en-US"/>
        </w:rPr>
      </w:pPr>
    </w:p>
    <w:p w14:paraId="54E9256A" w14:textId="22EE2290" w:rsidR="000C4590" w:rsidRPr="00422962" w:rsidRDefault="009C51A7" w:rsidP="00422962">
      <w:pPr>
        <w:jc w:val="both"/>
        <w:rPr>
          <w:rFonts w:ascii="Verdana" w:hAnsi="Verdana"/>
          <w:sz w:val="18"/>
          <w:szCs w:val="18"/>
          <w:lang w:val="en-US"/>
        </w:rPr>
      </w:pPr>
      <w:r w:rsidRPr="00422962">
        <w:rPr>
          <w:rFonts w:ascii="Verdana" w:hAnsi="Verdana"/>
          <w:sz w:val="18"/>
          <w:szCs w:val="18"/>
          <w:lang w:val="en-US"/>
        </w:rPr>
        <w:t xml:space="preserve">As shown in Table S1, increasing the cutoff from 450 eV to 500 eV results in a negligible energy change of only 0.10 </w:t>
      </w:r>
      <w:proofErr w:type="spellStart"/>
      <w:r w:rsidRPr="00422962">
        <w:rPr>
          <w:rFonts w:ascii="Verdana" w:hAnsi="Verdana"/>
          <w:sz w:val="18"/>
          <w:szCs w:val="18"/>
          <w:lang w:val="en-US"/>
        </w:rPr>
        <w:t>meV</w:t>
      </w:r>
      <w:proofErr w:type="spellEnd"/>
      <w:r w:rsidRPr="00422962">
        <w:rPr>
          <w:rFonts w:ascii="Verdana" w:hAnsi="Verdana"/>
          <w:sz w:val="18"/>
          <w:szCs w:val="18"/>
          <w:lang w:val="en-US"/>
        </w:rPr>
        <w:t xml:space="preserve">/atom. Consequently, 450 eV was chosen as it provides accuracy well within the desired chemical precision (&lt; 1 </w:t>
      </w:r>
      <w:proofErr w:type="spellStart"/>
      <w:r w:rsidRPr="00422962">
        <w:rPr>
          <w:rFonts w:ascii="Verdana" w:hAnsi="Verdana"/>
          <w:sz w:val="18"/>
          <w:szCs w:val="18"/>
          <w:lang w:val="en-US"/>
        </w:rPr>
        <w:t>meV</w:t>
      </w:r>
      <w:proofErr w:type="spellEnd"/>
      <w:r w:rsidRPr="00422962">
        <w:rPr>
          <w:rFonts w:ascii="Verdana" w:hAnsi="Verdana"/>
          <w:sz w:val="18"/>
          <w:szCs w:val="18"/>
          <w:lang w:val="en-US"/>
        </w:rPr>
        <w:t>/atom) while maintaining computational efficiency.</w:t>
      </w:r>
    </w:p>
    <w:p w14:paraId="4C875B80" w14:textId="77777777" w:rsidR="00694A04" w:rsidRPr="00694A04" w:rsidRDefault="009C51A7" w:rsidP="009C51A7">
      <w:pPr>
        <w:rPr>
          <w:rFonts w:ascii="Verdana" w:hAnsi="Verdana"/>
          <w:sz w:val="18"/>
          <w:szCs w:val="18"/>
          <w:lang w:val="en-US"/>
        </w:rPr>
      </w:pPr>
      <w:r w:rsidRPr="009C51A7">
        <w:rPr>
          <w:rFonts w:ascii="Verdana" w:hAnsi="Verdana"/>
          <w:sz w:val="18"/>
          <w:szCs w:val="18"/>
          <w:lang w:val="en-US"/>
        </w:rPr>
        <w:t xml:space="preserve">2. K-Point Sampling </w:t>
      </w:r>
    </w:p>
    <w:p w14:paraId="0C00FC01" w14:textId="2F1D12B8" w:rsidR="009C51A7" w:rsidRPr="009C51A7" w:rsidRDefault="009C51A7" w:rsidP="00694A04">
      <w:pPr>
        <w:jc w:val="both"/>
        <w:rPr>
          <w:rFonts w:ascii="Verdana" w:hAnsi="Verdana"/>
          <w:sz w:val="18"/>
          <w:szCs w:val="18"/>
          <w:lang w:val="en-US"/>
        </w:rPr>
      </w:pPr>
      <w:r w:rsidRPr="009C51A7">
        <w:rPr>
          <w:rFonts w:ascii="Verdana" w:hAnsi="Verdana"/>
          <w:sz w:val="18"/>
          <w:szCs w:val="18"/>
          <w:lang w:val="en-US"/>
        </w:rPr>
        <w:t xml:space="preserve">Table S2 presents the convergence with respect to the </w:t>
      </w:r>
      <w:proofErr w:type="spellStart"/>
      <w:r w:rsidRPr="009C51A7">
        <w:rPr>
          <w:rFonts w:ascii="Verdana" w:hAnsi="Verdana"/>
          <w:sz w:val="18"/>
          <w:szCs w:val="18"/>
          <w:lang w:val="en-US"/>
        </w:rPr>
        <w:t>Monkhorst</w:t>
      </w:r>
      <w:proofErr w:type="spellEnd"/>
      <w:r w:rsidRPr="009C51A7">
        <w:rPr>
          <w:rFonts w:ascii="Verdana" w:hAnsi="Verdana"/>
          <w:sz w:val="18"/>
          <w:szCs w:val="18"/>
          <w:lang w:val="en-US"/>
        </w:rPr>
        <w:t>-Pack k-point grid size for the supercell simulation. The energy difference (</w:t>
      </w:r>
      <w:r w:rsidR="00694A04" w:rsidRPr="000C4590">
        <w:rPr>
          <w:rFonts w:ascii="Verdana" w:eastAsia="Times New Roman" w:hAnsi="Verdana" w:cs="Times New Roman"/>
          <w:color w:val="000000"/>
          <w:sz w:val="18"/>
          <w:szCs w:val="18"/>
          <w:lang w:eastAsia="pt-BR"/>
        </w:rPr>
        <w:t>Δ</w:t>
      </w:r>
      <w:r w:rsidR="00694A04" w:rsidRPr="000C4590">
        <w:rPr>
          <w:rFonts w:ascii="Verdana" w:eastAsia="Times New Roman" w:hAnsi="Verdana" w:cs="Times New Roman"/>
          <w:color w:val="000000"/>
          <w:sz w:val="18"/>
          <w:szCs w:val="18"/>
          <w:lang w:val="en-US" w:eastAsia="pt-BR"/>
        </w:rPr>
        <w:t>E</w:t>
      </w:r>
      <w:r w:rsidRPr="009C51A7">
        <w:rPr>
          <w:rFonts w:ascii="Verdana" w:hAnsi="Verdana"/>
          <w:sz w:val="18"/>
          <w:szCs w:val="18"/>
          <w:lang w:val="en-US"/>
        </w:rPr>
        <w:t xml:space="preserve">) is calculated relative to the </w:t>
      </w:r>
      <w:r w:rsidR="00694A04">
        <w:rPr>
          <w:rFonts w:ascii="Verdana" w:hAnsi="Verdana"/>
          <w:sz w:val="18"/>
          <w:szCs w:val="18"/>
          <w:lang w:val="en-US"/>
        </w:rPr>
        <w:t>4x4x4</w:t>
      </w:r>
      <w:r w:rsidRPr="009C51A7">
        <w:rPr>
          <w:rFonts w:ascii="Verdana" w:hAnsi="Verdana"/>
          <w:sz w:val="18"/>
          <w:szCs w:val="18"/>
          <w:lang w:val="en-US"/>
        </w:rPr>
        <w:t xml:space="preserve"> mesh</w:t>
      </w:r>
      <w:r w:rsidR="00694A04">
        <w:rPr>
          <w:rFonts w:ascii="Verdana" w:hAnsi="Verdana"/>
          <w:sz w:val="18"/>
          <w:szCs w:val="18"/>
          <w:lang w:val="en-US"/>
        </w:rPr>
        <w:t>.</w:t>
      </w:r>
    </w:p>
    <w:p w14:paraId="2F1F0184" w14:textId="77777777" w:rsidR="009C51A7" w:rsidRPr="00422962" w:rsidRDefault="009C51A7" w:rsidP="00D55871">
      <w:pPr>
        <w:rPr>
          <w:rFonts w:ascii="Verdana" w:hAnsi="Verdana"/>
          <w:sz w:val="18"/>
          <w:szCs w:val="18"/>
          <w:lang w:val="en-US"/>
        </w:rPr>
      </w:pPr>
    </w:p>
    <w:tbl>
      <w:tblPr>
        <w:tblW w:w="4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0"/>
        <w:gridCol w:w="1854"/>
        <w:gridCol w:w="1673"/>
      </w:tblGrid>
      <w:tr w:rsidR="0067487A" w:rsidRPr="00E92CA2" w14:paraId="51D2F30B" w14:textId="77777777" w:rsidTr="00F3559A">
        <w:trPr>
          <w:trHeight w:val="300"/>
        </w:trPr>
        <w:tc>
          <w:tcPr>
            <w:tcW w:w="1000" w:type="dxa"/>
            <w:noWrap/>
            <w:vAlign w:val="bottom"/>
            <w:hideMark/>
          </w:tcPr>
          <w:p w14:paraId="516124B9" w14:textId="77777777" w:rsidR="0067487A" w:rsidRPr="00E92CA2" w:rsidRDefault="0067487A" w:rsidP="005478A3">
            <w:pPr>
              <w:spacing w:after="0" w:line="240" w:lineRule="auto"/>
              <w:rPr>
                <w:rFonts w:ascii="Verdana" w:eastAsia="Times New Roman" w:hAnsi="Verdana" w:cs="Times New Roman"/>
                <w:color w:val="000000"/>
                <w:sz w:val="18"/>
                <w:szCs w:val="18"/>
                <w:lang w:eastAsia="pt-BR"/>
              </w:rPr>
            </w:pPr>
            <w:proofErr w:type="spellStart"/>
            <w:r w:rsidRPr="00E92CA2">
              <w:rPr>
                <w:rFonts w:ascii="Verdana" w:eastAsia="Times New Roman" w:hAnsi="Verdana" w:cs="Times New Roman"/>
                <w:color w:val="000000"/>
                <w:sz w:val="18"/>
                <w:szCs w:val="18"/>
                <w:lang w:eastAsia="pt-BR"/>
              </w:rPr>
              <w:lastRenderedPageBreak/>
              <w:t>Kpoints</w:t>
            </w:r>
            <w:proofErr w:type="spellEnd"/>
          </w:p>
        </w:tc>
        <w:tc>
          <w:tcPr>
            <w:tcW w:w="1854" w:type="dxa"/>
            <w:noWrap/>
            <w:vAlign w:val="bottom"/>
            <w:hideMark/>
          </w:tcPr>
          <w:p w14:paraId="16CAA5DA" w14:textId="77777777" w:rsidR="0067487A" w:rsidRPr="00E92CA2" w:rsidRDefault="0067487A" w:rsidP="005478A3">
            <w:pPr>
              <w:spacing w:after="0" w:line="240" w:lineRule="auto"/>
              <w:rPr>
                <w:rFonts w:ascii="Verdana" w:eastAsia="Times New Roman" w:hAnsi="Verdana" w:cs="Times New Roman"/>
                <w:color w:val="000000"/>
                <w:sz w:val="18"/>
                <w:szCs w:val="18"/>
                <w:lang w:eastAsia="pt-BR"/>
              </w:rPr>
            </w:pPr>
            <w:r w:rsidRPr="00E92CA2">
              <w:rPr>
                <w:rFonts w:ascii="Verdana" w:eastAsia="Times New Roman" w:hAnsi="Verdana" w:cs="Times New Roman"/>
                <w:color w:val="000000"/>
                <w:sz w:val="18"/>
                <w:szCs w:val="18"/>
                <w:lang w:eastAsia="pt-BR"/>
              </w:rPr>
              <w:t>Total Energy (</w:t>
            </w:r>
            <w:proofErr w:type="spellStart"/>
            <w:r w:rsidRPr="00E92CA2">
              <w:rPr>
                <w:rFonts w:ascii="Verdana" w:eastAsia="Times New Roman" w:hAnsi="Verdana" w:cs="Times New Roman"/>
                <w:color w:val="000000"/>
                <w:sz w:val="18"/>
                <w:szCs w:val="18"/>
                <w:lang w:eastAsia="pt-BR"/>
              </w:rPr>
              <w:t>eV</w:t>
            </w:r>
            <w:proofErr w:type="spellEnd"/>
            <w:r w:rsidRPr="00E92CA2">
              <w:rPr>
                <w:rFonts w:ascii="Verdana" w:eastAsia="Times New Roman" w:hAnsi="Verdana" w:cs="Times New Roman"/>
                <w:color w:val="000000"/>
                <w:sz w:val="18"/>
                <w:szCs w:val="18"/>
                <w:lang w:eastAsia="pt-BR"/>
              </w:rPr>
              <w:t>)</w:t>
            </w:r>
          </w:p>
        </w:tc>
        <w:tc>
          <w:tcPr>
            <w:tcW w:w="1673" w:type="dxa"/>
            <w:noWrap/>
            <w:vAlign w:val="bottom"/>
            <w:hideMark/>
          </w:tcPr>
          <w:p w14:paraId="77494B19" w14:textId="77777777" w:rsidR="0067487A" w:rsidRPr="00E92CA2" w:rsidRDefault="0067487A" w:rsidP="005478A3">
            <w:pPr>
              <w:spacing w:after="0" w:line="240" w:lineRule="auto"/>
              <w:rPr>
                <w:rFonts w:ascii="Verdana" w:eastAsia="Times New Roman" w:hAnsi="Verdana" w:cs="Times New Roman"/>
                <w:color w:val="000000"/>
                <w:sz w:val="18"/>
                <w:szCs w:val="18"/>
                <w:lang w:eastAsia="pt-BR"/>
              </w:rPr>
            </w:pPr>
            <w:r w:rsidRPr="00E92CA2">
              <w:rPr>
                <w:rFonts w:ascii="Verdana" w:eastAsia="Times New Roman" w:hAnsi="Verdana" w:cs="Times New Roman"/>
                <w:color w:val="000000"/>
                <w:sz w:val="18"/>
                <w:szCs w:val="18"/>
                <w:lang w:eastAsia="pt-BR"/>
              </w:rPr>
              <w:t>ΔE (</w:t>
            </w:r>
            <w:proofErr w:type="spellStart"/>
            <w:r w:rsidRPr="00E92CA2">
              <w:rPr>
                <w:rFonts w:ascii="Verdana" w:eastAsia="Times New Roman" w:hAnsi="Verdana" w:cs="Times New Roman"/>
                <w:color w:val="000000"/>
                <w:sz w:val="18"/>
                <w:szCs w:val="18"/>
                <w:lang w:eastAsia="pt-BR"/>
              </w:rPr>
              <w:t>meV</w:t>
            </w:r>
            <w:proofErr w:type="spellEnd"/>
            <w:r w:rsidRPr="00E92CA2">
              <w:rPr>
                <w:rFonts w:ascii="Verdana" w:eastAsia="Times New Roman" w:hAnsi="Verdana" w:cs="Times New Roman"/>
                <w:color w:val="000000"/>
                <w:sz w:val="18"/>
                <w:szCs w:val="18"/>
                <w:lang w:eastAsia="pt-BR"/>
              </w:rPr>
              <w:t>/</w:t>
            </w:r>
            <w:proofErr w:type="spellStart"/>
            <w:r w:rsidRPr="00E92CA2">
              <w:rPr>
                <w:rFonts w:ascii="Verdana" w:eastAsia="Times New Roman" w:hAnsi="Verdana" w:cs="Times New Roman"/>
                <w:color w:val="000000"/>
                <w:sz w:val="18"/>
                <w:szCs w:val="18"/>
                <w:lang w:eastAsia="pt-BR"/>
              </w:rPr>
              <w:t>atom</w:t>
            </w:r>
            <w:proofErr w:type="spellEnd"/>
            <w:r w:rsidRPr="00E92CA2">
              <w:rPr>
                <w:rFonts w:ascii="Verdana" w:eastAsia="Times New Roman" w:hAnsi="Verdana" w:cs="Times New Roman"/>
                <w:color w:val="000000"/>
                <w:sz w:val="18"/>
                <w:szCs w:val="18"/>
                <w:lang w:eastAsia="pt-BR"/>
              </w:rPr>
              <w:t>)</w:t>
            </w:r>
          </w:p>
        </w:tc>
      </w:tr>
      <w:tr w:rsidR="0067487A" w:rsidRPr="00E92CA2" w14:paraId="38936626" w14:textId="77777777" w:rsidTr="00F3559A">
        <w:trPr>
          <w:trHeight w:val="300"/>
        </w:trPr>
        <w:tc>
          <w:tcPr>
            <w:tcW w:w="1000" w:type="dxa"/>
            <w:noWrap/>
            <w:vAlign w:val="bottom"/>
            <w:hideMark/>
          </w:tcPr>
          <w:p w14:paraId="24C2DBAB" w14:textId="77777777" w:rsidR="0067487A" w:rsidRPr="00E92CA2" w:rsidRDefault="0067487A" w:rsidP="005478A3">
            <w:pPr>
              <w:spacing w:after="0" w:line="240" w:lineRule="auto"/>
              <w:rPr>
                <w:rFonts w:ascii="Verdana" w:eastAsia="Times New Roman" w:hAnsi="Verdana" w:cs="Times New Roman"/>
                <w:color w:val="000000"/>
                <w:sz w:val="18"/>
                <w:szCs w:val="18"/>
                <w:lang w:eastAsia="pt-BR"/>
              </w:rPr>
            </w:pPr>
            <w:r w:rsidRPr="00E92CA2">
              <w:rPr>
                <w:rFonts w:ascii="Verdana" w:eastAsia="Times New Roman" w:hAnsi="Verdana" w:cs="Times New Roman"/>
                <w:color w:val="000000"/>
                <w:sz w:val="18"/>
                <w:szCs w:val="18"/>
                <w:lang w:eastAsia="pt-BR"/>
              </w:rPr>
              <w:t>1x1x1</w:t>
            </w:r>
          </w:p>
        </w:tc>
        <w:tc>
          <w:tcPr>
            <w:tcW w:w="1854" w:type="dxa"/>
            <w:noWrap/>
            <w:vAlign w:val="bottom"/>
            <w:hideMark/>
          </w:tcPr>
          <w:p w14:paraId="6271ED76" w14:textId="77777777" w:rsidR="0067487A" w:rsidRPr="00E92CA2" w:rsidRDefault="0067487A" w:rsidP="005478A3">
            <w:pPr>
              <w:spacing w:after="0" w:line="240" w:lineRule="auto"/>
              <w:jc w:val="right"/>
              <w:rPr>
                <w:rFonts w:ascii="Verdana" w:eastAsia="Times New Roman" w:hAnsi="Verdana" w:cs="Times New Roman"/>
                <w:color w:val="000000"/>
                <w:sz w:val="18"/>
                <w:szCs w:val="18"/>
                <w:lang w:eastAsia="pt-BR"/>
              </w:rPr>
            </w:pPr>
            <w:r w:rsidRPr="00E92CA2">
              <w:rPr>
                <w:rFonts w:ascii="Verdana" w:eastAsia="Times New Roman" w:hAnsi="Verdana" w:cs="Times New Roman"/>
                <w:color w:val="000000"/>
                <w:sz w:val="18"/>
                <w:szCs w:val="18"/>
                <w:lang w:eastAsia="pt-BR"/>
              </w:rPr>
              <w:t>-1186.81</w:t>
            </w:r>
          </w:p>
        </w:tc>
        <w:tc>
          <w:tcPr>
            <w:tcW w:w="1673" w:type="dxa"/>
            <w:noWrap/>
            <w:vAlign w:val="bottom"/>
            <w:hideMark/>
          </w:tcPr>
          <w:p w14:paraId="47AFA680" w14:textId="77777777" w:rsidR="0067487A" w:rsidRPr="00E92CA2" w:rsidRDefault="0067487A" w:rsidP="005478A3">
            <w:pPr>
              <w:spacing w:after="0" w:line="240" w:lineRule="auto"/>
              <w:jc w:val="right"/>
              <w:rPr>
                <w:rFonts w:ascii="Verdana" w:eastAsia="Times New Roman" w:hAnsi="Verdana" w:cs="Times New Roman"/>
                <w:color w:val="000000"/>
                <w:sz w:val="18"/>
                <w:szCs w:val="18"/>
                <w:lang w:eastAsia="pt-BR"/>
              </w:rPr>
            </w:pPr>
            <w:r w:rsidRPr="00E92CA2">
              <w:rPr>
                <w:rFonts w:ascii="Verdana" w:eastAsia="Times New Roman" w:hAnsi="Verdana" w:cs="Times New Roman"/>
                <w:color w:val="000000"/>
                <w:sz w:val="18"/>
                <w:szCs w:val="18"/>
                <w:lang w:eastAsia="pt-BR"/>
              </w:rPr>
              <w:t>24.61</w:t>
            </w:r>
          </w:p>
        </w:tc>
      </w:tr>
      <w:tr w:rsidR="0067487A" w:rsidRPr="00E92CA2" w14:paraId="2D4C4F96" w14:textId="77777777" w:rsidTr="00F3559A">
        <w:trPr>
          <w:trHeight w:val="300"/>
        </w:trPr>
        <w:tc>
          <w:tcPr>
            <w:tcW w:w="1000" w:type="dxa"/>
            <w:noWrap/>
            <w:vAlign w:val="bottom"/>
            <w:hideMark/>
          </w:tcPr>
          <w:p w14:paraId="09C29DFE" w14:textId="77777777" w:rsidR="0067487A" w:rsidRPr="00E92CA2" w:rsidRDefault="0067487A" w:rsidP="005478A3">
            <w:pPr>
              <w:spacing w:after="0" w:line="240" w:lineRule="auto"/>
              <w:rPr>
                <w:rFonts w:ascii="Verdana" w:eastAsia="Times New Roman" w:hAnsi="Verdana" w:cs="Times New Roman"/>
                <w:color w:val="000000"/>
                <w:sz w:val="18"/>
                <w:szCs w:val="18"/>
                <w:lang w:eastAsia="pt-BR"/>
              </w:rPr>
            </w:pPr>
            <w:r w:rsidRPr="00E92CA2">
              <w:rPr>
                <w:rFonts w:ascii="Verdana" w:eastAsia="Times New Roman" w:hAnsi="Verdana" w:cs="Times New Roman"/>
                <w:color w:val="000000"/>
                <w:sz w:val="18"/>
                <w:szCs w:val="18"/>
                <w:lang w:eastAsia="pt-BR"/>
              </w:rPr>
              <w:t>2x2x2</w:t>
            </w:r>
          </w:p>
        </w:tc>
        <w:tc>
          <w:tcPr>
            <w:tcW w:w="1854" w:type="dxa"/>
            <w:noWrap/>
            <w:vAlign w:val="bottom"/>
            <w:hideMark/>
          </w:tcPr>
          <w:p w14:paraId="0A33D91E" w14:textId="77777777" w:rsidR="0067487A" w:rsidRPr="00E92CA2" w:rsidRDefault="0067487A" w:rsidP="005478A3">
            <w:pPr>
              <w:spacing w:after="0" w:line="240" w:lineRule="auto"/>
              <w:jc w:val="right"/>
              <w:rPr>
                <w:rFonts w:ascii="Verdana" w:eastAsia="Times New Roman" w:hAnsi="Verdana" w:cs="Times New Roman"/>
                <w:color w:val="000000"/>
                <w:sz w:val="18"/>
                <w:szCs w:val="18"/>
                <w:lang w:eastAsia="pt-BR"/>
              </w:rPr>
            </w:pPr>
            <w:r w:rsidRPr="00E92CA2">
              <w:rPr>
                <w:rFonts w:ascii="Verdana" w:eastAsia="Times New Roman" w:hAnsi="Verdana" w:cs="Times New Roman"/>
                <w:color w:val="000000"/>
                <w:sz w:val="18"/>
                <w:szCs w:val="18"/>
                <w:lang w:eastAsia="pt-BR"/>
              </w:rPr>
              <w:t>-1181.49</w:t>
            </w:r>
          </w:p>
        </w:tc>
        <w:tc>
          <w:tcPr>
            <w:tcW w:w="1673" w:type="dxa"/>
            <w:noWrap/>
            <w:vAlign w:val="bottom"/>
            <w:hideMark/>
          </w:tcPr>
          <w:p w14:paraId="021CFE16" w14:textId="77777777" w:rsidR="0067487A" w:rsidRPr="00E92CA2" w:rsidRDefault="0067487A" w:rsidP="005478A3">
            <w:pPr>
              <w:spacing w:after="0" w:line="240" w:lineRule="auto"/>
              <w:jc w:val="right"/>
              <w:rPr>
                <w:rFonts w:ascii="Verdana" w:eastAsia="Times New Roman" w:hAnsi="Verdana" w:cs="Times New Roman"/>
                <w:color w:val="000000"/>
                <w:sz w:val="18"/>
                <w:szCs w:val="18"/>
                <w:lang w:eastAsia="pt-BR"/>
              </w:rPr>
            </w:pPr>
            <w:r w:rsidRPr="00E92CA2">
              <w:rPr>
                <w:rFonts w:ascii="Verdana" w:eastAsia="Times New Roman" w:hAnsi="Verdana" w:cs="Times New Roman"/>
                <w:color w:val="000000"/>
                <w:sz w:val="18"/>
                <w:szCs w:val="18"/>
                <w:lang w:eastAsia="pt-BR"/>
              </w:rPr>
              <w:t>-2.44</w:t>
            </w:r>
          </w:p>
        </w:tc>
      </w:tr>
      <w:tr w:rsidR="0067487A" w:rsidRPr="00E92CA2" w14:paraId="33CEDCEA" w14:textId="77777777" w:rsidTr="00F3559A">
        <w:trPr>
          <w:trHeight w:val="300"/>
        </w:trPr>
        <w:tc>
          <w:tcPr>
            <w:tcW w:w="1000" w:type="dxa"/>
            <w:noWrap/>
            <w:vAlign w:val="bottom"/>
            <w:hideMark/>
          </w:tcPr>
          <w:p w14:paraId="6395ECCF" w14:textId="77777777" w:rsidR="0067487A" w:rsidRPr="00E92CA2" w:rsidRDefault="0067487A" w:rsidP="005478A3">
            <w:pPr>
              <w:spacing w:after="0" w:line="240" w:lineRule="auto"/>
              <w:rPr>
                <w:rFonts w:ascii="Verdana" w:eastAsia="Times New Roman" w:hAnsi="Verdana" w:cs="Times New Roman"/>
                <w:b/>
                <w:bCs/>
                <w:color w:val="000000"/>
                <w:sz w:val="18"/>
                <w:szCs w:val="18"/>
                <w:lang w:eastAsia="pt-BR"/>
              </w:rPr>
            </w:pPr>
            <w:r w:rsidRPr="00E92CA2">
              <w:rPr>
                <w:rFonts w:ascii="Verdana" w:eastAsia="Times New Roman" w:hAnsi="Verdana" w:cs="Times New Roman"/>
                <w:b/>
                <w:bCs/>
                <w:color w:val="000000"/>
                <w:sz w:val="18"/>
                <w:szCs w:val="18"/>
                <w:lang w:eastAsia="pt-BR"/>
              </w:rPr>
              <w:t>3x3x3</w:t>
            </w:r>
          </w:p>
        </w:tc>
        <w:tc>
          <w:tcPr>
            <w:tcW w:w="1854" w:type="dxa"/>
            <w:noWrap/>
            <w:vAlign w:val="bottom"/>
            <w:hideMark/>
          </w:tcPr>
          <w:p w14:paraId="09AA9E57" w14:textId="77777777" w:rsidR="0067487A" w:rsidRPr="00E92CA2" w:rsidRDefault="0067487A" w:rsidP="005478A3">
            <w:pPr>
              <w:spacing w:after="0" w:line="240" w:lineRule="auto"/>
              <w:jc w:val="right"/>
              <w:rPr>
                <w:rFonts w:ascii="Verdana" w:eastAsia="Times New Roman" w:hAnsi="Verdana" w:cs="Times New Roman"/>
                <w:b/>
                <w:bCs/>
                <w:color w:val="000000"/>
                <w:sz w:val="18"/>
                <w:szCs w:val="18"/>
                <w:lang w:eastAsia="pt-BR"/>
              </w:rPr>
            </w:pPr>
            <w:r w:rsidRPr="00E92CA2">
              <w:rPr>
                <w:rFonts w:ascii="Verdana" w:eastAsia="Times New Roman" w:hAnsi="Verdana" w:cs="Times New Roman"/>
                <w:b/>
                <w:bCs/>
                <w:color w:val="000000"/>
                <w:sz w:val="18"/>
                <w:szCs w:val="18"/>
                <w:lang w:eastAsia="pt-BR"/>
              </w:rPr>
              <w:t>-1182.02</w:t>
            </w:r>
          </w:p>
        </w:tc>
        <w:tc>
          <w:tcPr>
            <w:tcW w:w="1673" w:type="dxa"/>
            <w:noWrap/>
            <w:vAlign w:val="bottom"/>
            <w:hideMark/>
          </w:tcPr>
          <w:p w14:paraId="71891A9D" w14:textId="77777777" w:rsidR="0067487A" w:rsidRPr="00E92CA2" w:rsidRDefault="0067487A" w:rsidP="005478A3">
            <w:pPr>
              <w:spacing w:after="0" w:line="240" w:lineRule="auto"/>
              <w:jc w:val="right"/>
              <w:rPr>
                <w:rFonts w:ascii="Verdana" w:eastAsia="Times New Roman" w:hAnsi="Verdana" w:cs="Times New Roman"/>
                <w:b/>
                <w:bCs/>
                <w:color w:val="000000"/>
                <w:sz w:val="18"/>
                <w:szCs w:val="18"/>
                <w:lang w:eastAsia="pt-BR"/>
              </w:rPr>
            </w:pPr>
            <w:r w:rsidRPr="00E92CA2">
              <w:rPr>
                <w:rFonts w:ascii="Verdana" w:eastAsia="Times New Roman" w:hAnsi="Verdana" w:cs="Times New Roman"/>
                <w:b/>
                <w:bCs/>
                <w:color w:val="000000"/>
                <w:sz w:val="18"/>
                <w:szCs w:val="18"/>
                <w:lang w:eastAsia="pt-BR"/>
              </w:rPr>
              <w:t>1.72</w:t>
            </w:r>
          </w:p>
        </w:tc>
      </w:tr>
      <w:tr w:rsidR="0067487A" w:rsidRPr="00E92CA2" w14:paraId="6A83A338" w14:textId="77777777" w:rsidTr="00F3559A">
        <w:trPr>
          <w:trHeight w:val="300"/>
        </w:trPr>
        <w:tc>
          <w:tcPr>
            <w:tcW w:w="1000" w:type="dxa"/>
            <w:noWrap/>
            <w:vAlign w:val="bottom"/>
            <w:hideMark/>
          </w:tcPr>
          <w:p w14:paraId="21FDDBCB" w14:textId="77777777" w:rsidR="0067487A" w:rsidRPr="00E92CA2" w:rsidRDefault="0067487A" w:rsidP="005478A3">
            <w:pPr>
              <w:spacing w:after="0" w:line="240" w:lineRule="auto"/>
              <w:rPr>
                <w:rFonts w:ascii="Verdana" w:eastAsia="Times New Roman" w:hAnsi="Verdana" w:cs="Times New Roman"/>
                <w:color w:val="000000"/>
                <w:sz w:val="18"/>
                <w:szCs w:val="18"/>
                <w:lang w:eastAsia="pt-BR"/>
              </w:rPr>
            </w:pPr>
            <w:r w:rsidRPr="00E92CA2">
              <w:rPr>
                <w:rFonts w:ascii="Verdana" w:eastAsia="Times New Roman" w:hAnsi="Verdana" w:cs="Times New Roman"/>
                <w:color w:val="000000"/>
                <w:sz w:val="18"/>
                <w:szCs w:val="18"/>
                <w:lang w:eastAsia="pt-BR"/>
              </w:rPr>
              <w:t>4x4x4</w:t>
            </w:r>
          </w:p>
        </w:tc>
        <w:tc>
          <w:tcPr>
            <w:tcW w:w="1854" w:type="dxa"/>
            <w:noWrap/>
            <w:vAlign w:val="bottom"/>
            <w:hideMark/>
          </w:tcPr>
          <w:p w14:paraId="22E5CBF8" w14:textId="77777777" w:rsidR="0067487A" w:rsidRPr="00E92CA2" w:rsidRDefault="0067487A" w:rsidP="005478A3">
            <w:pPr>
              <w:spacing w:after="0" w:line="240" w:lineRule="auto"/>
              <w:jc w:val="right"/>
              <w:rPr>
                <w:rFonts w:ascii="Verdana" w:eastAsia="Times New Roman" w:hAnsi="Verdana" w:cs="Times New Roman"/>
                <w:color w:val="000000"/>
                <w:sz w:val="18"/>
                <w:szCs w:val="18"/>
                <w:lang w:eastAsia="pt-BR"/>
              </w:rPr>
            </w:pPr>
            <w:r w:rsidRPr="00E92CA2">
              <w:rPr>
                <w:rFonts w:ascii="Verdana" w:eastAsia="Times New Roman" w:hAnsi="Verdana" w:cs="Times New Roman"/>
                <w:color w:val="000000"/>
                <w:sz w:val="18"/>
                <w:szCs w:val="18"/>
                <w:lang w:eastAsia="pt-BR"/>
              </w:rPr>
              <w:t>-1181.65</w:t>
            </w:r>
          </w:p>
        </w:tc>
        <w:tc>
          <w:tcPr>
            <w:tcW w:w="1673" w:type="dxa"/>
            <w:noWrap/>
            <w:vAlign w:val="bottom"/>
            <w:hideMark/>
          </w:tcPr>
          <w:p w14:paraId="64CEBF09" w14:textId="77777777" w:rsidR="0067487A" w:rsidRPr="00E92CA2" w:rsidRDefault="0067487A" w:rsidP="005478A3">
            <w:pPr>
              <w:spacing w:after="0" w:line="240" w:lineRule="auto"/>
              <w:jc w:val="right"/>
              <w:rPr>
                <w:rFonts w:ascii="Verdana" w:eastAsia="Times New Roman" w:hAnsi="Verdana" w:cs="Times New Roman"/>
                <w:color w:val="000000"/>
                <w:sz w:val="18"/>
                <w:szCs w:val="18"/>
                <w:lang w:eastAsia="pt-BR"/>
              </w:rPr>
            </w:pPr>
            <w:r w:rsidRPr="00E92CA2">
              <w:rPr>
                <w:rFonts w:ascii="Verdana" w:eastAsia="Times New Roman" w:hAnsi="Verdana" w:cs="Times New Roman"/>
                <w:color w:val="000000"/>
                <w:sz w:val="18"/>
                <w:szCs w:val="18"/>
                <w:lang w:eastAsia="pt-BR"/>
              </w:rPr>
              <w:t>0</w:t>
            </w:r>
          </w:p>
        </w:tc>
      </w:tr>
    </w:tbl>
    <w:p w14:paraId="7D055A2B" w14:textId="0243DDA3" w:rsidR="0067487A" w:rsidRPr="00422962" w:rsidRDefault="0067487A" w:rsidP="00D55871">
      <w:pPr>
        <w:rPr>
          <w:rFonts w:ascii="Verdana" w:hAnsi="Verdana"/>
          <w:sz w:val="18"/>
          <w:szCs w:val="18"/>
          <w:lang w:val="en-US"/>
        </w:rPr>
      </w:pPr>
    </w:p>
    <w:p w14:paraId="063D5FE7" w14:textId="5277F81E" w:rsidR="00B42F21" w:rsidRDefault="00B42F21" w:rsidP="00B42F21">
      <w:pPr>
        <w:jc w:val="both"/>
        <w:rPr>
          <w:rFonts w:ascii="Verdana" w:hAnsi="Verdana"/>
          <w:sz w:val="18"/>
          <w:szCs w:val="18"/>
          <w:lang w:val="en-US"/>
        </w:rPr>
      </w:pPr>
      <w:r w:rsidRPr="00B42F21">
        <w:rPr>
          <w:rFonts w:ascii="Verdana" w:hAnsi="Verdana"/>
          <w:sz w:val="18"/>
          <w:szCs w:val="18"/>
          <w:lang w:val="en-US"/>
        </w:rPr>
        <w:t xml:space="preserve">The 3x3x3 mesh yields an energy difference of approximately 1.72 </w:t>
      </w:r>
      <w:proofErr w:type="spellStart"/>
      <w:r w:rsidRPr="00B42F21">
        <w:rPr>
          <w:rFonts w:ascii="Verdana" w:hAnsi="Verdana"/>
          <w:sz w:val="18"/>
          <w:szCs w:val="18"/>
          <w:lang w:val="en-US"/>
        </w:rPr>
        <w:t>meV</w:t>
      </w:r>
      <w:proofErr w:type="spellEnd"/>
      <w:r w:rsidRPr="00B42F21">
        <w:rPr>
          <w:rFonts w:ascii="Verdana" w:hAnsi="Verdana"/>
          <w:sz w:val="18"/>
          <w:szCs w:val="18"/>
          <w:lang w:val="en-US"/>
        </w:rPr>
        <w:t xml:space="preserve">/atom relative to the denser 4x4x4 grid. Based on this convergence, a 3x3x3 mesh was adopted for all fully periodic bulk structures, offering an optimal balance between computational cost and the resolution required to accurately capture the potential energy surface. For surface slab configurations, where periodicity is broken along the </w:t>
      </w:r>
      <w:proofErr w:type="gramStart"/>
      <w:r w:rsidRPr="00B42F21">
        <w:rPr>
          <w:rFonts w:ascii="Verdana" w:hAnsi="Verdana"/>
          <w:sz w:val="18"/>
          <w:szCs w:val="18"/>
          <w:lang w:val="en-US"/>
        </w:rPr>
        <w:t>surface normal</w:t>
      </w:r>
      <w:proofErr w:type="gramEnd"/>
      <w:r w:rsidRPr="00B42F21">
        <w:rPr>
          <w:rFonts w:ascii="Verdana" w:hAnsi="Verdana"/>
          <w:sz w:val="18"/>
          <w:szCs w:val="18"/>
          <w:lang w:val="en-US"/>
        </w:rPr>
        <w:t>, the sampling was adjusted to a 3x3x1 mesh (where the single k-point corresponds to the vacuum direction).</w:t>
      </w:r>
    </w:p>
    <w:p w14:paraId="3144A9FF" w14:textId="77777777" w:rsidR="00321B82" w:rsidRDefault="00321B82" w:rsidP="00B42F21">
      <w:pPr>
        <w:jc w:val="both"/>
        <w:rPr>
          <w:rFonts w:ascii="Verdana" w:hAnsi="Verdana"/>
          <w:sz w:val="18"/>
          <w:szCs w:val="18"/>
          <w:lang w:val="en-US"/>
        </w:rPr>
      </w:pPr>
    </w:p>
    <w:p w14:paraId="06666A42" w14:textId="1CB06FED" w:rsidR="00321B82" w:rsidRPr="00FA6B1D" w:rsidRDefault="00FA6B1D" w:rsidP="00FA6B1D">
      <w:pPr>
        <w:jc w:val="center"/>
        <w:rPr>
          <w:rFonts w:ascii="Verdana" w:hAnsi="Verdana"/>
          <w:b/>
          <w:bCs/>
          <w:lang w:val="en-US"/>
        </w:rPr>
      </w:pPr>
      <w:proofErr w:type="spellStart"/>
      <w:r w:rsidRPr="00FA6B1D">
        <w:rPr>
          <w:rFonts w:ascii="Verdana" w:hAnsi="Verdana"/>
          <w:b/>
          <w:bCs/>
        </w:rPr>
        <w:t>Equation</w:t>
      </w:r>
      <w:proofErr w:type="spellEnd"/>
      <w:r w:rsidRPr="00FA6B1D">
        <w:rPr>
          <w:rFonts w:ascii="Verdana" w:hAnsi="Verdana"/>
          <w:b/>
          <w:bCs/>
        </w:rPr>
        <w:t xml:space="preserve"> </w:t>
      </w:r>
      <w:proofErr w:type="spellStart"/>
      <w:r w:rsidRPr="00FA6B1D">
        <w:rPr>
          <w:rFonts w:ascii="Verdana" w:hAnsi="Verdana"/>
          <w:b/>
          <w:bCs/>
        </w:rPr>
        <w:t>of</w:t>
      </w:r>
      <w:proofErr w:type="spellEnd"/>
      <w:r w:rsidRPr="00FA6B1D">
        <w:rPr>
          <w:rFonts w:ascii="Verdana" w:hAnsi="Verdana"/>
          <w:b/>
          <w:bCs/>
        </w:rPr>
        <w:t xml:space="preserve"> </w:t>
      </w:r>
      <w:proofErr w:type="spellStart"/>
      <w:r w:rsidRPr="00FA6B1D">
        <w:rPr>
          <w:rFonts w:ascii="Verdana" w:hAnsi="Verdana"/>
          <w:b/>
          <w:bCs/>
        </w:rPr>
        <w:t>State</w:t>
      </w:r>
      <w:proofErr w:type="spellEnd"/>
    </w:p>
    <w:p w14:paraId="0379DF0F" w14:textId="4C07EB0F" w:rsidR="00321B82" w:rsidRPr="00B42F21" w:rsidRDefault="00321B82" w:rsidP="00B42F21">
      <w:pPr>
        <w:jc w:val="both"/>
        <w:rPr>
          <w:rFonts w:ascii="Verdana" w:hAnsi="Verdana"/>
          <w:sz w:val="18"/>
          <w:szCs w:val="18"/>
          <w:lang w:val="en-US"/>
        </w:rPr>
      </w:pPr>
      <w:r>
        <w:rPr>
          <w:rFonts w:ascii="Verdana" w:hAnsi="Verdana"/>
          <w:noProof/>
          <w:sz w:val="18"/>
          <w:szCs w:val="18"/>
          <w:lang w:val="en-US"/>
        </w:rPr>
        <w:drawing>
          <wp:inline distT="0" distB="0" distL="0" distR="0" wp14:anchorId="6E01408B" wp14:editId="148EDFD1">
            <wp:extent cx="5393055" cy="3996055"/>
            <wp:effectExtent l="0" t="0" r="0" b="4445"/>
            <wp:docPr id="1343857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93055" cy="3996055"/>
                    </a:xfrm>
                    <a:prstGeom prst="rect">
                      <a:avLst/>
                    </a:prstGeom>
                    <a:noFill/>
                    <a:ln>
                      <a:noFill/>
                    </a:ln>
                  </pic:spPr>
                </pic:pic>
              </a:graphicData>
            </a:graphic>
          </wp:inline>
        </w:drawing>
      </w:r>
    </w:p>
    <w:p w14:paraId="44F731A2" w14:textId="617375F9" w:rsidR="00321B82" w:rsidRPr="00321B82" w:rsidRDefault="00321B82" w:rsidP="00321B82">
      <w:pPr>
        <w:jc w:val="both"/>
        <w:rPr>
          <w:rFonts w:ascii="Verdana" w:hAnsi="Verdana"/>
          <w:sz w:val="18"/>
          <w:szCs w:val="18"/>
          <w:lang w:val="en-US"/>
        </w:rPr>
      </w:pPr>
      <w:r w:rsidRPr="00321B82">
        <w:rPr>
          <w:rFonts w:ascii="Verdana" w:hAnsi="Verdana"/>
          <w:sz w:val="18"/>
          <w:szCs w:val="18"/>
          <w:lang w:val="en-US"/>
        </w:rPr>
        <w:t>Figure S</w:t>
      </w:r>
      <w:r w:rsidRPr="00321B82">
        <w:rPr>
          <w:rFonts w:ascii="Verdana" w:hAnsi="Verdana"/>
          <w:sz w:val="18"/>
          <w:szCs w:val="18"/>
          <w:lang w:val="en-US"/>
        </w:rPr>
        <w:t>1</w:t>
      </w:r>
      <w:r w:rsidRPr="00321B82">
        <w:rPr>
          <w:rFonts w:ascii="Verdana" w:hAnsi="Verdana"/>
          <w:sz w:val="18"/>
          <w:szCs w:val="18"/>
          <w:lang w:val="en-US"/>
        </w:rPr>
        <w:t>. Energy versus Volume curves for FCC, HCP, and BCC Nickel calculated using the ADP potential at 0 K. While FCC is the stable phase at equilibrium volumes (</w:t>
      </w:r>
      <w:r w:rsidRPr="00321B82">
        <w:rPr>
          <w:rFonts w:ascii="Verdana" w:hAnsi="Verdana"/>
          <w:sz w:val="18"/>
          <w:szCs w:val="18"/>
          <w:lang w:val="en-US"/>
        </w:rPr>
        <w:t>~</w:t>
      </w:r>
      <w:r w:rsidRPr="00321B82">
        <w:rPr>
          <w:rFonts w:ascii="Verdana" w:hAnsi="Verdana"/>
          <w:sz w:val="18"/>
          <w:szCs w:val="18"/>
          <w:lang w:val="en-US"/>
        </w:rPr>
        <w:t xml:space="preserve">10.9 Å³/atom), the potential predicts a crossover where the BCC phase becomes energetically favored at highly compressed volumes (&lt; </w:t>
      </w:r>
      <w:r w:rsidRPr="00321B82">
        <w:rPr>
          <w:rFonts w:ascii="Verdana" w:hAnsi="Verdana"/>
          <w:sz w:val="18"/>
          <w:szCs w:val="18"/>
          <w:lang w:val="en-US"/>
        </w:rPr>
        <w:t>8</w:t>
      </w:r>
      <w:r w:rsidRPr="00321B82">
        <w:rPr>
          <w:rFonts w:ascii="Verdana" w:hAnsi="Verdana"/>
          <w:sz w:val="18"/>
          <w:szCs w:val="18"/>
          <w:lang w:val="en-US"/>
        </w:rPr>
        <w:t>.</w:t>
      </w:r>
      <w:r w:rsidRPr="00321B82">
        <w:rPr>
          <w:rFonts w:ascii="Verdana" w:hAnsi="Verdana"/>
          <w:sz w:val="18"/>
          <w:szCs w:val="18"/>
          <w:lang w:val="en-US"/>
        </w:rPr>
        <w:t>5</w:t>
      </w:r>
      <w:r w:rsidRPr="00321B82">
        <w:rPr>
          <w:rFonts w:ascii="Verdana" w:hAnsi="Verdana"/>
          <w:sz w:val="18"/>
          <w:szCs w:val="18"/>
          <w:lang w:val="en-US"/>
        </w:rPr>
        <w:t xml:space="preserve"> Å³/atom). This indicates the limit of validity of the potential for extreme high-pressure applications.</w:t>
      </w:r>
    </w:p>
    <w:p w14:paraId="009A5923" w14:textId="32CE09E6" w:rsidR="0067487A" w:rsidRPr="00422962" w:rsidRDefault="0067487A">
      <w:pPr>
        <w:rPr>
          <w:rFonts w:ascii="Verdana" w:hAnsi="Verdana"/>
          <w:sz w:val="18"/>
          <w:szCs w:val="18"/>
          <w:lang w:val="en-US"/>
        </w:rPr>
      </w:pPr>
    </w:p>
    <w:p w14:paraId="54AA6470" w14:textId="77777777" w:rsidR="00FA6B1D" w:rsidRDefault="00FA6B1D">
      <w:pPr>
        <w:rPr>
          <w:rFonts w:ascii="Verdana" w:hAnsi="Verdana"/>
          <w:b/>
          <w:bCs/>
          <w:color w:val="000000" w:themeColor="text1"/>
        </w:rPr>
      </w:pPr>
      <w:r>
        <w:rPr>
          <w:rFonts w:ascii="Verdana" w:hAnsi="Verdana"/>
          <w:b/>
          <w:bCs/>
          <w:color w:val="000000" w:themeColor="text1"/>
        </w:rPr>
        <w:br w:type="page"/>
      </w:r>
    </w:p>
    <w:p w14:paraId="7B7D43A7" w14:textId="32C89935" w:rsidR="000005C6" w:rsidRPr="000005C6" w:rsidRDefault="000005C6" w:rsidP="000005C6">
      <w:pPr>
        <w:jc w:val="center"/>
        <w:rPr>
          <w:rFonts w:ascii="Verdana" w:hAnsi="Verdana"/>
          <w:b/>
          <w:bCs/>
          <w:color w:val="000000" w:themeColor="text1"/>
        </w:rPr>
      </w:pPr>
      <w:r w:rsidRPr="000005C6">
        <w:rPr>
          <w:rFonts w:ascii="Verdana" w:hAnsi="Verdana"/>
          <w:b/>
          <w:bCs/>
          <w:color w:val="000000" w:themeColor="text1"/>
        </w:rPr>
        <w:lastRenderedPageBreak/>
        <w:t>Stress-</w:t>
      </w:r>
      <w:proofErr w:type="spellStart"/>
      <w:r w:rsidRPr="000005C6">
        <w:rPr>
          <w:rFonts w:ascii="Verdana" w:hAnsi="Verdana"/>
          <w:b/>
          <w:bCs/>
          <w:color w:val="000000" w:themeColor="text1"/>
        </w:rPr>
        <w:t>Strain</w:t>
      </w:r>
      <w:proofErr w:type="spellEnd"/>
      <w:r w:rsidRPr="000005C6">
        <w:rPr>
          <w:rFonts w:ascii="Verdana" w:hAnsi="Verdana"/>
          <w:b/>
          <w:bCs/>
          <w:color w:val="000000" w:themeColor="text1"/>
        </w:rPr>
        <w:t xml:space="preserve"> </w:t>
      </w:r>
      <w:proofErr w:type="spellStart"/>
      <w:r w:rsidRPr="000005C6">
        <w:rPr>
          <w:rFonts w:ascii="Verdana" w:hAnsi="Verdana"/>
          <w:b/>
          <w:bCs/>
          <w:color w:val="000000" w:themeColor="text1"/>
        </w:rPr>
        <w:t>Graph</w:t>
      </w:r>
      <w:proofErr w:type="spellEnd"/>
      <w:r w:rsidRPr="000005C6">
        <w:rPr>
          <w:rFonts w:ascii="Verdana" w:hAnsi="Verdana"/>
          <w:b/>
          <w:bCs/>
          <w:color w:val="000000" w:themeColor="text1"/>
        </w:rPr>
        <w:t xml:space="preserve"> </w:t>
      </w:r>
      <w:proofErr w:type="spellStart"/>
      <w:r w:rsidRPr="000005C6">
        <w:rPr>
          <w:rFonts w:ascii="Verdana" w:hAnsi="Verdana"/>
          <w:b/>
          <w:bCs/>
          <w:color w:val="000000" w:themeColor="text1"/>
        </w:rPr>
        <w:t>Analysis</w:t>
      </w:r>
      <w:proofErr w:type="spellEnd"/>
    </w:p>
    <w:p w14:paraId="38408F57" w14:textId="1D846757" w:rsidR="009155B5" w:rsidRPr="00422962" w:rsidRDefault="00D55871" w:rsidP="00D55871">
      <w:pPr>
        <w:jc w:val="center"/>
        <w:rPr>
          <w:rFonts w:ascii="Verdana" w:hAnsi="Verdana"/>
          <w:sz w:val="18"/>
          <w:szCs w:val="18"/>
          <w:lang w:val="en-US"/>
        </w:rPr>
      </w:pPr>
      <w:r w:rsidRPr="00422962">
        <w:rPr>
          <w:rFonts w:ascii="Verdana" w:hAnsi="Verdana"/>
          <w:noProof/>
          <w:sz w:val="18"/>
          <w:szCs w:val="18"/>
          <w:lang w:val="en-US"/>
        </w:rPr>
        <w:drawing>
          <wp:inline distT="0" distB="0" distL="0" distR="0" wp14:anchorId="3191E342" wp14:editId="763F2847">
            <wp:extent cx="4333147" cy="3536950"/>
            <wp:effectExtent l="0" t="0" r="0" b="6350"/>
            <wp:docPr id="176204018" name="Picture 1" descr="A graph of 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04018" name="Picture 1" descr="A graph of a graph of a function&#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48979" cy="3549873"/>
                    </a:xfrm>
                    <a:prstGeom prst="rect">
                      <a:avLst/>
                    </a:prstGeom>
                    <a:noFill/>
                    <a:ln>
                      <a:noFill/>
                    </a:ln>
                  </pic:spPr>
                </pic:pic>
              </a:graphicData>
            </a:graphic>
          </wp:inline>
        </w:drawing>
      </w:r>
    </w:p>
    <w:p w14:paraId="0B24790A" w14:textId="201B7805" w:rsidR="00D55871" w:rsidRPr="00422962" w:rsidRDefault="00D55871" w:rsidP="00DC4563">
      <w:pPr>
        <w:jc w:val="both"/>
        <w:rPr>
          <w:rFonts w:ascii="Verdana" w:hAnsi="Verdana"/>
          <w:sz w:val="18"/>
          <w:szCs w:val="18"/>
          <w:lang w:val="en-US"/>
        </w:rPr>
      </w:pPr>
      <w:r w:rsidRPr="00422962">
        <w:rPr>
          <w:rFonts w:ascii="Verdana" w:hAnsi="Verdana"/>
          <w:sz w:val="18"/>
          <w:szCs w:val="18"/>
          <w:lang w:val="en-US"/>
        </w:rPr>
        <w:t>Figure S</w:t>
      </w:r>
      <w:r w:rsidR="00321B82">
        <w:rPr>
          <w:rFonts w:ascii="Verdana" w:hAnsi="Verdana"/>
          <w:sz w:val="18"/>
          <w:szCs w:val="18"/>
          <w:lang w:val="en-US"/>
        </w:rPr>
        <w:t>2</w:t>
      </w:r>
      <w:r w:rsidRPr="00422962">
        <w:rPr>
          <w:rFonts w:ascii="Verdana" w:hAnsi="Verdana"/>
          <w:sz w:val="18"/>
          <w:szCs w:val="18"/>
          <w:lang w:val="en-US"/>
        </w:rPr>
        <w:t>. Stress-strain relationships for FCC Nickel computed using the ADP potential (this work) at 300 K. The plots display the stress response as a function of applied strain for: (a) C</w:t>
      </w:r>
      <w:r w:rsidRPr="00422962">
        <w:rPr>
          <w:rFonts w:ascii="Verdana" w:hAnsi="Verdana"/>
          <w:sz w:val="18"/>
          <w:szCs w:val="18"/>
          <w:vertAlign w:val="subscript"/>
          <w:lang w:val="en-US"/>
        </w:rPr>
        <w:t>11</w:t>
      </w:r>
      <w:r w:rsidRPr="00422962">
        <w:rPr>
          <w:rFonts w:ascii="Verdana" w:hAnsi="Verdana"/>
          <w:sz w:val="18"/>
          <w:szCs w:val="18"/>
          <w:lang w:val="en-US"/>
        </w:rPr>
        <w:t>, (b) C</w:t>
      </w:r>
      <w:r w:rsidRPr="00422962">
        <w:rPr>
          <w:rFonts w:ascii="Verdana" w:hAnsi="Verdana"/>
          <w:sz w:val="18"/>
          <w:szCs w:val="18"/>
          <w:vertAlign w:val="subscript"/>
          <w:lang w:val="en-US"/>
        </w:rPr>
        <w:t>12</w:t>
      </w:r>
      <w:r w:rsidRPr="00422962">
        <w:rPr>
          <w:rFonts w:ascii="Verdana" w:hAnsi="Verdana"/>
          <w:sz w:val="18"/>
          <w:szCs w:val="18"/>
          <w:lang w:val="en-US"/>
        </w:rPr>
        <w:t>, (c) C</w:t>
      </w:r>
      <w:r w:rsidRPr="00422962">
        <w:rPr>
          <w:rFonts w:ascii="Verdana" w:hAnsi="Verdana"/>
          <w:sz w:val="18"/>
          <w:szCs w:val="18"/>
          <w:vertAlign w:val="subscript"/>
          <w:lang w:val="en-US"/>
        </w:rPr>
        <w:t>44</w:t>
      </w:r>
      <w:r w:rsidRPr="00422962">
        <w:rPr>
          <w:rFonts w:ascii="Verdana" w:hAnsi="Verdana"/>
          <w:sz w:val="18"/>
          <w:szCs w:val="18"/>
          <w:lang w:val="en-US"/>
        </w:rPr>
        <w:t>, and (d) the Bulk Modulus (B).</w:t>
      </w:r>
    </w:p>
    <w:p w14:paraId="6B2A49A0" w14:textId="220EDCB0" w:rsidR="00D55871" w:rsidRPr="00422962" w:rsidRDefault="00D55871" w:rsidP="00D55871">
      <w:pPr>
        <w:jc w:val="center"/>
        <w:rPr>
          <w:rFonts w:ascii="Verdana" w:hAnsi="Verdana"/>
          <w:sz w:val="18"/>
          <w:szCs w:val="18"/>
          <w:lang w:val="en-US"/>
        </w:rPr>
      </w:pPr>
      <w:r w:rsidRPr="00422962">
        <w:rPr>
          <w:rFonts w:ascii="Verdana" w:hAnsi="Verdana"/>
          <w:noProof/>
          <w:sz w:val="18"/>
          <w:szCs w:val="18"/>
          <w:lang w:val="en-US"/>
        </w:rPr>
        <w:drawing>
          <wp:inline distT="0" distB="0" distL="0" distR="0" wp14:anchorId="44F3303F" wp14:editId="0E553782">
            <wp:extent cx="4317588" cy="3524250"/>
            <wp:effectExtent l="0" t="0" r="6985" b="0"/>
            <wp:docPr id="1292311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9632" cy="3525919"/>
                    </a:xfrm>
                    <a:prstGeom prst="rect">
                      <a:avLst/>
                    </a:prstGeom>
                    <a:noFill/>
                    <a:ln>
                      <a:noFill/>
                    </a:ln>
                  </pic:spPr>
                </pic:pic>
              </a:graphicData>
            </a:graphic>
          </wp:inline>
        </w:drawing>
      </w:r>
    </w:p>
    <w:p w14:paraId="11442198" w14:textId="76F062FB" w:rsidR="00D55871" w:rsidRPr="00422962" w:rsidRDefault="00D55871" w:rsidP="00DC4563">
      <w:pPr>
        <w:jc w:val="both"/>
        <w:rPr>
          <w:rFonts w:ascii="Verdana" w:hAnsi="Verdana"/>
          <w:sz w:val="18"/>
          <w:szCs w:val="18"/>
          <w:lang w:val="en-US"/>
        </w:rPr>
      </w:pPr>
      <w:r w:rsidRPr="00422962">
        <w:rPr>
          <w:rFonts w:ascii="Verdana" w:hAnsi="Verdana"/>
          <w:sz w:val="18"/>
          <w:szCs w:val="18"/>
          <w:lang w:val="en-US"/>
        </w:rPr>
        <w:t>Figure S</w:t>
      </w:r>
      <w:r w:rsidR="00321B82">
        <w:rPr>
          <w:rFonts w:ascii="Verdana" w:hAnsi="Verdana"/>
          <w:sz w:val="18"/>
          <w:szCs w:val="18"/>
          <w:lang w:val="en-US"/>
        </w:rPr>
        <w:t>3</w:t>
      </w:r>
      <w:r w:rsidRPr="00422962">
        <w:rPr>
          <w:rFonts w:ascii="Verdana" w:hAnsi="Verdana"/>
          <w:sz w:val="18"/>
          <w:szCs w:val="18"/>
          <w:lang w:val="en-US"/>
        </w:rPr>
        <w:t>. Stress-strain relationships for FCC Nickel computed using the EAM99 potential at 300 K. Panels show the response for: (a) C</w:t>
      </w:r>
      <w:r w:rsidRPr="00422962">
        <w:rPr>
          <w:rFonts w:ascii="Verdana" w:hAnsi="Verdana"/>
          <w:sz w:val="18"/>
          <w:szCs w:val="18"/>
          <w:vertAlign w:val="subscript"/>
          <w:lang w:val="en-US"/>
        </w:rPr>
        <w:t>11</w:t>
      </w:r>
      <w:r w:rsidRPr="00422962">
        <w:rPr>
          <w:rFonts w:ascii="Verdana" w:hAnsi="Verdana"/>
          <w:sz w:val="18"/>
          <w:szCs w:val="18"/>
          <w:lang w:val="en-US"/>
        </w:rPr>
        <w:t>, (b) C</w:t>
      </w:r>
      <w:r w:rsidRPr="00422962">
        <w:rPr>
          <w:rFonts w:ascii="Verdana" w:hAnsi="Verdana"/>
          <w:sz w:val="18"/>
          <w:szCs w:val="18"/>
          <w:vertAlign w:val="subscript"/>
          <w:lang w:val="en-US"/>
        </w:rPr>
        <w:t>12</w:t>
      </w:r>
      <w:r w:rsidRPr="00422962">
        <w:rPr>
          <w:rFonts w:ascii="Verdana" w:hAnsi="Verdana"/>
          <w:sz w:val="18"/>
          <w:szCs w:val="18"/>
          <w:lang w:val="en-US"/>
        </w:rPr>
        <w:t>, (c) C</w:t>
      </w:r>
      <w:r w:rsidRPr="00422962">
        <w:rPr>
          <w:rFonts w:ascii="Verdana" w:hAnsi="Verdana"/>
          <w:sz w:val="18"/>
          <w:szCs w:val="18"/>
          <w:vertAlign w:val="subscript"/>
          <w:lang w:val="en-US"/>
        </w:rPr>
        <w:t>44</w:t>
      </w:r>
      <w:r w:rsidRPr="00422962">
        <w:rPr>
          <w:rFonts w:ascii="Verdana" w:hAnsi="Verdana"/>
          <w:sz w:val="18"/>
          <w:szCs w:val="18"/>
          <w:lang w:val="en-US"/>
        </w:rPr>
        <w:t>, and (d) the Bulk Modulus (B).</w:t>
      </w:r>
    </w:p>
    <w:p w14:paraId="23E32162" w14:textId="77777777" w:rsidR="00D55871" w:rsidRPr="00422962" w:rsidRDefault="00D55871" w:rsidP="00D55871">
      <w:pPr>
        <w:jc w:val="center"/>
        <w:rPr>
          <w:rFonts w:ascii="Verdana" w:hAnsi="Verdana"/>
          <w:sz w:val="18"/>
          <w:szCs w:val="18"/>
          <w:lang w:val="en-US"/>
        </w:rPr>
      </w:pPr>
    </w:p>
    <w:p w14:paraId="02215D06" w14:textId="7DF21694" w:rsidR="00D55871" w:rsidRPr="00422962" w:rsidRDefault="00D55871" w:rsidP="00D55871">
      <w:pPr>
        <w:jc w:val="center"/>
        <w:rPr>
          <w:rFonts w:ascii="Verdana" w:hAnsi="Verdana"/>
          <w:sz w:val="18"/>
          <w:szCs w:val="18"/>
          <w:lang w:val="en-US"/>
        </w:rPr>
      </w:pPr>
      <w:r w:rsidRPr="00422962">
        <w:rPr>
          <w:rFonts w:ascii="Verdana" w:hAnsi="Verdana"/>
          <w:noProof/>
          <w:sz w:val="18"/>
          <w:szCs w:val="18"/>
          <w:lang w:val="en-US"/>
        </w:rPr>
        <w:lastRenderedPageBreak/>
        <w:drawing>
          <wp:inline distT="0" distB="0" distL="0" distR="0" wp14:anchorId="3DF5585E" wp14:editId="1A4619B7">
            <wp:extent cx="4161999" cy="3397250"/>
            <wp:effectExtent l="0" t="0" r="0" b="0"/>
            <wp:docPr id="6823568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5453" cy="3408232"/>
                    </a:xfrm>
                    <a:prstGeom prst="rect">
                      <a:avLst/>
                    </a:prstGeom>
                    <a:noFill/>
                    <a:ln>
                      <a:noFill/>
                    </a:ln>
                  </pic:spPr>
                </pic:pic>
              </a:graphicData>
            </a:graphic>
          </wp:inline>
        </w:drawing>
      </w:r>
    </w:p>
    <w:p w14:paraId="7DC97717" w14:textId="75010F75" w:rsidR="00D55871" w:rsidRPr="00422962" w:rsidRDefault="00D55871" w:rsidP="00DC4563">
      <w:pPr>
        <w:jc w:val="both"/>
        <w:rPr>
          <w:rFonts w:ascii="Verdana" w:hAnsi="Verdana"/>
          <w:sz w:val="18"/>
          <w:szCs w:val="18"/>
          <w:lang w:val="en-US"/>
        </w:rPr>
      </w:pPr>
      <w:r w:rsidRPr="00422962">
        <w:rPr>
          <w:rFonts w:ascii="Verdana" w:hAnsi="Verdana"/>
          <w:sz w:val="18"/>
          <w:szCs w:val="18"/>
          <w:lang w:val="en-US"/>
        </w:rPr>
        <w:t>Figure S</w:t>
      </w:r>
      <w:r w:rsidR="00321B82">
        <w:rPr>
          <w:rFonts w:ascii="Verdana" w:hAnsi="Verdana"/>
          <w:sz w:val="18"/>
          <w:szCs w:val="18"/>
          <w:lang w:val="en-US"/>
        </w:rPr>
        <w:t>4</w:t>
      </w:r>
      <w:r w:rsidRPr="00422962">
        <w:rPr>
          <w:rFonts w:ascii="Verdana" w:hAnsi="Verdana"/>
          <w:sz w:val="18"/>
          <w:szCs w:val="18"/>
          <w:lang w:val="en-US"/>
        </w:rPr>
        <w:t>. Stress-strain relationships for FCC Nickel computed using the ADP05 potential at 300 K. Panels show the response for: (a) C</w:t>
      </w:r>
      <w:r w:rsidRPr="00422962">
        <w:rPr>
          <w:rFonts w:ascii="Verdana" w:hAnsi="Verdana"/>
          <w:sz w:val="18"/>
          <w:szCs w:val="18"/>
          <w:vertAlign w:val="subscript"/>
          <w:lang w:val="en-US"/>
        </w:rPr>
        <w:t>11</w:t>
      </w:r>
      <w:r w:rsidRPr="00422962">
        <w:rPr>
          <w:rFonts w:ascii="Verdana" w:hAnsi="Verdana"/>
          <w:sz w:val="18"/>
          <w:szCs w:val="18"/>
          <w:lang w:val="en-US"/>
        </w:rPr>
        <w:t>, (b) C</w:t>
      </w:r>
      <w:r w:rsidRPr="00422962">
        <w:rPr>
          <w:rFonts w:ascii="Verdana" w:hAnsi="Verdana"/>
          <w:sz w:val="18"/>
          <w:szCs w:val="18"/>
          <w:vertAlign w:val="subscript"/>
          <w:lang w:val="en-US"/>
        </w:rPr>
        <w:t>12</w:t>
      </w:r>
      <w:r w:rsidRPr="00422962">
        <w:rPr>
          <w:rFonts w:ascii="Verdana" w:hAnsi="Verdana"/>
          <w:sz w:val="18"/>
          <w:szCs w:val="18"/>
          <w:lang w:val="en-US"/>
        </w:rPr>
        <w:t>, (c) C</w:t>
      </w:r>
      <w:r w:rsidRPr="00422962">
        <w:rPr>
          <w:rFonts w:ascii="Verdana" w:hAnsi="Verdana"/>
          <w:sz w:val="18"/>
          <w:szCs w:val="18"/>
          <w:vertAlign w:val="subscript"/>
          <w:lang w:val="en-US"/>
        </w:rPr>
        <w:t>44</w:t>
      </w:r>
      <w:r w:rsidRPr="00422962">
        <w:rPr>
          <w:rFonts w:ascii="Verdana" w:hAnsi="Verdana"/>
          <w:sz w:val="18"/>
          <w:szCs w:val="18"/>
          <w:lang w:val="en-US"/>
        </w:rPr>
        <w:t>, and (d) the Bulk Modulus (B).</w:t>
      </w:r>
    </w:p>
    <w:p w14:paraId="34551929" w14:textId="77777777" w:rsidR="00D55871" w:rsidRPr="00422962" w:rsidRDefault="00D55871" w:rsidP="00D55871">
      <w:pPr>
        <w:jc w:val="center"/>
        <w:rPr>
          <w:rFonts w:ascii="Verdana" w:hAnsi="Verdana"/>
          <w:sz w:val="18"/>
          <w:szCs w:val="18"/>
          <w:lang w:val="en-US"/>
        </w:rPr>
      </w:pPr>
    </w:p>
    <w:p w14:paraId="4F9F37CB" w14:textId="44CF4B69" w:rsidR="00D55871" w:rsidRPr="00422962" w:rsidRDefault="00D55871" w:rsidP="00D55871">
      <w:pPr>
        <w:jc w:val="center"/>
        <w:rPr>
          <w:rFonts w:ascii="Verdana" w:hAnsi="Verdana"/>
          <w:sz w:val="18"/>
          <w:szCs w:val="18"/>
          <w:lang w:val="en-US"/>
        </w:rPr>
      </w:pPr>
      <w:r w:rsidRPr="00422962">
        <w:rPr>
          <w:rFonts w:ascii="Verdana" w:hAnsi="Verdana"/>
          <w:noProof/>
          <w:sz w:val="18"/>
          <w:szCs w:val="18"/>
          <w:lang w:val="en-US"/>
        </w:rPr>
        <w:drawing>
          <wp:inline distT="0" distB="0" distL="0" distR="0" wp14:anchorId="227BC695" wp14:editId="425A38E9">
            <wp:extent cx="4216400" cy="3441655"/>
            <wp:effectExtent l="0" t="0" r="0" b="6985"/>
            <wp:docPr id="17554099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24157" cy="3447987"/>
                    </a:xfrm>
                    <a:prstGeom prst="rect">
                      <a:avLst/>
                    </a:prstGeom>
                    <a:noFill/>
                    <a:ln>
                      <a:noFill/>
                    </a:ln>
                  </pic:spPr>
                </pic:pic>
              </a:graphicData>
            </a:graphic>
          </wp:inline>
        </w:drawing>
      </w:r>
    </w:p>
    <w:p w14:paraId="34EABA5F" w14:textId="508B8C36" w:rsidR="00D55871" w:rsidRPr="00422962" w:rsidRDefault="00D55871" w:rsidP="00DC4563">
      <w:pPr>
        <w:jc w:val="both"/>
        <w:rPr>
          <w:rFonts w:ascii="Verdana" w:hAnsi="Verdana"/>
          <w:sz w:val="18"/>
          <w:szCs w:val="18"/>
          <w:lang w:val="en-US"/>
        </w:rPr>
      </w:pPr>
      <w:r w:rsidRPr="00422962">
        <w:rPr>
          <w:rFonts w:ascii="Verdana" w:hAnsi="Verdana"/>
          <w:sz w:val="18"/>
          <w:szCs w:val="18"/>
          <w:lang w:val="en-US"/>
        </w:rPr>
        <w:t>Figure S</w:t>
      </w:r>
      <w:r w:rsidR="00321B82">
        <w:rPr>
          <w:rFonts w:ascii="Verdana" w:hAnsi="Verdana"/>
          <w:sz w:val="18"/>
          <w:szCs w:val="18"/>
          <w:lang w:val="en-US"/>
        </w:rPr>
        <w:t>5</w:t>
      </w:r>
      <w:r w:rsidRPr="00422962">
        <w:rPr>
          <w:rFonts w:ascii="Verdana" w:hAnsi="Verdana"/>
          <w:sz w:val="18"/>
          <w:szCs w:val="18"/>
          <w:lang w:val="en-US"/>
        </w:rPr>
        <w:t>. Stress-strain relationships for FCC Nickel computed using the MEAM25 potential at 300 K. Panels show the response for: (a) C</w:t>
      </w:r>
      <w:r w:rsidRPr="00422962">
        <w:rPr>
          <w:rFonts w:ascii="Verdana" w:hAnsi="Verdana"/>
          <w:sz w:val="18"/>
          <w:szCs w:val="18"/>
          <w:vertAlign w:val="subscript"/>
          <w:lang w:val="en-US"/>
        </w:rPr>
        <w:t>11</w:t>
      </w:r>
      <w:r w:rsidRPr="00422962">
        <w:rPr>
          <w:rFonts w:ascii="Verdana" w:hAnsi="Verdana"/>
          <w:sz w:val="18"/>
          <w:szCs w:val="18"/>
          <w:lang w:val="en-US"/>
        </w:rPr>
        <w:t>, (b) C</w:t>
      </w:r>
      <w:r w:rsidRPr="00422962">
        <w:rPr>
          <w:rFonts w:ascii="Verdana" w:hAnsi="Verdana"/>
          <w:sz w:val="18"/>
          <w:szCs w:val="18"/>
          <w:vertAlign w:val="subscript"/>
          <w:lang w:val="en-US"/>
        </w:rPr>
        <w:t>12</w:t>
      </w:r>
      <w:r w:rsidRPr="00422962">
        <w:rPr>
          <w:rFonts w:ascii="Verdana" w:hAnsi="Verdana"/>
          <w:sz w:val="18"/>
          <w:szCs w:val="18"/>
          <w:lang w:val="en-US"/>
        </w:rPr>
        <w:t>, (c) C</w:t>
      </w:r>
      <w:r w:rsidRPr="00422962">
        <w:rPr>
          <w:rFonts w:ascii="Verdana" w:hAnsi="Verdana"/>
          <w:sz w:val="18"/>
          <w:szCs w:val="18"/>
          <w:vertAlign w:val="subscript"/>
          <w:lang w:val="en-US"/>
        </w:rPr>
        <w:t>44</w:t>
      </w:r>
      <w:r w:rsidRPr="00422962">
        <w:rPr>
          <w:rFonts w:ascii="Verdana" w:hAnsi="Verdana"/>
          <w:sz w:val="18"/>
          <w:szCs w:val="18"/>
          <w:lang w:val="en-US"/>
        </w:rPr>
        <w:t>, and (d) the Bulk Modulus (B).</w:t>
      </w:r>
    </w:p>
    <w:p w14:paraId="4A6EFB0C" w14:textId="77777777" w:rsidR="00D55871" w:rsidRPr="00422962" w:rsidRDefault="00D55871">
      <w:pPr>
        <w:rPr>
          <w:rFonts w:ascii="Verdana" w:hAnsi="Verdana"/>
          <w:sz w:val="18"/>
          <w:szCs w:val="18"/>
          <w:lang w:val="en-US"/>
        </w:rPr>
      </w:pPr>
    </w:p>
    <w:p w14:paraId="731EBB29" w14:textId="77777777" w:rsidR="00E92CA2" w:rsidRPr="00422962" w:rsidRDefault="00E92CA2">
      <w:pPr>
        <w:rPr>
          <w:rFonts w:ascii="Verdana" w:hAnsi="Verdana"/>
          <w:sz w:val="18"/>
          <w:szCs w:val="18"/>
          <w:lang w:val="en-US"/>
        </w:rPr>
      </w:pPr>
    </w:p>
    <w:sectPr w:rsidR="00E92CA2" w:rsidRPr="004229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727B2A"/>
    <w:multiLevelType w:val="multilevel"/>
    <w:tmpl w:val="9746C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5868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E43"/>
    <w:rsid w:val="000005C6"/>
    <w:rsid w:val="000C4590"/>
    <w:rsid w:val="000D5FE1"/>
    <w:rsid w:val="00321B82"/>
    <w:rsid w:val="003E790F"/>
    <w:rsid w:val="00422962"/>
    <w:rsid w:val="0067487A"/>
    <w:rsid w:val="00677A51"/>
    <w:rsid w:val="00694A04"/>
    <w:rsid w:val="007134E6"/>
    <w:rsid w:val="009155B5"/>
    <w:rsid w:val="009C51A7"/>
    <w:rsid w:val="00B42F21"/>
    <w:rsid w:val="00C74E43"/>
    <w:rsid w:val="00D55871"/>
    <w:rsid w:val="00DC4563"/>
    <w:rsid w:val="00E92CA2"/>
    <w:rsid w:val="00EF4C47"/>
    <w:rsid w:val="00EF7B86"/>
    <w:rsid w:val="00F3559A"/>
    <w:rsid w:val="00FA6B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BFA6A"/>
  <w15:chartTrackingRefBased/>
  <w15:docId w15:val="{99FACE74-2694-4CFD-BF2A-3AFCB7D1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871"/>
  </w:style>
  <w:style w:type="paragraph" w:styleId="Heading1">
    <w:name w:val="heading 1"/>
    <w:basedOn w:val="Normal"/>
    <w:next w:val="Normal"/>
    <w:link w:val="Heading1Char"/>
    <w:uiPriority w:val="9"/>
    <w:qFormat/>
    <w:rsid w:val="00C74E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4E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4E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4E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4E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4E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4E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4E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4E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E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4E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4E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4E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4E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4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E43"/>
    <w:rPr>
      <w:rFonts w:eastAsiaTheme="majorEastAsia" w:cstheme="majorBidi"/>
      <w:color w:val="272727" w:themeColor="text1" w:themeTint="D8"/>
    </w:rPr>
  </w:style>
  <w:style w:type="paragraph" w:styleId="Title">
    <w:name w:val="Title"/>
    <w:basedOn w:val="Normal"/>
    <w:next w:val="Normal"/>
    <w:link w:val="TitleChar"/>
    <w:uiPriority w:val="10"/>
    <w:qFormat/>
    <w:rsid w:val="00C74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4E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E43"/>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C74E43"/>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C74E43"/>
    <w:pPr>
      <w:spacing w:before="160"/>
      <w:jc w:val="center"/>
    </w:pPr>
    <w:rPr>
      <w:i/>
      <w:iCs/>
      <w:color w:val="000000" w:themeColor="text1"/>
    </w:rPr>
  </w:style>
  <w:style w:type="character" w:customStyle="1" w:styleId="QuoteChar">
    <w:name w:val="Quote Char"/>
    <w:basedOn w:val="DefaultParagraphFont"/>
    <w:link w:val="Quote"/>
    <w:uiPriority w:val="29"/>
    <w:rsid w:val="00C74E43"/>
    <w:rPr>
      <w:i/>
      <w:iCs/>
      <w:color w:val="000000" w:themeColor="text1"/>
    </w:rPr>
  </w:style>
  <w:style w:type="paragraph" w:styleId="ListParagraph">
    <w:name w:val="List Paragraph"/>
    <w:basedOn w:val="Normal"/>
    <w:uiPriority w:val="34"/>
    <w:qFormat/>
    <w:rsid w:val="00C74E43"/>
    <w:pPr>
      <w:ind w:left="720"/>
      <w:contextualSpacing/>
    </w:pPr>
  </w:style>
  <w:style w:type="character" w:styleId="IntenseEmphasis">
    <w:name w:val="Intense Emphasis"/>
    <w:basedOn w:val="DefaultParagraphFont"/>
    <w:uiPriority w:val="21"/>
    <w:qFormat/>
    <w:rsid w:val="00C74E43"/>
    <w:rPr>
      <w:i/>
      <w:iCs/>
      <w:color w:val="2F5496" w:themeColor="accent1" w:themeShade="BF"/>
    </w:rPr>
  </w:style>
  <w:style w:type="paragraph" w:styleId="IntenseQuote">
    <w:name w:val="Intense Quote"/>
    <w:basedOn w:val="Normal"/>
    <w:next w:val="Normal"/>
    <w:link w:val="IntenseQuoteChar"/>
    <w:uiPriority w:val="30"/>
    <w:qFormat/>
    <w:rsid w:val="00C74E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4E43"/>
    <w:rPr>
      <w:i/>
      <w:iCs/>
      <w:color w:val="2F5496" w:themeColor="accent1" w:themeShade="BF"/>
    </w:rPr>
  </w:style>
  <w:style w:type="character" w:styleId="IntenseReference">
    <w:name w:val="Intense Reference"/>
    <w:basedOn w:val="DefaultParagraphFont"/>
    <w:uiPriority w:val="32"/>
    <w:qFormat/>
    <w:rsid w:val="00C74E43"/>
    <w:rPr>
      <w:b/>
      <w:bCs/>
      <w:smallCaps/>
      <w:color w:val="2F5496" w:themeColor="accent1" w:themeShade="BF"/>
      <w:spacing w:val="5"/>
    </w:rPr>
  </w:style>
  <w:style w:type="character" w:styleId="Hyperlink">
    <w:name w:val="Hyperlink"/>
    <w:basedOn w:val="DefaultParagraphFont"/>
    <w:uiPriority w:val="99"/>
    <w:unhideWhenUsed/>
    <w:rsid w:val="00D55871"/>
    <w:rPr>
      <w:color w:val="0563C1" w:themeColor="hyperlink"/>
      <w:u w:val="single"/>
    </w:rPr>
  </w:style>
  <w:style w:type="character" w:styleId="UnresolvedMention">
    <w:name w:val="Unresolved Mention"/>
    <w:basedOn w:val="DefaultParagraphFont"/>
    <w:uiPriority w:val="99"/>
    <w:semiHidden/>
    <w:unhideWhenUsed/>
    <w:rsid w:val="00D55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597</Words>
  <Characters>3315</Characters>
  <Application>Microsoft Office Word</Application>
  <DocSecurity>0</DocSecurity>
  <Lines>106</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Oliveira</dc:creator>
  <cp:keywords/>
  <dc:description/>
  <cp:lastModifiedBy>Douglas Oliveira</cp:lastModifiedBy>
  <cp:revision>13</cp:revision>
  <dcterms:created xsi:type="dcterms:W3CDTF">2025-12-05T17:15:00Z</dcterms:created>
  <dcterms:modified xsi:type="dcterms:W3CDTF">2025-12-11T11:18:00Z</dcterms:modified>
</cp:coreProperties>
</file>