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B99" w:rsidRPr="00794FA1" w:rsidRDefault="00065B99" w:rsidP="00065B99">
      <w:pPr>
        <w:pStyle w:val="Heading2"/>
        <w:rPr>
          <w:caps/>
          <w:lang w:val="en-GB"/>
        </w:rPr>
      </w:pPr>
      <w:r w:rsidRPr="00794FA1">
        <w:rPr>
          <w:caps/>
          <w:lang w:val="en-GB"/>
        </w:rPr>
        <w:t xml:space="preserve">Supplementary Material </w:t>
      </w:r>
    </w:p>
    <w:p w:rsidR="00065B99" w:rsidRPr="003B00BB" w:rsidRDefault="00065B99" w:rsidP="00065B99">
      <w:pPr>
        <w:pStyle w:val="Caption"/>
        <w:keepNext/>
        <w:rPr>
          <w:rFonts w:ascii="Arial" w:hAnsi="Arial" w:cs="Arial"/>
          <w:i w:val="0"/>
          <w:color w:val="auto"/>
          <w:sz w:val="22"/>
          <w:lang w:val="en-US"/>
        </w:rPr>
      </w:pPr>
      <w:r w:rsidRPr="003B00BB">
        <w:rPr>
          <w:rFonts w:ascii="Arial" w:hAnsi="Arial" w:cs="Arial"/>
          <w:i w:val="0"/>
          <w:color w:val="auto"/>
          <w:sz w:val="22"/>
          <w:lang w:val="en-US"/>
        </w:rPr>
        <w:t>Table S</w:t>
      </w:r>
      <w:r w:rsidRPr="003B00BB">
        <w:rPr>
          <w:rFonts w:ascii="Arial" w:hAnsi="Arial" w:cs="Arial"/>
          <w:i w:val="0"/>
          <w:color w:val="auto"/>
          <w:sz w:val="22"/>
        </w:rPr>
        <w:fldChar w:fldCharType="begin"/>
      </w:r>
      <w:r w:rsidRPr="003B00BB">
        <w:rPr>
          <w:rFonts w:ascii="Arial" w:hAnsi="Arial" w:cs="Arial"/>
          <w:i w:val="0"/>
          <w:color w:val="auto"/>
          <w:sz w:val="22"/>
          <w:lang w:val="en-US"/>
        </w:rPr>
        <w:instrText xml:space="preserve"> SEQ Table_S \* ARABIC </w:instrText>
      </w:r>
      <w:r w:rsidRPr="003B00BB">
        <w:rPr>
          <w:rFonts w:ascii="Arial" w:hAnsi="Arial" w:cs="Arial"/>
          <w:i w:val="0"/>
          <w:color w:val="auto"/>
          <w:sz w:val="22"/>
        </w:rPr>
        <w:fldChar w:fldCharType="separate"/>
      </w:r>
      <w:r>
        <w:rPr>
          <w:rFonts w:ascii="Arial" w:hAnsi="Arial" w:cs="Arial"/>
          <w:i w:val="0"/>
          <w:noProof/>
          <w:color w:val="auto"/>
          <w:sz w:val="22"/>
          <w:lang w:val="en-US"/>
        </w:rPr>
        <w:t>1</w:t>
      </w:r>
      <w:r w:rsidRPr="003B00BB">
        <w:rPr>
          <w:rFonts w:ascii="Arial" w:hAnsi="Arial" w:cs="Arial"/>
          <w:i w:val="0"/>
          <w:color w:val="auto"/>
          <w:sz w:val="22"/>
        </w:rPr>
        <w:fldChar w:fldCharType="end"/>
      </w:r>
      <w:r w:rsidRPr="003B00BB">
        <w:rPr>
          <w:rFonts w:ascii="Arial" w:hAnsi="Arial" w:cs="Arial"/>
          <w:i w:val="0"/>
          <w:color w:val="auto"/>
          <w:sz w:val="22"/>
          <w:lang w:val="en-US"/>
        </w:rPr>
        <w:t xml:space="preserve">. </w:t>
      </w:r>
      <w:r w:rsidRPr="003B00BB">
        <w:rPr>
          <w:rFonts w:ascii="Arial" w:hAnsi="Arial" w:cs="Arial"/>
          <w:bCs/>
          <w:i w:val="0"/>
          <w:color w:val="auto"/>
          <w:sz w:val="22"/>
          <w:szCs w:val="22"/>
          <w:lang w:val="en-GB"/>
        </w:rPr>
        <w:t>Descriptive analysis of the complete economic evaluations on PSO conducted in Spain</w:t>
      </w:r>
    </w:p>
    <w:tbl>
      <w:tblPr>
        <w:tblStyle w:val="Tabladecuadrcula1clara1"/>
        <w:tblW w:w="0" w:type="auto"/>
        <w:tblLook w:val="04A0" w:firstRow="1" w:lastRow="0" w:firstColumn="1" w:lastColumn="0" w:noHBand="0" w:noVBand="1"/>
      </w:tblPr>
      <w:tblGrid>
        <w:gridCol w:w="1980"/>
        <w:gridCol w:w="3677"/>
        <w:gridCol w:w="1452"/>
        <w:gridCol w:w="2693"/>
        <w:gridCol w:w="2384"/>
        <w:gridCol w:w="1806"/>
      </w:tblGrid>
      <w:tr w:rsidR="00065B99" w:rsidRPr="00571670" w:rsidTr="009C27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065B99" w:rsidRPr="00571670" w:rsidRDefault="00065B99" w:rsidP="009C27B8">
            <w:bookmarkStart w:id="0" w:name="_Hlk536699799"/>
            <w:bookmarkStart w:id="1" w:name="_Hlk536783105"/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Author year/Publica</w:t>
            </w: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softHyphen/>
              <w:t>tion type</w:t>
            </w:r>
          </w:p>
        </w:tc>
        <w:tc>
          <w:tcPr>
            <w:tcW w:w="3677" w:type="dxa"/>
            <w:vAlign w:val="center"/>
          </w:tcPr>
          <w:p w:rsidR="00065B99" w:rsidRPr="00571670" w:rsidRDefault="00065B99" w:rsidP="009C27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Type of analysis/Study characteristics</w:t>
            </w:r>
          </w:p>
        </w:tc>
        <w:tc>
          <w:tcPr>
            <w:tcW w:w="1452" w:type="dxa"/>
            <w:vAlign w:val="center"/>
          </w:tcPr>
          <w:p w:rsidR="00065B99" w:rsidRPr="00571670" w:rsidRDefault="00065B99" w:rsidP="009C27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Perspective</w:t>
            </w:r>
          </w:p>
          <w:p w:rsidR="00065B99" w:rsidRPr="00571670" w:rsidRDefault="00065B99" w:rsidP="009C27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/Horizon</w:t>
            </w:r>
          </w:p>
        </w:tc>
        <w:tc>
          <w:tcPr>
            <w:tcW w:w="2693" w:type="dxa"/>
            <w:vAlign w:val="center"/>
          </w:tcPr>
          <w:p w:rsidR="00065B99" w:rsidRPr="00571670" w:rsidRDefault="00065B99" w:rsidP="009C27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Alternatives</w:t>
            </w:r>
          </w:p>
        </w:tc>
        <w:tc>
          <w:tcPr>
            <w:tcW w:w="2384" w:type="dxa"/>
            <w:vAlign w:val="center"/>
          </w:tcPr>
          <w:p w:rsidR="00065B99" w:rsidRPr="00571670" w:rsidRDefault="00065B99" w:rsidP="009C27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 xml:space="preserve">Types of costs </w:t>
            </w:r>
          </w:p>
        </w:tc>
        <w:tc>
          <w:tcPr>
            <w:tcW w:w="1806" w:type="dxa"/>
            <w:vAlign w:val="center"/>
          </w:tcPr>
          <w:p w:rsidR="00065B99" w:rsidRPr="00571670" w:rsidRDefault="00065B99" w:rsidP="009C27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Outcome measures</w:t>
            </w:r>
          </w:p>
        </w:tc>
      </w:tr>
      <w:tr w:rsidR="00065B99" w:rsidRPr="00571670" w:rsidTr="009C2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065B99" w:rsidRPr="00571670" w:rsidRDefault="00065B99" w:rsidP="009C27B8">
            <w:pPr>
              <w:rPr>
                <w:rFonts w:ascii="Arial" w:hAnsi="Arial" w:cs="Arial"/>
                <w:b w:val="0"/>
                <w:color w:val="000000" w:themeColor="text1"/>
              </w:rPr>
            </w:pPr>
            <w:proofErr w:type="spellStart"/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>Blasco</w:t>
            </w:r>
            <w:proofErr w:type="spellEnd"/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 xml:space="preserve"> 2009</w:t>
            </w:r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vertAlign w:val="superscript"/>
                <w:lang w:val="en-GB"/>
              </w:rPr>
              <w:t>11</w:t>
            </w:r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>/ Original article</w:t>
            </w:r>
          </w:p>
        </w:tc>
        <w:tc>
          <w:tcPr>
            <w:tcW w:w="3677" w:type="dxa"/>
            <w:vAlign w:val="center"/>
          </w:tcPr>
          <w:p w:rsidR="00065B99" w:rsidRPr="00571670" w:rsidRDefault="00065B99" w:rsidP="009C2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 xml:space="preserve">CEA/Decision tree model Efficacy data extracted from a RCT studying ETN vs PCB </w:t>
            </w:r>
          </w:p>
        </w:tc>
        <w:tc>
          <w:tcPr>
            <w:tcW w:w="1452" w:type="dxa"/>
            <w:vAlign w:val="center"/>
          </w:tcPr>
          <w:p w:rsidR="00065B99" w:rsidRPr="00571670" w:rsidRDefault="00065B99" w:rsidP="009C27B8">
            <w:pPr>
              <w:tabs>
                <w:tab w:val="left" w:pos="739"/>
              </w:tabs>
              <w:ind w:left="-110" w:right="17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SNS/12-24 weeks</w:t>
            </w:r>
          </w:p>
        </w:tc>
        <w:tc>
          <w:tcPr>
            <w:tcW w:w="2693" w:type="dxa"/>
            <w:vAlign w:val="center"/>
          </w:tcPr>
          <w:p w:rsidR="00065B99" w:rsidRPr="00571670" w:rsidRDefault="00065B99" w:rsidP="009C2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●ETN 2x25 mg/week or 50 mg/week vs PCB</w:t>
            </w:r>
          </w:p>
          <w:p w:rsidR="00065B99" w:rsidRPr="00571670" w:rsidRDefault="00065B99" w:rsidP="009C2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●ETN 2x25 mg/week vs PCB</w:t>
            </w:r>
          </w:p>
        </w:tc>
        <w:tc>
          <w:tcPr>
            <w:tcW w:w="2384" w:type="dxa"/>
            <w:vAlign w:val="center"/>
          </w:tcPr>
          <w:p w:rsidR="00065B99" w:rsidRPr="00571670" w:rsidRDefault="00065B99" w:rsidP="009C2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Direct healthcare (pharmacological)</w:t>
            </w:r>
          </w:p>
        </w:tc>
        <w:tc>
          <w:tcPr>
            <w:tcW w:w="1806" w:type="dxa"/>
            <w:vAlign w:val="center"/>
          </w:tcPr>
          <w:p w:rsidR="00065B99" w:rsidRPr="00571670" w:rsidRDefault="00065B99" w:rsidP="009C27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€/PASI75-12 weeks</w:t>
            </w:r>
          </w:p>
          <w:p w:rsidR="00065B99" w:rsidRPr="00571670" w:rsidRDefault="00065B99" w:rsidP="009C27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€/PASI75-24 weeks</w:t>
            </w:r>
          </w:p>
        </w:tc>
      </w:tr>
      <w:tr w:rsidR="00065B99" w:rsidRPr="008A4550" w:rsidTr="009C2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065B99" w:rsidRPr="00571670" w:rsidRDefault="00065B99" w:rsidP="009C27B8">
            <w:pPr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</w:pPr>
            <w:proofErr w:type="spellStart"/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>Carretero</w:t>
            </w:r>
            <w:proofErr w:type="spellEnd"/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 xml:space="preserve"> 2009</w:t>
            </w:r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vertAlign w:val="superscript"/>
                <w:lang w:val="en-GB"/>
              </w:rPr>
              <w:t>19</w:t>
            </w:r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 xml:space="preserve">/ Conference </w:t>
            </w:r>
          </w:p>
          <w:p w:rsidR="00065B99" w:rsidRPr="00571670" w:rsidRDefault="00065B99" w:rsidP="009C27B8">
            <w:pPr>
              <w:rPr>
                <w:rFonts w:ascii="Arial" w:hAnsi="Arial" w:cs="Arial"/>
                <w:b w:val="0"/>
                <w:color w:val="000000" w:themeColor="text1"/>
              </w:rPr>
            </w:pPr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>abstract</w:t>
            </w:r>
          </w:p>
        </w:tc>
        <w:tc>
          <w:tcPr>
            <w:tcW w:w="3677" w:type="dxa"/>
            <w:vAlign w:val="center"/>
          </w:tcPr>
          <w:p w:rsidR="00065B99" w:rsidRPr="00571670" w:rsidRDefault="00065B99" w:rsidP="009C2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CBA/</w:t>
            </w:r>
            <w:proofErr w:type="spellStart"/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Pharmacoeconomic</w:t>
            </w:r>
            <w:proofErr w:type="spellEnd"/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 xml:space="preserve"> model Efficacy data extracted from RCTs</w:t>
            </w:r>
            <w:r w:rsidRPr="00571670">
              <w:rPr>
                <w:rStyle w:val="CommentReference"/>
                <w:lang w:val="en-GB"/>
              </w:rPr>
              <w:t xml:space="preserve"> </w:t>
            </w:r>
            <w:r w:rsidRPr="00571670">
              <w:rPr>
                <w:rStyle w:val="CommentReference"/>
                <w:rFonts w:ascii="Arial" w:hAnsi="Arial" w:cs="Arial"/>
                <w:lang w:val="en-GB"/>
              </w:rPr>
              <w:t>Panel</w:t>
            </w:r>
            <w:r w:rsidRPr="00571670">
              <w:rPr>
                <w:rStyle w:val="CommentReference"/>
                <w:lang w:val="en-GB"/>
              </w:rPr>
              <w:t xml:space="preserve"> </w:t>
            </w: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of experts validating contributions to clinical practice in Spain</w:t>
            </w:r>
          </w:p>
        </w:tc>
        <w:tc>
          <w:tcPr>
            <w:tcW w:w="1452" w:type="dxa"/>
            <w:vAlign w:val="center"/>
          </w:tcPr>
          <w:p w:rsidR="00065B99" w:rsidRPr="00571670" w:rsidRDefault="00065B99" w:rsidP="009C27B8">
            <w:pPr>
              <w:tabs>
                <w:tab w:val="left" w:pos="739"/>
              </w:tabs>
              <w:ind w:right="17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SNS/12 weeks</w:t>
            </w:r>
          </w:p>
        </w:tc>
        <w:tc>
          <w:tcPr>
            <w:tcW w:w="2693" w:type="dxa"/>
            <w:vAlign w:val="center"/>
          </w:tcPr>
          <w:p w:rsidR="00065B99" w:rsidRPr="00571670" w:rsidRDefault="00065B99" w:rsidP="009C2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 xml:space="preserve">●ETN 2x25 mg/week vs PCB </w:t>
            </w:r>
          </w:p>
          <w:p w:rsidR="00065B99" w:rsidRPr="00571670" w:rsidRDefault="00065B99" w:rsidP="009C2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 xml:space="preserve">●ETN 50 mg/week vs PCB </w:t>
            </w:r>
          </w:p>
        </w:tc>
        <w:tc>
          <w:tcPr>
            <w:tcW w:w="2384" w:type="dxa"/>
            <w:vAlign w:val="center"/>
          </w:tcPr>
          <w:p w:rsidR="00065B99" w:rsidRPr="00571670" w:rsidRDefault="00065B99" w:rsidP="009C2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Direct healthcare (ND)</w:t>
            </w:r>
          </w:p>
        </w:tc>
        <w:tc>
          <w:tcPr>
            <w:tcW w:w="1806" w:type="dxa"/>
            <w:vAlign w:val="center"/>
          </w:tcPr>
          <w:p w:rsidR="00065B99" w:rsidRPr="00571670" w:rsidRDefault="00065B99" w:rsidP="009C27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€/Quality-adjusted life years (QALY)</w:t>
            </w:r>
          </w:p>
        </w:tc>
      </w:tr>
      <w:tr w:rsidR="00065B99" w:rsidRPr="00571670" w:rsidTr="009C2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065B99" w:rsidRPr="00571670" w:rsidRDefault="00065B99" w:rsidP="009C27B8">
            <w:pPr>
              <w:rPr>
                <w:rFonts w:ascii="Arial" w:hAnsi="Arial" w:cs="Arial"/>
                <w:b w:val="0"/>
                <w:color w:val="000000" w:themeColor="text1"/>
              </w:rPr>
            </w:pPr>
            <w:proofErr w:type="spellStart"/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>Ferrándiz</w:t>
            </w:r>
            <w:proofErr w:type="spellEnd"/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 xml:space="preserve"> 2012</w:t>
            </w:r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vertAlign w:val="superscript"/>
                <w:lang w:val="en-GB"/>
              </w:rPr>
              <w:t>12</w:t>
            </w:r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>/ Original article</w:t>
            </w:r>
          </w:p>
        </w:tc>
        <w:tc>
          <w:tcPr>
            <w:tcW w:w="3677" w:type="dxa"/>
            <w:vAlign w:val="center"/>
          </w:tcPr>
          <w:p w:rsidR="00065B99" w:rsidRPr="00571670" w:rsidRDefault="00065B99" w:rsidP="009C2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 xml:space="preserve">CEA/Decision tree model Efficacy </w:t>
            </w:r>
            <w:r w:rsidRPr="00571670">
              <w:rPr>
                <w:rFonts w:ascii="Arial" w:hAnsi="Arial" w:cs="Arial"/>
                <w:lang w:val="en-GB"/>
              </w:rPr>
              <w:t xml:space="preserve">data from meta-analysis of RCT of ETN used in </w:t>
            </w:r>
            <w:proofErr w:type="spellStart"/>
            <w:r w:rsidRPr="00571670">
              <w:rPr>
                <w:rFonts w:ascii="Arial" w:hAnsi="Arial" w:cs="Arial"/>
                <w:i/>
                <w:iCs/>
                <w:lang w:val="en-GB"/>
              </w:rPr>
              <w:t>Blasco</w:t>
            </w:r>
            <w:proofErr w:type="spellEnd"/>
            <w:r w:rsidRPr="00571670">
              <w:rPr>
                <w:rFonts w:ascii="Arial" w:hAnsi="Arial" w:cs="Arial"/>
                <w:i/>
                <w:iCs/>
                <w:lang w:val="en-GB"/>
              </w:rPr>
              <w:t xml:space="preserve"> et al.</w:t>
            </w:r>
            <w:r w:rsidRPr="00571670">
              <w:rPr>
                <w:rFonts w:ascii="Arial" w:hAnsi="Arial" w:cs="Arial"/>
                <w:vertAlign w:val="superscript"/>
                <w:lang w:val="en-GB"/>
              </w:rPr>
              <w:t>11</w:t>
            </w:r>
            <w:r w:rsidRPr="00571670">
              <w:rPr>
                <w:rFonts w:ascii="Arial" w:hAnsi="Arial" w:cs="Arial"/>
                <w:lang w:val="en-GB"/>
              </w:rPr>
              <w:t>, updated in 2010</w:t>
            </w:r>
          </w:p>
        </w:tc>
        <w:tc>
          <w:tcPr>
            <w:tcW w:w="1452" w:type="dxa"/>
            <w:vAlign w:val="center"/>
          </w:tcPr>
          <w:p w:rsidR="00065B99" w:rsidRPr="00571670" w:rsidRDefault="00065B99" w:rsidP="009C27B8">
            <w:pPr>
              <w:tabs>
                <w:tab w:val="left" w:pos="739"/>
              </w:tabs>
              <w:ind w:left="-110" w:right="17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SNS/12-24 weeks</w:t>
            </w:r>
          </w:p>
        </w:tc>
        <w:tc>
          <w:tcPr>
            <w:tcW w:w="2693" w:type="dxa"/>
            <w:vAlign w:val="center"/>
          </w:tcPr>
          <w:p w:rsidR="00065B99" w:rsidRPr="00571670" w:rsidRDefault="00065B99" w:rsidP="009C2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●ETN 2x25 mg/week or 50 mg/week vs PCB</w:t>
            </w:r>
          </w:p>
          <w:p w:rsidR="00065B99" w:rsidRPr="00571670" w:rsidRDefault="00065B99" w:rsidP="009C2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 xml:space="preserve">●ETN 2x25 mg/week vs PCB </w:t>
            </w:r>
          </w:p>
        </w:tc>
        <w:tc>
          <w:tcPr>
            <w:tcW w:w="2384" w:type="dxa"/>
            <w:vAlign w:val="center"/>
          </w:tcPr>
          <w:p w:rsidR="00065B99" w:rsidRPr="00571670" w:rsidRDefault="00065B99" w:rsidP="009C2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Direct healthcare (pharmacological)</w:t>
            </w:r>
          </w:p>
        </w:tc>
        <w:tc>
          <w:tcPr>
            <w:tcW w:w="1806" w:type="dxa"/>
            <w:vAlign w:val="center"/>
          </w:tcPr>
          <w:p w:rsidR="00065B99" w:rsidRPr="00571670" w:rsidRDefault="00065B99" w:rsidP="009C27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€/PASI75-12 and 24 weeks</w:t>
            </w:r>
          </w:p>
        </w:tc>
      </w:tr>
      <w:tr w:rsidR="00065B99" w:rsidRPr="00571670" w:rsidTr="009C2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065B99" w:rsidRPr="00571670" w:rsidRDefault="00065B99" w:rsidP="009C27B8">
            <w:pPr>
              <w:rPr>
                <w:rFonts w:ascii="Arial" w:hAnsi="Arial" w:cs="Arial"/>
                <w:b w:val="0"/>
                <w:color w:val="000000" w:themeColor="text1"/>
              </w:rPr>
            </w:pPr>
            <w:proofErr w:type="spellStart"/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>Galván-Banqueri</w:t>
            </w:r>
            <w:proofErr w:type="spellEnd"/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 xml:space="preserve"> 2013</w:t>
            </w:r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vertAlign w:val="superscript"/>
                <w:lang w:val="en-GB"/>
              </w:rPr>
              <w:t>22</w:t>
            </w:r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>/       HTA report</w:t>
            </w:r>
          </w:p>
        </w:tc>
        <w:tc>
          <w:tcPr>
            <w:tcW w:w="3677" w:type="dxa"/>
            <w:vMerge w:val="restart"/>
            <w:vAlign w:val="center"/>
          </w:tcPr>
          <w:p w:rsidR="00065B99" w:rsidRPr="00571670" w:rsidRDefault="00065B99" w:rsidP="009C2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/>
                <w:color w:val="000000" w:themeColor="text1"/>
                <w:lang w:val="en-GB"/>
              </w:rPr>
              <w:t>CEA/</w:t>
            </w:r>
            <w:r w:rsidRPr="00571670">
              <w:rPr>
                <w:rFonts w:ascii="Arial" w:hAnsi="Arial"/>
                <w:lang w:val="en-GB"/>
              </w:rPr>
              <w:t xml:space="preserve"> Efficacy data extracted from a retrospective observational study conducted in Spain</w:t>
            </w:r>
            <w:r w:rsidRPr="00571670">
              <w:rPr>
                <w:vertAlign w:val="superscript"/>
                <w:lang w:val="en-GB"/>
              </w:rPr>
              <w:t>29</w:t>
            </w:r>
          </w:p>
        </w:tc>
        <w:tc>
          <w:tcPr>
            <w:tcW w:w="1452" w:type="dxa"/>
            <w:vMerge w:val="restart"/>
            <w:vAlign w:val="center"/>
          </w:tcPr>
          <w:p w:rsidR="00065B99" w:rsidRPr="00571670" w:rsidRDefault="00065B99" w:rsidP="009C27B8">
            <w:pPr>
              <w:tabs>
                <w:tab w:val="left" w:pos="739"/>
              </w:tabs>
              <w:ind w:right="17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SNS/1 year</w:t>
            </w:r>
          </w:p>
        </w:tc>
        <w:tc>
          <w:tcPr>
            <w:tcW w:w="2693" w:type="dxa"/>
            <w:vMerge w:val="restart"/>
            <w:vAlign w:val="center"/>
          </w:tcPr>
          <w:p w:rsidR="00065B99" w:rsidRPr="00571670" w:rsidRDefault="00065B99" w:rsidP="009C2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●ETN 2x25 mg/week vs PCB</w:t>
            </w:r>
          </w:p>
        </w:tc>
        <w:tc>
          <w:tcPr>
            <w:tcW w:w="2384" w:type="dxa"/>
            <w:vMerge w:val="restart"/>
            <w:vAlign w:val="center"/>
          </w:tcPr>
          <w:p w:rsidR="00065B99" w:rsidRPr="00571670" w:rsidRDefault="00065B99" w:rsidP="009C2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Direct healthcare (pharmacological)</w:t>
            </w:r>
          </w:p>
        </w:tc>
        <w:tc>
          <w:tcPr>
            <w:tcW w:w="1806" w:type="dxa"/>
            <w:vMerge w:val="restart"/>
            <w:vAlign w:val="center"/>
          </w:tcPr>
          <w:p w:rsidR="00065B99" w:rsidRPr="00571670" w:rsidRDefault="00065B99" w:rsidP="009C27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€/PASI75-72 weeks</w:t>
            </w:r>
          </w:p>
        </w:tc>
      </w:tr>
      <w:tr w:rsidR="00065B99" w:rsidRPr="00571670" w:rsidTr="009C2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065B99" w:rsidRPr="00571670" w:rsidRDefault="00065B99" w:rsidP="009C27B8">
            <w:pPr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</w:pPr>
            <w:r w:rsidRPr="00571670">
              <w:rPr>
                <w:rFonts w:ascii="Arial" w:hAnsi="Arial" w:cs="Arial"/>
                <w:b w:val="0"/>
                <w:bCs w:val="0"/>
                <w:lang w:val="en-GB"/>
              </w:rPr>
              <w:t>Castillo Muñoz 2013</w:t>
            </w:r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vertAlign w:val="superscript"/>
                <w:lang w:val="en-GB"/>
              </w:rPr>
              <w:t>23</w:t>
            </w:r>
            <w:r w:rsidRPr="00571670">
              <w:rPr>
                <w:rFonts w:ascii="Arial" w:hAnsi="Arial" w:cs="Arial"/>
                <w:lang w:val="en-GB"/>
              </w:rPr>
              <w:t xml:space="preserve">/ </w:t>
            </w:r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lastRenderedPageBreak/>
              <w:t xml:space="preserve">Conference </w:t>
            </w:r>
          </w:p>
          <w:p w:rsidR="00065B99" w:rsidRPr="00571670" w:rsidRDefault="00065B99" w:rsidP="009C27B8">
            <w:pPr>
              <w:rPr>
                <w:rFonts w:ascii="Arial" w:hAnsi="Arial" w:cs="Arial"/>
                <w:b w:val="0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>abstract</w:t>
            </w:r>
          </w:p>
        </w:tc>
        <w:tc>
          <w:tcPr>
            <w:tcW w:w="3677" w:type="dxa"/>
            <w:vMerge/>
            <w:vAlign w:val="center"/>
          </w:tcPr>
          <w:p w:rsidR="00065B99" w:rsidRPr="00571670" w:rsidRDefault="00065B99" w:rsidP="009C2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452" w:type="dxa"/>
            <w:vMerge/>
            <w:vAlign w:val="center"/>
          </w:tcPr>
          <w:p w:rsidR="00065B99" w:rsidRPr="00571670" w:rsidRDefault="00065B99" w:rsidP="009C27B8">
            <w:pPr>
              <w:tabs>
                <w:tab w:val="left" w:pos="739"/>
              </w:tabs>
              <w:ind w:left="-110" w:right="17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2693" w:type="dxa"/>
            <w:vMerge/>
            <w:vAlign w:val="center"/>
          </w:tcPr>
          <w:p w:rsidR="00065B99" w:rsidRPr="00571670" w:rsidRDefault="00065B99" w:rsidP="009C2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2384" w:type="dxa"/>
            <w:vMerge/>
            <w:vAlign w:val="center"/>
          </w:tcPr>
          <w:p w:rsidR="00065B99" w:rsidRPr="00571670" w:rsidRDefault="00065B99" w:rsidP="009C2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806" w:type="dxa"/>
            <w:vMerge/>
            <w:vAlign w:val="center"/>
          </w:tcPr>
          <w:p w:rsidR="00065B99" w:rsidRPr="00571670" w:rsidRDefault="00065B99" w:rsidP="009C27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065B99" w:rsidRPr="008A4550" w:rsidTr="009C2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065B99" w:rsidRPr="00571670" w:rsidRDefault="00065B99" w:rsidP="009C27B8">
            <w:pPr>
              <w:rPr>
                <w:rFonts w:ascii="Arial" w:hAnsi="Arial" w:cs="Arial"/>
                <w:b w:val="0"/>
                <w:highlight w:val="yellow"/>
              </w:rPr>
            </w:pPr>
            <w:proofErr w:type="spellStart"/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lastRenderedPageBreak/>
              <w:t>Puig</w:t>
            </w:r>
            <w:proofErr w:type="spellEnd"/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 xml:space="preserve"> 2014</w:t>
            </w:r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vertAlign w:val="superscript"/>
                <w:lang w:val="en-GB"/>
              </w:rPr>
              <w:t>21</w:t>
            </w:r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>/ Case-research letter</w:t>
            </w:r>
          </w:p>
        </w:tc>
        <w:tc>
          <w:tcPr>
            <w:tcW w:w="3677" w:type="dxa"/>
            <w:vAlign w:val="center"/>
          </w:tcPr>
          <w:p w:rsidR="00065B99" w:rsidRPr="00571670" w:rsidRDefault="00065B99" w:rsidP="009C2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CEA/Analysis based on efficacy data extracted from meta-analysis of RCT of ETN</w:t>
            </w:r>
            <w:r w:rsidRPr="00571670">
              <w:rPr>
                <w:rFonts w:ascii="Arial" w:hAnsi="Arial" w:cs="Arial"/>
                <w:color w:val="000000" w:themeColor="text1"/>
                <w:vertAlign w:val="superscript"/>
                <w:lang w:val="en-GB"/>
              </w:rPr>
              <w:t>25</w:t>
            </w:r>
          </w:p>
        </w:tc>
        <w:tc>
          <w:tcPr>
            <w:tcW w:w="1452" w:type="dxa"/>
            <w:vAlign w:val="center"/>
          </w:tcPr>
          <w:p w:rsidR="00065B99" w:rsidRPr="00571670" w:rsidRDefault="00065B99" w:rsidP="009C27B8">
            <w:pPr>
              <w:tabs>
                <w:tab w:val="left" w:pos="739"/>
              </w:tabs>
              <w:ind w:right="17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SNS/24 weeks</w:t>
            </w:r>
          </w:p>
        </w:tc>
        <w:tc>
          <w:tcPr>
            <w:tcW w:w="2693" w:type="dxa"/>
            <w:vAlign w:val="center"/>
          </w:tcPr>
          <w:p w:rsidR="00065B99" w:rsidRPr="00571670" w:rsidRDefault="00065B99" w:rsidP="009C2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ETN 2x50 mg/week followed by ETN 50 mg/week</w:t>
            </w:r>
          </w:p>
        </w:tc>
        <w:tc>
          <w:tcPr>
            <w:tcW w:w="2384" w:type="dxa"/>
            <w:vAlign w:val="center"/>
          </w:tcPr>
          <w:p w:rsidR="00065B99" w:rsidRPr="00571670" w:rsidRDefault="00065B99" w:rsidP="009C2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Direct healthcare (pharmacological)</w:t>
            </w:r>
          </w:p>
        </w:tc>
        <w:tc>
          <w:tcPr>
            <w:tcW w:w="1806" w:type="dxa"/>
            <w:vAlign w:val="center"/>
          </w:tcPr>
          <w:p w:rsidR="00065B99" w:rsidRPr="00571670" w:rsidRDefault="00065B99" w:rsidP="009C27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●€/PASI50-12 weeks</w:t>
            </w:r>
          </w:p>
          <w:p w:rsidR="00065B99" w:rsidRPr="00571670" w:rsidRDefault="00065B99" w:rsidP="009C27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●€/PASI50-24 weeks</w:t>
            </w:r>
          </w:p>
          <w:p w:rsidR="00065B99" w:rsidRPr="00571670" w:rsidRDefault="00065B99" w:rsidP="009C27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●€/PASI75-24 weeks</w:t>
            </w:r>
          </w:p>
        </w:tc>
      </w:tr>
      <w:tr w:rsidR="00065B99" w:rsidRPr="00571670" w:rsidTr="009C2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065B99" w:rsidRPr="00571670" w:rsidRDefault="00065B99" w:rsidP="009C27B8">
            <w:pPr>
              <w:pStyle w:val="Default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  <w:t>Ventayol</w:t>
            </w:r>
            <w:proofErr w:type="spellEnd"/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  <w:t xml:space="preserve"> 2014</w:t>
            </w:r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vertAlign w:val="superscript"/>
                <w:lang w:val="en-GB"/>
              </w:rPr>
              <w:t>24</w:t>
            </w:r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  <w:t xml:space="preserve"> / Conference </w:t>
            </w:r>
          </w:p>
          <w:p w:rsidR="00065B99" w:rsidRPr="00571670" w:rsidRDefault="00065B99" w:rsidP="009C27B8">
            <w:pPr>
              <w:rPr>
                <w:rFonts w:ascii="Arial" w:hAnsi="Arial" w:cs="Arial"/>
                <w:b w:val="0"/>
                <w:color w:val="000000" w:themeColor="text1"/>
              </w:rPr>
            </w:pPr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>abstract</w:t>
            </w:r>
          </w:p>
        </w:tc>
        <w:tc>
          <w:tcPr>
            <w:tcW w:w="3677" w:type="dxa"/>
            <w:vAlign w:val="center"/>
          </w:tcPr>
          <w:p w:rsidR="00065B99" w:rsidRPr="00571670" w:rsidRDefault="00065B99" w:rsidP="009C2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CEA/Retrospective multi-centre study on patients naive to BT and with at least 6 months’ experience (n=112). ETN (n=34)</w:t>
            </w:r>
          </w:p>
        </w:tc>
        <w:tc>
          <w:tcPr>
            <w:tcW w:w="1452" w:type="dxa"/>
          </w:tcPr>
          <w:p w:rsidR="00065B99" w:rsidRPr="00571670" w:rsidRDefault="00065B99" w:rsidP="009C27B8">
            <w:pPr>
              <w:tabs>
                <w:tab w:val="left" w:pos="739"/>
              </w:tabs>
              <w:ind w:right="17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SNS/2 years</w:t>
            </w:r>
          </w:p>
        </w:tc>
        <w:tc>
          <w:tcPr>
            <w:tcW w:w="2693" w:type="dxa"/>
          </w:tcPr>
          <w:p w:rsidR="00065B99" w:rsidRPr="00571670" w:rsidRDefault="00065B99" w:rsidP="009C2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Persistent vs non-persistent patients</w:t>
            </w:r>
          </w:p>
        </w:tc>
        <w:tc>
          <w:tcPr>
            <w:tcW w:w="2384" w:type="dxa"/>
            <w:vAlign w:val="center"/>
          </w:tcPr>
          <w:p w:rsidR="00065B99" w:rsidRPr="00571670" w:rsidRDefault="00065B99" w:rsidP="009C2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Direct healthcare (pharmacological)*</w:t>
            </w:r>
          </w:p>
        </w:tc>
        <w:tc>
          <w:tcPr>
            <w:tcW w:w="1806" w:type="dxa"/>
            <w:vAlign w:val="center"/>
          </w:tcPr>
          <w:p w:rsidR="00065B99" w:rsidRPr="00571670" w:rsidRDefault="00065B99" w:rsidP="009C27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€/persistent at 2 years</w:t>
            </w:r>
          </w:p>
        </w:tc>
      </w:tr>
      <w:tr w:rsidR="00065B99" w:rsidRPr="00571670" w:rsidTr="009C27B8">
        <w:trPr>
          <w:trHeight w:val="2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065B99" w:rsidRPr="00571670" w:rsidRDefault="00065B99" w:rsidP="009C27B8">
            <w:pPr>
              <w:pStyle w:val="Default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proofErr w:type="spellStart"/>
            <w:r w:rsidRPr="00571670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Alfageme</w:t>
            </w:r>
            <w:proofErr w:type="spellEnd"/>
            <w:r w:rsidRPr="00571670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 xml:space="preserve"> 2016</w:t>
            </w:r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vertAlign w:val="superscript"/>
                <w:lang w:val="en-GB"/>
              </w:rPr>
              <w:t>18</w:t>
            </w:r>
            <w:r w:rsidRPr="00571670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/ Original article</w:t>
            </w:r>
          </w:p>
        </w:tc>
        <w:tc>
          <w:tcPr>
            <w:tcW w:w="3677" w:type="dxa"/>
          </w:tcPr>
          <w:p w:rsidR="00065B99" w:rsidRPr="00571670" w:rsidRDefault="00065B99" w:rsidP="009C2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lang w:val="en-GB"/>
              </w:rPr>
              <w:t xml:space="preserve">CEA/model (type not defined). Effectiveness data from another CEA conducted from the perspective of the Swiss national health service. </w:t>
            </w:r>
          </w:p>
        </w:tc>
        <w:tc>
          <w:tcPr>
            <w:tcW w:w="1452" w:type="dxa"/>
          </w:tcPr>
          <w:p w:rsidR="00065B99" w:rsidRPr="00571670" w:rsidRDefault="00065B99" w:rsidP="009C27B8">
            <w:pPr>
              <w:tabs>
                <w:tab w:val="left" w:pos="739"/>
              </w:tabs>
              <w:ind w:right="17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lang w:val="en-GB"/>
              </w:rPr>
              <w:t>Society/12 weeks</w:t>
            </w:r>
          </w:p>
        </w:tc>
        <w:tc>
          <w:tcPr>
            <w:tcW w:w="2693" w:type="dxa"/>
          </w:tcPr>
          <w:p w:rsidR="00065B99" w:rsidRPr="00A052A8" w:rsidRDefault="00065B99" w:rsidP="009C2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A052A8">
              <w:rPr>
                <w:rFonts w:ascii="Arial" w:hAnsi="Arial" w:cs="Arial"/>
                <w:lang w:val="en-US"/>
              </w:rPr>
              <w:t>ETN 2x50 mg vs PCB</w:t>
            </w:r>
          </w:p>
        </w:tc>
        <w:tc>
          <w:tcPr>
            <w:tcW w:w="2384" w:type="dxa"/>
          </w:tcPr>
          <w:p w:rsidR="00065B99" w:rsidRPr="00571670" w:rsidRDefault="00065B99" w:rsidP="009C2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571670">
              <w:rPr>
                <w:rFonts w:ascii="Arial" w:hAnsi="Arial" w:cs="Arial"/>
                <w:lang w:val="en-GB"/>
              </w:rPr>
              <w:t>●Direct healthcare (pharmacological, structural costs, visits, complementary tests)</w:t>
            </w:r>
          </w:p>
          <w:p w:rsidR="00065B99" w:rsidRPr="00571670" w:rsidRDefault="00065B99" w:rsidP="009C2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571670">
              <w:rPr>
                <w:rFonts w:ascii="Arial" w:hAnsi="Arial" w:cs="Arial"/>
                <w:lang w:val="en-GB"/>
              </w:rPr>
              <w:t xml:space="preserve">●Direct non-healthcare (travel expenses to the centre) </w:t>
            </w:r>
          </w:p>
          <w:p w:rsidR="00065B99" w:rsidRPr="00571670" w:rsidRDefault="00065B99" w:rsidP="009C2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71670">
              <w:rPr>
                <w:rFonts w:ascii="Arial" w:hAnsi="Arial" w:cs="Arial"/>
                <w:lang w:val="en-GB"/>
              </w:rPr>
              <w:t>●Indirect</w:t>
            </w:r>
          </w:p>
          <w:p w:rsidR="00065B99" w:rsidRPr="00571670" w:rsidRDefault="00065B99" w:rsidP="009C2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lang w:val="en-GB"/>
              </w:rPr>
              <w:lastRenderedPageBreak/>
              <w:t>(loss of productivity)</w:t>
            </w:r>
          </w:p>
        </w:tc>
        <w:tc>
          <w:tcPr>
            <w:tcW w:w="1806" w:type="dxa"/>
          </w:tcPr>
          <w:p w:rsidR="00065B99" w:rsidRPr="00571670" w:rsidRDefault="00065B99" w:rsidP="009C27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lang w:val="en-GB"/>
              </w:rPr>
              <w:lastRenderedPageBreak/>
              <w:t>€/PASI75-12 weeks</w:t>
            </w:r>
          </w:p>
        </w:tc>
      </w:tr>
      <w:tr w:rsidR="00065B99" w:rsidRPr="008A4550" w:rsidTr="009C2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065B99" w:rsidRPr="00571670" w:rsidRDefault="00065B99" w:rsidP="009C27B8">
            <w:pPr>
              <w:rPr>
                <w:rFonts w:ascii="Arial" w:hAnsi="Arial" w:cs="Arial"/>
                <w:b w:val="0"/>
                <w:color w:val="000000" w:themeColor="text1"/>
              </w:rPr>
            </w:pPr>
            <w:proofErr w:type="spellStart"/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lastRenderedPageBreak/>
              <w:t>Puig</w:t>
            </w:r>
            <w:proofErr w:type="spellEnd"/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 xml:space="preserve"> 2016</w:t>
            </w:r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vertAlign w:val="superscript"/>
                <w:lang w:val="en-GB"/>
              </w:rPr>
              <w:t>13</w:t>
            </w:r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>/ Original article</w:t>
            </w:r>
          </w:p>
        </w:tc>
        <w:tc>
          <w:tcPr>
            <w:tcW w:w="3677" w:type="dxa"/>
            <w:vAlign w:val="center"/>
          </w:tcPr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 xml:space="preserve">CEA/Decision tree model Efficacy data extracted from the </w:t>
            </w:r>
            <w:proofErr w:type="spellStart"/>
            <w:r w:rsidRPr="00571670">
              <w:rPr>
                <w:rFonts w:ascii="Arial" w:hAnsi="Arial" w:cs="Arial"/>
                <w:i/>
                <w:iCs/>
                <w:color w:val="000000" w:themeColor="text1"/>
                <w:lang w:val="en-GB"/>
              </w:rPr>
              <w:t>Puig</w:t>
            </w:r>
            <w:proofErr w:type="spellEnd"/>
            <w:r w:rsidRPr="00571670">
              <w:rPr>
                <w:rFonts w:ascii="Arial" w:hAnsi="Arial" w:cs="Arial"/>
                <w:i/>
                <w:iCs/>
                <w:color w:val="000000" w:themeColor="text1"/>
                <w:lang w:val="en-GB"/>
              </w:rPr>
              <w:t xml:space="preserve"> et al.</w:t>
            </w: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 xml:space="preserve"> meta-analysis.</w:t>
            </w:r>
            <w:r w:rsidRPr="00571670">
              <w:rPr>
                <w:rFonts w:ascii="Arial" w:hAnsi="Arial" w:cs="Arial"/>
                <w:color w:val="000000" w:themeColor="text1"/>
                <w:vertAlign w:val="superscript"/>
                <w:lang w:val="en-GB"/>
              </w:rPr>
              <w:t>25</w:t>
            </w:r>
          </w:p>
        </w:tc>
        <w:tc>
          <w:tcPr>
            <w:tcW w:w="1452" w:type="dxa"/>
            <w:vAlign w:val="center"/>
          </w:tcPr>
          <w:p w:rsidR="00065B99" w:rsidRPr="00571670" w:rsidRDefault="00065B99" w:rsidP="009C27B8">
            <w:pPr>
              <w:tabs>
                <w:tab w:val="left" w:pos="739"/>
              </w:tabs>
              <w:ind w:left="-23" w:right="17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SNS/1 year</w:t>
            </w:r>
          </w:p>
        </w:tc>
        <w:tc>
          <w:tcPr>
            <w:tcW w:w="2693" w:type="dxa"/>
            <w:vAlign w:val="center"/>
          </w:tcPr>
          <w:p w:rsidR="00065B99" w:rsidRPr="00571670" w:rsidRDefault="00065B99" w:rsidP="009C2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ETN 2x50 mg/week followed by ETN 50 mg/week vs PCB</w:t>
            </w:r>
          </w:p>
        </w:tc>
        <w:tc>
          <w:tcPr>
            <w:tcW w:w="2384" w:type="dxa"/>
            <w:vAlign w:val="center"/>
          </w:tcPr>
          <w:p w:rsidR="00065B99" w:rsidRPr="00571670" w:rsidRDefault="00065B99" w:rsidP="009C2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Direct healthcare (pharmacological and administration)</w:t>
            </w:r>
          </w:p>
        </w:tc>
        <w:tc>
          <w:tcPr>
            <w:tcW w:w="1806" w:type="dxa"/>
            <w:vAlign w:val="center"/>
          </w:tcPr>
          <w:p w:rsidR="00065B99" w:rsidRPr="00571670" w:rsidRDefault="00065B99" w:rsidP="009C27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€/successfully and unsuccessfully treated patients (%) with annual budget set at €1,000,000.</w:t>
            </w:r>
          </w:p>
        </w:tc>
      </w:tr>
      <w:tr w:rsidR="00065B99" w:rsidRPr="008A4550" w:rsidTr="009C2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065B99" w:rsidRPr="00571670" w:rsidRDefault="00065B99" w:rsidP="009C27B8">
            <w:pPr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</w:pPr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>Martinez-</w:t>
            </w:r>
            <w:proofErr w:type="spellStart"/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>Sesmero</w:t>
            </w:r>
            <w:proofErr w:type="spellEnd"/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 xml:space="preserve"> 2016</w:t>
            </w:r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vertAlign w:val="superscript"/>
                <w:lang w:val="en-GB"/>
              </w:rPr>
              <w:t>14</w:t>
            </w:r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 xml:space="preserve">/ Conference </w:t>
            </w:r>
          </w:p>
          <w:p w:rsidR="00065B99" w:rsidRPr="00571670" w:rsidRDefault="00065B99" w:rsidP="009C27B8">
            <w:pPr>
              <w:rPr>
                <w:rFonts w:ascii="Arial" w:hAnsi="Arial" w:cs="Arial"/>
                <w:b w:val="0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>abstract</w:t>
            </w:r>
          </w:p>
        </w:tc>
        <w:tc>
          <w:tcPr>
            <w:tcW w:w="3677" w:type="dxa"/>
            <w:vAlign w:val="center"/>
          </w:tcPr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CEA/Decision tree model, efficacy data from pivotal RCTs. Local expert panel for information on resource consumption and monitoring.</w:t>
            </w:r>
          </w:p>
        </w:tc>
        <w:tc>
          <w:tcPr>
            <w:tcW w:w="1452" w:type="dxa"/>
            <w:vAlign w:val="center"/>
          </w:tcPr>
          <w:p w:rsidR="00065B99" w:rsidRPr="00571670" w:rsidRDefault="00065B99" w:rsidP="009C27B8">
            <w:pPr>
              <w:tabs>
                <w:tab w:val="left" w:pos="739"/>
              </w:tabs>
              <w:ind w:left="-23" w:right="17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SNS/1 year</w:t>
            </w:r>
          </w:p>
        </w:tc>
        <w:tc>
          <w:tcPr>
            <w:tcW w:w="2693" w:type="dxa"/>
            <w:vAlign w:val="center"/>
          </w:tcPr>
          <w:p w:rsidR="00065B99" w:rsidRPr="00571670" w:rsidRDefault="00065B99" w:rsidP="009C2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ETN vs PCB</w:t>
            </w:r>
          </w:p>
        </w:tc>
        <w:tc>
          <w:tcPr>
            <w:tcW w:w="2384" w:type="dxa"/>
            <w:vAlign w:val="center"/>
          </w:tcPr>
          <w:p w:rsidR="00065B99" w:rsidRPr="00571670" w:rsidDel="00194857" w:rsidRDefault="00065B99" w:rsidP="009C2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Direct healthcare (pharmacological, administration and monitoring)</w:t>
            </w:r>
          </w:p>
        </w:tc>
        <w:tc>
          <w:tcPr>
            <w:tcW w:w="1806" w:type="dxa"/>
            <w:vAlign w:val="center"/>
          </w:tcPr>
          <w:p w:rsidR="00065B99" w:rsidRPr="00571670" w:rsidRDefault="00065B99" w:rsidP="009C27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●€/PASI75-54 weeks</w:t>
            </w:r>
          </w:p>
          <w:p w:rsidR="00065B99" w:rsidRPr="00571670" w:rsidRDefault="00065B99" w:rsidP="009C27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●€/PASI75-104 weeks</w:t>
            </w:r>
          </w:p>
          <w:p w:rsidR="00065B99" w:rsidRPr="00571670" w:rsidDel="00E75CC4" w:rsidRDefault="00065B99" w:rsidP="009C27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●€/PASI75-156 weeks</w:t>
            </w:r>
          </w:p>
        </w:tc>
      </w:tr>
      <w:tr w:rsidR="00065B99" w:rsidRPr="00571670" w:rsidTr="009C2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065B99" w:rsidRPr="00571670" w:rsidRDefault="00065B99" w:rsidP="009C27B8">
            <w:pPr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</w:pPr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>Blanch 2016</w:t>
            </w:r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vertAlign w:val="superscript"/>
                <w:lang w:val="en-GB"/>
              </w:rPr>
              <w:t>15</w:t>
            </w:r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 xml:space="preserve">/ Conference </w:t>
            </w:r>
          </w:p>
          <w:p w:rsidR="00065B99" w:rsidRPr="00571670" w:rsidRDefault="00065B99" w:rsidP="009C27B8">
            <w:pPr>
              <w:rPr>
                <w:rFonts w:ascii="Arial" w:hAnsi="Arial" w:cs="Arial"/>
                <w:b w:val="0"/>
                <w:color w:val="000000" w:themeColor="text1"/>
              </w:rPr>
            </w:pPr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lastRenderedPageBreak/>
              <w:t>abstract</w:t>
            </w:r>
          </w:p>
        </w:tc>
        <w:tc>
          <w:tcPr>
            <w:tcW w:w="3677" w:type="dxa"/>
            <w:vAlign w:val="center"/>
          </w:tcPr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lastRenderedPageBreak/>
              <w:t>CEA/Decision tree model with efficacy data obtained from 2 published meta-analyses (</w:t>
            </w:r>
            <w:proofErr w:type="spellStart"/>
            <w:r w:rsidRPr="00571670">
              <w:rPr>
                <w:rFonts w:ascii="Arial" w:hAnsi="Arial" w:cs="Arial"/>
                <w:i/>
                <w:iCs/>
                <w:color w:val="000000" w:themeColor="text1"/>
                <w:lang w:val="en-GB"/>
              </w:rPr>
              <w:t>Puig</w:t>
            </w:r>
            <w:proofErr w:type="spellEnd"/>
            <w:r w:rsidRPr="00571670">
              <w:rPr>
                <w:rFonts w:ascii="Arial" w:hAnsi="Arial" w:cs="Arial"/>
                <w:i/>
                <w:iCs/>
                <w:color w:val="000000" w:themeColor="text1"/>
                <w:lang w:val="en-GB"/>
              </w:rPr>
              <w:t xml:space="preserve"> et </w:t>
            </w:r>
            <w:r w:rsidRPr="00571670">
              <w:rPr>
                <w:rFonts w:ascii="Arial" w:hAnsi="Arial" w:cs="Arial"/>
                <w:i/>
                <w:iCs/>
                <w:color w:val="000000" w:themeColor="text1"/>
                <w:lang w:val="en-GB"/>
              </w:rPr>
              <w:lastRenderedPageBreak/>
              <w:t>al.</w:t>
            </w:r>
            <w:r w:rsidRPr="00571670">
              <w:rPr>
                <w:rFonts w:ascii="Arial" w:hAnsi="Arial" w:cs="Arial"/>
                <w:color w:val="000000" w:themeColor="text1"/>
                <w:vertAlign w:val="superscript"/>
                <w:lang w:val="en-GB"/>
              </w:rPr>
              <w:t>25</w:t>
            </w: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 xml:space="preserve"> and</w:t>
            </w:r>
            <w:r w:rsidRPr="00571670">
              <w:rPr>
                <w:rFonts w:ascii="Arial" w:hAnsi="Arial" w:cs="Arial"/>
                <w:i/>
                <w:iCs/>
                <w:color w:val="000000" w:themeColor="text1"/>
                <w:lang w:val="en-GB"/>
              </w:rPr>
              <w:t xml:space="preserve"> Nast et al.</w:t>
            </w:r>
            <w:r w:rsidRPr="00571670">
              <w:rPr>
                <w:rFonts w:ascii="Arial" w:hAnsi="Arial" w:cs="Arial"/>
                <w:color w:val="000000" w:themeColor="text1"/>
                <w:vertAlign w:val="superscript"/>
                <w:lang w:val="en-GB"/>
              </w:rPr>
              <w:t>26</w:t>
            </w: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)</w:t>
            </w:r>
          </w:p>
        </w:tc>
        <w:tc>
          <w:tcPr>
            <w:tcW w:w="1452" w:type="dxa"/>
            <w:vAlign w:val="center"/>
          </w:tcPr>
          <w:p w:rsidR="00065B99" w:rsidRPr="00571670" w:rsidRDefault="00065B99" w:rsidP="009C27B8">
            <w:pPr>
              <w:tabs>
                <w:tab w:val="left" w:pos="73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lastRenderedPageBreak/>
              <w:t>SNS/2 years</w:t>
            </w:r>
          </w:p>
        </w:tc>
        <w:tc>
          <w:tcPr>
            <w:tcW w:w="2693" w:type="dxa"/>
            <w:vAlign w:val="center"/>
          </w:tcPr>
          <w:p w:rsidR="00065B99" w:rsidRPr="00571670" w:rsidRDefault="00065B99" w:rsidP="009C2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lang w:val="en-GB"/>
              </w:rPr>
              <w:t xml:space="preserve">ETN combined with other BTs (ETN+SEC; ETN+UST; </w:t>
            </w:r>
            <w:r w:rsidRPr="00571670">
              <w:rPr>
                <w:rFonts w:ascii="Arial" w:hAnsi="Arial" w:cs="Arial"/>
                <w:lang w:val="en-GB"/>
              </w:rPr>
              <w:lastRenderedPageBreak/>
              <w:t>ETN+INF;ETN+ADA)</w:t>
            </w:r>
          </w:p>
        </w:tc>
        <w:tc>
          <w:tcPr>
            <w:tcW w:w="2384" w:type="dxa"/>
            <w:vAlign w:val="center"/>
          </w:tcPr>
          <w:p w:rsidR="00065B99" w:rsidRPr="00571670" w:rsidRDefault="00065B99" w:rsidP="009C27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lastRenderedPageBreak/>
              <w:t>Direct healthcare (pharmacological)</w:t>
            </w:r>
          </w:p>
        </w:tc>
        <w:tc>
          <w:tcPr>
            <w:tcW w:w="1806" w:type="dxa"/>
            <w:vAlign w:val="center"/>
          </w:tcPr>
          <w:p w:rsidR="00065B99" w:rsidRPr="00571670" w:rsidRDefault="00065B99" w:rsidP="009C27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€/PASI90-2 years</w:t>
            </w:r>
          </w:p>
        </w:tc>
      </w:tr>
      <w:tr w:rsidR="00065B99" w:rsidRPr="00571670" w:rsidTr="009C2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065B99" w:rsidRPr="00571670" w:rsidRDefault="00065B99" w:rsidP="009C27B8">
            <w:pPr>
              <w:rPr>
                <w:rFonts w:ascii="Arial" w:hAnsi="Arial" w:cs="Arial"/>
                <w:b w:val="0"/>
                <w:color w:val="000000" w:themeColor="text1"/>
              </w:rPr>
            </w:pPr>
            <w:proofErr w:type="spellStart"/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lastRenderedPageBreak/>
              <w:t>Puig</w:t>
            </w:r>
            <w:proofErr w:type="spellEnd"/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 xml:space="preserve"> 2017</w:t>
            </w:r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vertAlign w:val="superscript"/>
                <w:lang w:val="en-GB"/>
              </w:rPr>
              <w:t>16</w:t>
            </w: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 xml:space="preserve">/ </w:t>
            </w:r>
            <w:r w:rsidRPr="005759C1">
              <w:rPr>
                <w:rFonts w:ascii="Arial" w:hAnsi="Arial" w:cs="Arial"/>
                <w:color w:val="000000" w:themeColor="text1"/>
                <w:lang w:val="en-GB"/>
              </w:rPr>
              <w:t>Original article</w:t>
            </w:r>
          </w:p>
        </w:tc>
        <w:tc>
          <w:tcPr>
            <w:tcW w:w="3677" w:type="dxa"/>
            <w:vAlign w:val="center"/>
          </w:tcPr>
          <w:p w:rsidR="00065B99" w:rsidRPr="00571670" w:rsidRDefault="00065B99" w:rsidP="009C27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CEA/Decision tree model with efficacy data obtained from 2 published meta-analyses (</w:t>
            </w:r>
            <w:proofErr w:type="spellStart"/>
            <w:r w:rsidRPr="00571670">
              <w:rPr>
                <w:rFonts w:ascii="Arial" w:hAnsi="Arial" w:cs="Arial"/>
                <w:i/>
                <w:iCs/>
                <w:color w:val="000000" w:themeColor="text1"/>
                <w:lang w:val="en-GB"/>
              </w:rPr>
              <w:t>Puig</w:t>
            </w:r>
            <w:proofErr w:type="spellEnd"/>
            <w:r w:rsidRPr="00571670">
              <w:rPr>
                <w:rFonts w:ascii="Arial" w:hAnsi="Arial" w:cs="Arial"/>
                <w:i/>
                <w:iCs/>
                <w:color w:val="000000" w:themeColor="text1"/>
                <w:lang w:val="en-GB"/>
              </w:rPr>
              <w:t xml:space="preserve"> et al.</w:t>
            </w:r>
            <w:r w:rsidRPr="00571670">
              <w:rPr>
                <w:rFonts w:ascii="Arial" w:hAnsi="Arial" w:cs="Arial"/>
                <w:color w:val="000000" w:themeColor="text1"/>
                <w:vertAlign w:val="superscript"/>
                <w:lang w:val="en-GB"/>
              </w:rPr>
              <w:t>25</w:t>
            </w: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 xml:space="preserve"> and</w:t>
            </w:r>
            <w:r w:rsidRPr="00571670">
              <w:rPr>
                <w:rFonts w:ascii="Arial" w:hAnsi="Arial" w:cs="Arial"/>
                <w:i/>
                <w:iCs/>
                <w:color w:val="000000" w:themeColor="text1"/>
                <w:lang w:val="en-GB"/>
              </w:rPr>
              <w:t xml:space="preserve"> Nast et al</w:t>
            </w:r>
            <w:r w:rsidRPr="00571670">
              <w:rPr>
                <w:rFonts w:ascii="Arial" w:hAnsi="Arial" w:cs="Arial"/>
                <w:color w:val="000000" w:themeColor="text1"/>
                <w:vertAlign w:val="superscript"/>
                <w:lang w:val="en-GB"/>
              </w:rPr>
              <w:t xml:space="preserve"> 26</w:t>
            </w: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)</w:t>
            </w:r>
          </w:p>
        </w:tc>
        <w:tc>
          <w:tcPr>
            <w:tcW w:w="1452" w:type="dxa"/>
            <w:vAlign w:val="center"/>
          </w:tcPr>
          <w:p w:rsidR="00065B99" w:rsidRPr="00571670" w:rsidRDefault="00065B99" w:rsidP="009C27B8">
            <w:pPr>
              <w:tabs>
                <w:tab w:val="left" w:pos="73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SNS/2 years</w:t>
            </w:r>
          </w:p>
        </w:tc>
        <w:tc>
          <w:tcPr>
            <w:tcW w:w="2693" w:type="dxa"/>
            <w:vAlign w:val="center"/>
          </w:tcPr>
          <w:p w:rsidR="00065B99" w:rsidRPr="00571670" w:rsidRDefault="00065B99" w:rsidP="009C27B8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571670">
              <w:rPr>
                <w:rFonts w:ascii="Arial" w:hAnsi="Arial" w:cs="Arial"/>
                <w:sz w:val="22"/>
                <w:szCs w:val="22"/>
                <w:lang w:val="en-GB"/>
              </w:rPr>
              <w:t>ETN in monotherapy and ETN administered in combination with other BTs (ETN+SEC; ETN+UST; ETN+INF;ETN+ADA)</w:t>
            </w:r>
          </w:p>
        </w:tc>
        <w:tc>
          <w:tcPr>
            <w:tcW w:w="2384" w:type="dxa"/>
            <w:vAlign w:val="center"/>
          </w:tcPr>
          <w:p w:rsidR="00065B99" w:rsidRPr="00571670" w:rsidDel="00194857" w:rsidRDefault="00065B99" w:rsidP="009C27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Direct healthcare (pharmacological)</w:t>
            </w:r>
          </w:p>
        </w:tc>
        <w:tc>
          <w:tcPr>
            <w:tcW w:w="1806" w:type="dxa"/>
            <w:vAlign w:val="center"/>
          </w:tcPr>
          <w:p w:rsidR="00065B99" w:rsidRPr="00571670" w:rsidRDefault="00065B99" w:rsidP="009C27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€/PASI90-2 years</w:t>
            </w:r>
          </w:p>
        </w:tc>
      </w:tr>
      <w:tr w:rsidR="00065B99" w:rsidRPr="00571670" w:rsidTr="009C2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065B99" w:rsidRPr="00571670" w:rsidRDefault="00065B99" w:rsidP="009C27B8">
            <w:pPr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</w:pPr>
            <w:proofErr w:type="spellStart"/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>Huete</w:t>
            </w:r>
            <w:proofErr w:type="spellEnd"/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 xml:space="preserve"> 2017</w:t>
            </w:r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vertAlign w:val="superscript"/>
                <w:lang w:val="en-GB"/>
              </w:rPr>
              <w:t>20</w:t>
            </w: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 xml:space="preserve">/ </w:t>
            </w:r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 xml:space="preserve">Conference </w:t>
            </w:r>
          </w:p>
          <w:p w:rsidR="00065B99" w:rsidRPr="00571670" w:rsidRDefault="00065B99" w:rsidP="009C27B8">
            <w:pPr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>abstract</w:t>
            </w:r>
          </w:p>
        </w:tc>
        <w:tc>
          <w:tcPr>
            <w:tcW w:w="3677" w:type="dxa"/>
            <w:vAlign w:val="center"/>
          </w:tcPr>
          <w:p w:rsidR="00065B99" w:rsidRPr="00571670" w:rsidRDefault="00065B99" w:rsidP="009C2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CCA/Model based on a network meta-analysis comparing the efficacy of ETN (PASI 75, 90, 100) vs PCB at 12 weeks of treatment in Spain.</w:t>
            </w:r>
          </w:p>
        </w:tc>
        <w:tc>
          <w:tcPr>
            <w:tcW w:w="1452" w:type="dxa"/>
          </w:tcPr>
          <w:p w:rsidR="00065B99" w:rsidRPr="00571670" w:rsidRDefault="00065B99" w:rsidP="009C27B8">
            <w:pPr>
              <w:tabs>
                <w:tab w:val="left" w:pos="73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SNS/1 year</w:t>
            </w:r>
          </w:p>
        </w:tc>
        <w:tc>
          <w:tcPr>
            <w:tcW w:w="2693" w:type="dxa"/>
            <w:vAlign w:val="center"/>
          </w:tcPr>
          <w:p w:rsidR="00065B99" w:rsidRPr="00571670" w:rsidRDefault="00065B99" w:rsidP="009C27B8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ETN 50 mg/week vs PCB</w:t>
            </w:r>
          </w:p>
        </w:tc>
        <w:tc>
          <w:tcPr>
            <w:tcW w:w="2384" w:type="dxa"/>
          </w:tcPr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Direct healthcare</w:t>
            </w:r>
          </w:p>
          <w:p w:rsidR="00065B99" w:rsidRPr="00571670" w:rsidDel="00194857" w:rsidRDefault="00065B99" w:rsidP="009C2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(pharmacological)</w:t>
            </w:r>
          </w:p>
        </w:tc>
        <w:tc>
          <w:tcPr>
            <w:tcW w:w="1806" w:type="dxa"/>
          </w:tcPr>
          <w:p w:rsidR="00065B99" w:rsidRPr="00571670" w:rsidRDefault="00065B99" w:rsidP="009C27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€/NNT</w:t>
            </w:r>
          </w:p>
        </w:tc>
      </w:tr>
      <w:tr w:rsidR="00065B99" w:rsidRPr="00571670" w:rsidTr="009C2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065B99" w:rsidRPr="00571670" w:rsidRDefault="00065B99" w:rsidP="009C27B8">
            <w:pPr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</w:pPr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>Rosado 2018</w:t>
            </w:r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vertAlign w:val="superscript"/>
                <w:lang w:val="en-GB"/>
              </w:rPr>
              <w:t>17</w:t>
            </w:r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 xml:space="preserve">/ Conference </w:t>
            </w:r>
          </w:p>
          <w:p w:rsidR="00065B99" w:rsidRPr="00571670" w:rsidRDefault="00065B99" w:rsidP="009C27B8">
            <w:pPr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>abstract</w:t>
            </w:r>
          </w:p>
        </w:tc>
        <w:tc>
          <w:tcPr>
            <w:tcW w:w="3677" w:type="dxa"/>
            <w:vAlign w:val="center"/>
          </w:tcPr>
          <w:p w:rsidR="00065B99" w:rsidRPr="00571670" w:rsidRDefault="00065B99" w:rsidP="009C2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 xml:space="preserve">CEA/Decision tree model. Efficacy data extracted from a RCT on ETN. </w:t>
            </w:r>
          </w:p>
        </w:tc>
        <w:tc>
          <w:tcPr>
            <w:tcW w:w="1452" w:type="dxa"/>
            <w:vAlign w:val="center"/>
          </w:tcPr>
          <w:p w:rsidR="00065B99" w:rsidRPr="00571670" w:rsidRDefault="00065B99" w:rsidP="009C27B8">
            <w:pPr>
              <w:tabs>
                <w:tab w:val="left" w:pos="739"/>
              </w:tabs>
              <w:ind w:right="17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SNS/ND</w:t>
            </w:r>
          </w:p>
        </w:tc>
        <w:tc>
          <w:tcPr>
            <w:tcW w:w="2693" w:type="dxa"/>
            <w:vAlign w:val="center"/>
          </w:tcPr>
          <w:p w:rsidR="00065B99" w:rsidRPr="00571670" w:rsidRDefault="00065B99" w:rsidP="009C2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ETN vs PCB (no specified dose)</w:t>
            </w:r>
          </w:p>
        </w:tc>
        <w:tc>
          <w:tcPr>
            <w:tcW w:w="2384" w:type="dxa"/>
            <w:vAlign w:val="center"/>
          </w:tcPr>
          <w:p w:rsidR="00065B99" w:rsidRPr="00571670" w:rsidRDefault="00065B99" w:rsidP="009C2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Direct healthcare (pharmacological, preparation and drug administration)</w:t>
            </w:r>
          </w:p>
        </w:tc>
        <w:tc>
          <w:tcPr>
            <w:tcW w:w="1806" w:type="dxa"/>
            <w:vAlign w:val="center"/>
          </w:tcPr>
          <w:p w:rsidR="00065B99" w:rsidRPr="00571670" w:rsidRDefault="00065B99" w:rsidP="009C2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€/responder PASI 75</w:t>
            </w:r>
          </w:p>
        </w:tc>
      </w:tr>
    </w:tbl>
    <w:bookmarkEnd w:id="0"/>
    <w:bookmarkEnd w:id="1"/>
    <w:p w:rsidR="00065B99" w:rsidRPr="00571670" w:rsidRDefault="00065B99" w:rsidP="00065B99">
      <w:pPr>
        <w:pStyle w:val="Caption"/>
        <w:spacing w:after="0"/>
        <w:ind w:right="-32"/>
        <w:rPr>
          <w:rFonts w:ascii="Arial" w:hAnsi="Arial" w:cs="Arial"/>
          <w:b/>
          <w:i w:val="0"/>
          <w:color w:val="000000" w:themeColor="text1"/>
          <w:sz w:val="22"/>
          <w:szCs w:val="22"/>
          <w:lang w:val="en-US"/>
        </w:rPr>
      </w:pPr>
      <w:r w:rsidRPr="00571670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ADA: adalimumab; CBA: cost-benefit analysis; CEA: cost-effectiveness analysis; ETN: </w:t>
      </w:r>
      <w:proofErr w:type="spellStart"/>
      <w:r w:rsidRPr="00571670">
        <w:rPr>
          <w:rFonts w:ascii="Arial" w:hAnsi="Arial" w:cs="Arial"/>
          <w:color w:val="000000" w:themeColor="text1"/>
          <w:sz w:val="22"/>
          <w:szCs w:val="22"/>
          <w:lang w:val="en-GB"/>
        </w:rPr>
        <w:t>etanercept</w:t>
      </w:r>
      <w:proofErr w:type="spellEnd"/>
      <w:r w:rsidRPr="00571670">
        <w:rPr>
          <w:rFonts w:ascii="Arial" w:hAnsi="Arial" w:cs="Arial"/>
          <w:color w:val="000000" w:themeColor="text1"/>
          <w:sz w:val="22"/>
          <w:szCs w:val="22"/>
          <w:lang w:val="en-GB"/>
        </w:rPr>
        <w:t>; HTEA: Health technology evaluation agency</w:t>
      </w:r>
      <w:r w:rsidRPr="00571670">
        <w:rPr>
          <w:rFonts w:ascii="Arial" w:hAnsi="Arial" w:cs="Arial"/>
          <w:i w:val="0"/>
          <w:iCs w:val="0"/>
          <w:color w:val="000000" w:themeColor="text1"/>
          <w:sz w:val="22"/>
          <w:szCs w:val="22"/>
          <w:lang w:val="en-GB"/>
        </w:rPr>
        <w:t xml:space="preserve">; </w:t>
      </w:r>
      <w:r w:rsidRPr="00571670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INF: infliximab; ND: no data; NNT: Number needed to treat; PASI: Psoriasis area severity index; PCB: placebo; QALY: Quality-adjusted life years; RCT: randomised clinical trial; SEC: </w:t>
      </w:r>
      <w:proofErr w:type="spellStart"/>
      <w:r w:rsidRPr="00571670">
        <w:rPr>
          <w:rFonts w:ascii="Arial" w:hAnsi="Arial" w:cs="Arial"/>
          <w:color w:val="000000" w:themeColor="text1"/>
          <w:sz w:val="22"/>
          <w:szCs w:val="22"/>
          <w:lang w:val="en-GB"/>
        </w:rPr>
        <w:t>secukinumab</w:t>
      </w:r>
      <w:proofErr w:type="spellEnd"/>
      <w:r w:rsidRPr="00571670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; SNS: Spanish National Health Service; UST: </w:t>
      </w:r>
      <w:proofErr w:type="spellStart"/>
      <w:r w:rsidRPr="00571670">
        <w:rPr>
          <w:rFonts w:ascii="Arial" w:hAnsi="Arial" w:cs="Arial"/>
          <w:color w:val="000000" w:themeColor="text1"/>
          <w:sz w:val="22"/>
          <w:szCs w:val="22"/>
          <w:lang w:val="en-GB"/>
        </w:rPr>
        <w:t>ustekinumab</w:t>
      </w:r>
      <w:proofErr w:type="spellEnd"/>
      <w:r w:rsidRPr="00571670">
        <w:rPr>
          <w:rFonts w:ascii="Arial" w:hAnsi="Arial" w:cs="Arial"/>
          <w:color w:val="000000" w:themeColor="text1"/>
          <w:sz w:val="22"/>
          <w:szCs w:val="22"/>
          <w:lang w:val="en-GB"/>
        </w:rPr>
        <w:t>; *Annual cost of the first biological treatment received</w:t>
      </w:r>
      <w:r w:rsidRPr="00571670">
        <w:rPr>
          <w:rFonts w:ascii="Arial" w:hAnsi="Arial" w:cs="Arial"/>
          <w:i w:val="0"/>
          <w:iCs w:val="0"/>
          <w:color w:val="000000" w:themeColor="text1"/>
          <w:sz w:val="22"/>
          <w:szCs w:val="22"/>
          <w:lang w:val="en-GB"/>
        </w:rPr>
        <w:tab/>
      </w:r>
      <w:r w:rsidRPr="00571670">
        <w:rPr>
          <w:rFonts w:ascii="Arial" w:hAnsi="Arial" w:cs="Arial"/>
          <w:b/>
          <w:bCs/>
          <w:color w:val="000000" w:themeColor="text1"/>
          <w:sz w:val="22"/>
          <w:szCs w:val="22"/>
          <w:lang w:val="en-GB"/>
        </w:rPr>
        <w:br w:type="page"/>
      </w:r>
    </w:p>
    <w:p w:rsidR="00065B99" w:rsidRPr="003B00BB" w:rsidRDefault="00065B99" w:rsidP="00065B99">
      <w:pPr>
        <w:pStyle w:val="Caption"/>
        <w:keepNext/>
        <w:rPr>
          <w:rFonts w:ascii="Arial" w:hAnsi="Arial" w:cs="Arial"/>
          <w:i w:val="0"/>
          <w:color w:val="auto"/>
          <w:sz w:val="22"/>
          <w:lang w:val="en-US"/>
        </w:rPr>
      </w:pPr>
      <w:bookmarkStart w:id="2" w:name="_Ref3816166"/>
      <w:r w:rsidRPr="003B00BB">
        <w:rPr>
          <w:rFonts w:ascii="Arial" w:hAnsi="Arial" w:cs="Arial"/>
          <w:i w:val="0"/>
          <w:color w:val="auto"/>
          <w:sz w:val="22"/>
          <w:lang w:val="en-US"/>
        </w:rPr>
        <w:lastRenderedPageBreak/>
        <w:t>Table S</w:t>
      </w:r>
      <w:r w:rsidRPr="003B00BB">
        <w:rPr>
          <w:rFonts w:ascii="Arial" w:hAnsi="Arial" w:cs="Arial"/>
          <w:i w:val="0"/>
          <w:color w:val="auto"/>
          <w:sz w:val="22"/>
        </w:rPr>
        <w:fldChar w:fldCharType="begin"/>
      </w:r>
      <w:r w:rsidRPr="003B00BB">
        <w:rPr>
          <w:rFonts w:ascii="Arial" w:hAnsi="Arial" w:cs="Arial"/>
          <w:i w:val="0"/>
          <w:color w:val="auto"/>
          <w:sz w:val="22"/>
          <w:lang w:val="en-US"/>
        </w:rPr>
        <w:instrText xml:space="preserve"> SEQ Table_S \* ARABIC </w:instrText>
      </w:r>
      <w:r w:rsidRPr="003B00BB">
        <w:rPr>
          <w:rFonts w:ascii="Arial" w:hAnsi="Arial" w:cs="Arial"/>
          <w:i w:val="0"/>
          <w:color w:val="auto"/>
          <w:sz w:val="22"/>
        </w:rPr>
        <w:fldChar w:fldCharType="separate"/>
      </w:r>
      <w:r>
        <w:rPr>
          <w:rFonts w:ascii="Arial" w:hAnsi="Arial" w:cs="Arial"/>
          <w:i w:val="0"/>
          <w:noProof/>
          <w:color w:val="auto"/>
          <w:sz w:val="22"/>
          <w:lang w:val="en-US"/>
        </w:rPr>
        <w:t>2</w:t>
      </w:r>
      <w:r w:rsidRPr="003B00BB">
        <w:rPr>
          <w:rFonts w:ascii="Arial" w:hAnsi="Arial" w:cs="Arial"/>
          <w:i w:val="0"/>
          <w:color w:val="auto"/>
          <w:sz w:val="22"/>
        </w:rPr>
        <w:fldChar w:fldCharType="end"/>
      </w:r>
      <w:bookmarkEnd w:id="2"/>
      <w:r w:rsidRPr="003B00BB">
        <w:rPr>
          <w:rFonts w:ascii="Arial" w:hAnsi="Arial" w:cs="Arial"/>
          <w:i w:val="0"/>
          <w:color w:val="auto"/>
          <w:sz w:val="22"/>
          <w:lang w:val="en-US"/>
        </w:rPr>
        <w:t>.</w:t>
      </w:r>
      <w:r>
        <w:rPr>
          <w:rFonts w:ascii="Arial" w:hAnsi="Arial" w:cs="Arial"/>
          <w:i w:val="0"/>
          <w:color w:val="auto"/>
          <w:sz w:val="22"/>
          <w:lang w:val="en-US"/>
        </w:rPr>
        <w:t xml:space="preserve"> </w:t>
      </w:r>
      <w:r w:rsidRPr="003B00BB">
        <w:rPr>
          <w:rFonts w:ascii="Arial" w:hAnsi="Arial" w:cs="Arial"/>
          <w:i w:val="0"/>
          <w:color w:val="auto"/>
          <w:sz w:val="22"/>
          <w:lang w:val="en-US"/>
        </w:rPr>
        <w:t xml:space="preserve">Descriptive analysis of the partial economic evaluations of PSO and </w:t>
      </w:r>
      <w:proofErr w:type="spellStart"/>
      <w:r w:rsidRPr="003B00BB">
        <w:rPr>
          <w:rFonts w:ascii="Arial" w:hAnsi="Arial" w:cs="Arial"/>
          <w:i w:val="0"/>
          <w:color w:val="auto"/>
          <w:sz w:val="22"/>
          <w:lang w:val="en-US"/>
        </w:rPr>
        <w:t>PsA</w:t>
      </w:r>
      <w:proofErr w:type="spellEnd"/>
      <w:r w:rsidRPr="003B00BB">
        <w:rPr>
          <w:rFonts w:ascii="Arial" w:hAnsi="Arial" w:cs="Arial"/>
          <w:i w:val="0"/>
          <w:color w:val="auto"/>
          <w:sz w:val="22"/>
          <w:lang w:val="en-US"/>
        </w:rPr>
        <w:t xml:space="preserve"> in Spain</w:t>
      </w:r>
    </w:p>
    <w:tbl>
      <w:tblPr>
        <w:tblStyle w:val="Tabladecuadrcula1clara1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5103"/>
        <w:gridCol w:w="1559"/>
        <w:gridCol w:w="2410"/>
        <w:gridCol w:w="3082"/>
      </w:tblGrid>
      <w:tr w:rsidR="00065B99" w:rsidRPr="00571670" w:rsidTr="009C27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:rsidR="00065B99" w:rsidRPr="00571670" w:rsidRDefault="00065B99" w:rsidP="009C27B8">
            <w:pPr>
              <w:ind w:left="-113" w:firstLine="113"/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Author year/Publication type</w:t>
            </w:r>
          </w:p>
        </w:tc>
        <w:tc>
          <w:tcPr>
            <w:tcW w:w="5103" w:type="dxa"/>
            <w:vAlign w:val="center"/>
          </w:tcPr>
          <w:p w:rsidR="00065B99" w:rsidRPr="00571670" w:rsidRDefault="00065B99" w:rsidP="009C27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Type of analysis/Study characteristic</w:t>
            </w:r>
          </w:p>
        </w:tc>
        <w:tc>
          <w:tcPr>
            <w:tcW w:w="1559" w:type="dxa"/>
            <w:vAlign w:val="center"/>
          </w:tcPr>
          <w:p w:rsidR="00065B99" w:rsidRPr="00571670" w:rsidRDefault="00065B99" w:rsidP="009C27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Perspective</w:t>
            </w:r>
          </w:p>
          <w:p w:rsidR="00065B99" w:rsidRPr="00571670" w:rsidRDefault="00065B99" w:rsidP="009C27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/Horizon</w:t>
            </w:r>
          </w:p>
        </w:tc>
        <w:tc>
          <w:tcPr>
            <w:tcW w:w="2410" w:type="dxa"/>
            <w:vAlign w:val="center"/>
          </w:tcPr>
          <w:p w:rsidR="00065B99" w:rsidRPr="00571670" w:rsidRDefault="00065B99" w:rsidP="009C27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Dosing regimen of ETN (n)</w:t>
            </w:r>
          </w:p>
        </w:tc>
        <w:tc>
          <w:tcPr>
            <w:tcW w:w="3082" w:type="dxa"/>
            <w:vAlign w:val="center"/>
          </w:tcPr>
          <w:p w:rsidR="00065B99" w:rsidRPr="00571670" w:rsidRDefault="00065B99" w:rsidP="009C27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 xml:space="preserve">Types of costs </w:t>
            </w:r>
          </w:p>
        </w:tc>
      </w:tr>
      <w:tr w:rsidR="00065B99" w:rsidRPr="00571670" w:rsidTr="009C2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:rsidR="00065B99" w:rsidRPr="00571670" w:rsidRDefault="00065B99" w:rsidP="009C27B8">
            <w:pPr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</w:pPr>
            <w:proofErr w:type="spellStart"/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>Domínguez</w:t>
            </w:r>
            <w:proofErr w:type="spellEnd"/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 xml:space="preserve"> 2011</w:t>
            </w:r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vertAlign w:val="superscript"/>
                <w:lang w:val="en-GB"/>
              </w:rPr>
              <w:t>27</w:t>
            </w:r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 xml:space="preserve">/ Conference </w:t>
            </w:r>
          </w:p>
          <w:p w:rsidR="00065B99" w:rsidRPr="00571670" w:rsidRDefault="00065B99" w:rsidP="009C27B8">
            <w:pPr>
              <w:pStyle w:val="Default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  <w:t>abstract</w:t>
            </w:r>
          </w:p>
        </w:tc>
        <w:tc>
          <w:tcPr>
            <w:tcW w:w="5103" w:type="dxa"/>
            <w:vAlign w:val="center"/>
          </w:tcPr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CA/Cases from a sequential cohort of patients with moderate-severe plaque psoriasis starting treatment with BT (n=760).</w:t>
            </w:r>
          </w:p>
        </w:tc>
        <w:tc>
          <w:tcPr>
            <w:tcW w:w="1559" w:type="dxa"/>
            <w:vAlign w:val="center"/>
          </w:tcPr>
          <w:p w:rsidR="00065B99" w:rsidRPr="00571670" w:rsidRDefault="00065B99" w:rsidP="009C27B8">
            <w:pPr>
              <w:tabs>
                <w:tab w:val="left" w:pos="739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SNS</w:t>
            </w:r>
          </w:p>
          <w:p w:rsidR="00065B99" w:rsidRPr="00571670" w:rsidRDefault="00065B99" w:rsidP="009C27B8">
            <w:pPr>
              <w:tabs>
                <w:tab w:val="left" w:pos="739"/>
                <w:tab w:val="left" w:pos="776"/>
              </w:tabs>
              <w:ind w:right="17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/2 years</w:t>
            </w:r>
          </w:p>
        </w:tc>
        <w:tc>
          <w:tcPr>
            <w:tcW w:w="2410" w:type="dxa"/>
            <w:vAlign w:val="center"/>
          </w:tcPr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ND (n=214)</w:t>
            </w:r>
          </w:p>
        </w:tc>
        <w:tc>
          <w:tcPr>
            <w:tcW w:w="3082" w:type="dxa"/>
          </w:tcPr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Direct healthcare</w:t>
            </w:r>
          </w:p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(pharmacological)</w:t>
            </w:r>
          </w:p>
        </w:tc>
      </w:tr>
      <w:tr w:rsidR="00065B99" w:rsidRPr="00571670" w:rsidTr="009C27B8">
        <w:trPr>
          <w:trHeight w:val="1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065B99" w:rsidRPr="00571670" w:rsidRDefault="00065B99" w:rsidP="009C27B8">
            <w:pPr>
              <w:rPr>
                <w:rFonts w:ascii="Arial" w:hAnsi="Arial" w:cs="Arial"/>
                <w:b w:val="0"/>
                <w:color w:val="000000" w:themeColor="text1"/>
              </w:rPr>
            </w:pPr>
            <w:proofErr w:type="spellStart"/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>Ruano</w:t>
            </w:r>
            <w:proofErr w:type="spellEnd"/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 xml:space="preserve"> 2013</w:t>
            </w:r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vertAlign w:val="superscript"/>
                <w:lang w:val="en-GB"/>
              </w:rPr>
              <w:t>28</w:t>
            </w:r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>/ O</w:t>
            </w: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riginal article</w:t>
            </w:r>
          </w:p>
        </w:tc>
        <w:tc>
          <w:tcPr>
            <w:tcW w:w="5103" w:type="dxa"/>
            <w:vAlign w:val="center"/>
          </w:tcPr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 xml:space="preserve">CMS/Retrospective, observational single-centre </w:t>
            </w:r>
            <w:proofErr w:type="spellStart"/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pharmacoeconomic</w:t>
            </w:r>
            <w:proofErr w:type="spellEnd"/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 xml:space="preserve"> study comparing the efficacy of ETN and ADA as first BTs in patients with moderate-severe psoriasis (n=183). </w:t>
            </w:r>
          </w:p>
        </w:tc>
        <w:tc>
          <w:tcPr>
            <w:tcW w:w="1559" w:type="dxa"/>
            <w:vAlign w:val="center"/>
          </w:tcPr>
          <w:p w:rsidR="00065B99" w:rsidRPr="00571670" w:rsidRDefault="00065B99" w:rsidP="009C27B8">
            <w:pPr>
              <w:tabs>
                <w:tab w:val="left" w:pos="739"/>
              </w:tabs>
              <w:ind w:right="3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Society</w:t>
            </w:r>
          </w:p>
          <w:p w:rsidR="00065B99" w:rsidRPr="00571670" w:rsidRDefault="00065B99" w:rsidP="009C27B8">
            <w:pPr>
              <w:tabs>
                <w:tab w:val="left" w:pos="739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/1 year</w:t>
            </w:r>
          </w:p>
        </w:tc>
        <w:tc>
          <w:tcPr>
            <w:tcW w:w="2410" w:type="dxa"/>
            <w:vAlign w:val="center"/>
          </w:tcPr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 xml:space="preserve">ETN 2x25 mg/week or 50 mg/week (n=135) </w:t>
            </w:r>
          </w:p>
        </w:tc>
        <w:tc>
          <w:tcPr>
            <w:tcW w:w="3082" w:type="dxa"/>
            <w:vAlign w:val="center"/>
          </w:tcPr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●Direct healthcare (pharmacological, visits to specialist and hospital stay)</w:t>
            </w:r>
          </w:p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●Direct non-healthcare (hospital transport expenses)</w:t>
            </w:r>
          </w:p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●Indirect (loss of productivity)</w:t>
            </w:r>
          </w:p>
        </w:tc>
      </w:tr>
      <w:tr w:rsidR="00065B99" w:rsidRPr="00571670" w:rsidTr="009C2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:rsidR="00065B99" w:rsidRPr="00571670" w:rsidRDefault="00065B99" w:rsidP="009C27B8">
            <w:pPr>
              <w:rPr>
                <w:rFonts w:ascii="Arial" w:hAnsi="Arial" w:cs="Arial"/>
                <w:b w:val="0"/>
                <w:color w:val="000000" w:themeColor="text1"/>
              </w:rPr>
            </w:pPr>
            <w:proofErr w:type="spellStart"/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>Puig</w:t>
            </w:r>
            <w:proofErr w:type="spellEnd"/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 xml:space="preserve"> 2014</w:t>
            </w: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B</w:t>
            </w:r>
            <w:r w:rsidRPr="00571670">
              <w:rPr>
                <w:rFonts w:ascii="Arial" w:hAnsi="Arial" w:cs="Arial"/>
                <w:color w:val="000000" w:themeColor="text1"/>
                <w:vertAlign w:val="superscript"/>
                <w:lang w:val="en-GB"/>
              </w:rPr>
              <w:t>31</w:t>
            </w:r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>/ Original article</w:t>
            </w:r>
          </w:p>
        </w:tc>
        <w:tc>
          <w:tcPr>
            <w:tcW w:w="5103" w:type="dxa"/>
            <w:vAlign w:val="center"/>
          </w:tcPr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CA/Model simulating the annual cost of treatment for moderate-severe psoriasis since escalation of the first biological drug (double weekly dose for ETN) over a period of time (from 12 to 31 weeks) or replaced by another BT (ADA, UST or INF).</w:t>
            </w:r>
          </w:p>
        </w:tc>
        <w:tc>
          <w:tcPr>
            <w:tcW w:w="1559" w:type="dxa"/>
            <w:vAlign w:val="center"/>
          </w:tcPr>
          <w:p w:rsidR="00065B99" w:rsidRPr="00571670" w:rsidRDefault="00065B99" w:rsidP="009C27B8">
            <w:pPr>
              <w:tabs>
                <w:tab w:val="left" w:pos="739"/>
              </w:tabs>
              <w:ind w:right="17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SNS</w:t>
            </w:r>
          </w:p>
          <w:p w:rsidR="00065B99" w:rsidRPr="00571670" w:rsidRDefault="00065B99" w:rsidP="009C27B8">
            <w:pPr>
              <w:tabs>
                <w:tab w:val="left" w:pos="739"/>
              </w:tabs>
              <w:ind w:right="3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/1 year</w:t>
            </w:r>
          </w:p>
        </w:tc>
        <w:tc>
          <w:tcPr>
            <w:tcW w:w="2410" w:type="dxa"/>
            <w:vAlign w:val="center"/>
          </w:tcPr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●Standard regimen (maintenance phase): 50 mg/week</w:t>
            </w:r>
          </w:p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●Escalation: (2x50 mg/week) for 12, 17, 26 or 31 weeks</w:t>
            </w:r>
          </w:p>
        </w:tc>
        <w:tc>
          <w:tcPr>
            <w:tcW w:w="3082" w:type="dxa"/>
            <w:vAlign w:val="center"/>
          </w:tcPr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Direct healthcare</w:t>
            </w:r>
          </w:p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(pharmacological)</w:t>
            </w:r>
          </w:p>
        </w:tc>
      </w:tr>
      <w:tr w:rsidR="00065B99" w:rsidRPr="00571670" w:rsidTr="009C27B8">
        <w:trPr>
          <w:trHeight w:val="7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:rsidR="00065B99" w:rsidRPr="00571670" w:rsidRDefault="00065B99" w:rsidP="009C27B8">
            <w:pPr>
              <w:rPr>
                <w:rFonts w:ascii="Arial" w:hAnsi="Arial" w:cs="Arial"/>
                <w:b w:val="0"/>
                <w:color w:val="000000" w:themeColor="text1"/>
              </w:rPr>
            </w:pPr>
            <w:proofErr w:type="spellStart"/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>Fernández</w:t>
            </w:r>
            <w:proofErr w:type="spellEnd"/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>-Torres 2015</w:t>
            </w:r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vertAlign w:val="superscript"/>
                <w:lang w:val="en-GB"/>
              </w:rPr>
              <w:t>29</w:t>
            </w:r>
          </w:p>
          <w:p w:rsidR="00065B99" w:rsidRPr="00571670" w:rsidRDefault="00065B99" w:rsidP="009C27B8">
            <w:pPr>
              <w:rPr>
                <w:rFonts w:ascii="Arial" w:hAnsi="Arial" w:cs="Arial"/>
                <w:b w:val="0"/>
                <w:color w:val="000000" w:themeColor="text1"/>
              </w:rPr>
            </w:pPr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lastRenderedPageBreak/>
              <w:t>/Original article</w:t>
            </w:r>
          </w:p>
        </w:tc>
        <w:tc>
          <w:tcPr>
            <w:tcW w:w="5103" w:type="dxa"/>
            <w:vAlign w:val="center"/>
          </w:tcPr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lastRenderedPageBreak/>
              <w:t>CA/Retrospective observational study of patients with moderate-severe plaque psoriasis receiving ETN (n=102)</w:t>
            </w:r>
          </w:p>
        </w:tc>
        <w:tc>
          <w:tcPr>
            <w:tcW w:w="1559" w:type="dxa"/>
            <w:vAlign w:val="center"/>
          </w:tcPr>
          <w:p w:rsidR="00065B99" w:rsidRPr="00571670" w:rsidRDefault="00065B99" w:rsidP="009C27B8">
            <w:pPr>
              <w:tabs>
                <w:tab w:val="left" w:pos="739"/>
                <w:tab w:val="left" w:pos="776"/>
              </w:tabs>
              <w:ind w:right="17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SNS</w:t>
            </w:r>
          </w:p>
          <w:p w:rsidR="00065B99" w:rsidRPr="00571670" w:rsidRDefault="00065B99" w:rsidP="009C27B8">
            <w:pPr>
              <w:tabs>
                <w:tab w:val="left" w:pos="739"/>
                <w:tab w:val="left" w:pos="776"/>
              </w:tabs>
              <w:ind w:right="17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/1 year</w:t>
            </w:r>
          </w:p>
        </w:tc>
        <w:tc>
          <w:tcPr>
            <w:tcW w:w="2410" w:type="dxa"/>
            <w:vAlign w:val="center"/>
          </w:tcPr>
          <w:p w:rsidR="00065B99" w:rsidRPr="00571670" w:rsidRDefault="00065B99" w:rsidP="009C2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 xml:space="preserve">50 mg/week or 2x50 mg/week (n=102) </w:t>
            </w:r>
          </w:p>
        </w:tc>
        <w:tc>
          <w:tcPr>
            <w:tcW w:w="3082" w:type="dxa"/>
            <w:vAlign w:val="center"/>
          </w:tcPr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Direct healthcare</w:t>
            </w:r>
          </w:p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(pharmacological)</w:t>
            </w:r>
          </w:p>
        </w:tc>
      </w:tr>
      <w:tr w:rsidR="00065B99" w:rsidRPr="00571670" w:rsidTr="009C2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:rsidR="00065B99" w:rsidRPr="00571670" w:rsidRDefault="00065B99" w:rsidP="009C27B8">
            <w:pPr>
              <w:rPr>
                <w:rFonts w:ascii="Arial" w:hAnsi="Arial" w:cs="Arial"/>
                <w:b w:val="0"/>
                <w:color w:val="000000" w:themeColor="text1"/>
              </w:rPr>
            </w:pPr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lastRenderedPageBreak/>
              <w:t>Ruiz-</w:t>
            </w:r>
            <w:proofErr w:type="spellStart"/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>Villaverde</w:t>
            </w:r>
            <w:proofErr w:type="spellEnd"/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 xml:space="preserve"> 2016</w:t>
            </w:r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vertAlign w:val="superscript"/>
                <w:lang w:val="en-GB"/>
              </w:rPr>
              <w:t>30</w:t>
            </w:r>
          </w:p>
          <w:p w:rsidR="00065B99" w:rsidRPr="00571670" w:rsidRDefault="00065B99" w:rsidP="009C27B8"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>/Original article</w:t>
            </w:r>
          </w:p>
        </w:tc>
        <w:tc>
          <w:tcPr>
            <w:tcW w:w="5103" w:type="dxa"/>
            <w:vAlign w:val="center"/>
          </w:tcPr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 xml:space="preserve">CA/Retrospective observational multi-centre non-interventionist study (n=54) to evaluate the costs associated with the continuous treatment regimen (n=45) and the intermittent treatment regimen (n=9) in the induction phase (year 1) and maintenance phase (year 2). </w:t>
            </w:r>
          </w:p>
        </w:tc>
        <w:tc>
          <w:tcPr>
            <w:tcW w:w="1559" w:type="dxa"/>
            <w:vAlign w:val="center"/>
          </w:tcPr>
          <w:p w:rsidR="00065B99" w:rsidRPr="00571670" w:rsidRDefault="00065B99" w:rsidP="009C27B8">
            <w:pPr>
              <w:tabs>
                <w:tab w:val="left" w:pos="739"/>
                <w:tab w:val="left" w:pos="776"/>
              </w:tabs>
              <w:ind w:right="17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SNS</w:t>
            </w:r>
          </w:p>
          <w:p w:rsidR="00065B99" w:rsidRPr="00571670" w:rsidRDefault="00065B99" w:rsidP="009C2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/2 years</w:t>
            </w:r>
          </w:p>
        </w:tc>
        <w:tc>
          <w:tcPr>
            <w:tcW w:w="2410" w:type="dxa"/>
            <w:vAlign w:val="center"/>
          </w:tcPr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●50 mg/week (n=51)</w:t>
            </w:r>
          </w:p>
          <w:p w:rsidR="00065B99" w:rsidRPr="00571670" w:rsidRDefault="00065B99" w:rsidP="009C2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●2x50 mg/week (n=3)</w:t>
            </w:r>
          </w:p>
        </w:tc>
        <w:tc>
          <w:tcPr>
            <w:tcW w:w="3082" w:type="dxa"/>
            <w:vAlign w:val="center"/>
          </w:tcPr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Direct healthcare</w:t>
            </w:r>
          </w:p>
          <w:p w:rsidR="00065B99" w:rsidRPr="00571670" w:rsidRDefault="00065B99" w:rsidP="009C2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 xml:space="preserve">(pharmacological) </w:t>
            </w:r>
          </w:p>
        </w:tc>
      </w:tr>
      <w:tr w:rsidR="00065B99" w:rsidRPr="00571670" w:rsidTr="009C2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92" w:type="dxa"/>
            <w:gridSpan w:val="5"/>
            <w:vAlign w:val="center"/>
          </w:tcPr>
          <w:p w:rsidR="00065B99" w:rsidRPr="00571670" w:rsidRDefault="00065B99" w:rsidP="009C27B8">
            <w:pPr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PsA</w:t>
            </w:r>
            <w:proofErr w:type="spellEnd"/>
          </w:p>
        </w:tc>
      </w:tr>
      <w:tr w:rsidR="00065B99" w:rsidRPr="00571670" w:rsidTr="009C2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:rsidR="00065B99" w:rsidRPr="00571670" w:rsidRDefault="00065B99" w:rsidP="009C27B8">
            <w:pPr>
              <w:pStyle w:val="Default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</w:pPr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  <w:t>Acosta 2012</w:t>
            </w:r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vertAlign w:val="superscript"/>
                <w:lang w:val="en-GB"/>
              </w:rPr>
              <w:t>8</w:t>
            </w:r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  <w:t>/ conference</w:t>
            </w:r>
          </w:p>
          <w:p w:rsidR="00065B99" w:rsidRPr="00571670" w:rsidRDefault="00065B99" w:rsidP="009C27B8">
            <w:pPr>
              <w:pStyle w:val="Default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  <w:t>abstract</w:t>
            </w:r>
          </w:p>
        </w:tc>
        <w:tc>
          <w:tcPr>
            <w:tcW w:w="5103" w:type="dxa"/>
            <w:vAlign w:val="center"/>
          </w:tcPr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 xml:space="preserve">CA/Retrospective observational multi-centre study on patients with </w:t>
            </w:r>
            <w:proofErr w:type="spellStart"/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PsA</w:t>
            </w:r>
            <w:proofErr w:type="spellEnd"/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 xml:space="preserve"> treated with ETN and ADA (n=56)</w:t>
            </w:r>
          </w:p>
        </w:tc>
        <w:tc>
          <w:tcPr>
            <w:tcW w:w="1559" w:type="dxa"/>
            <w:vAlign w:val="center"/>
          </w:tcPr>
          <w:p w:rsidR="00065B99" w:rsidRPr="00571670" w:rsidRDefault="00065B99" w:rsidP="009C27B8">
            <w:pPr>
              <w:tabs>
                <w:tab w:val="left" w:pos="739"/>
              </w:tabs>
              <w:ind w:right="17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SNS</w:t>
            </w:r>
          </w:p>
          <w:p w:rsidR="00065B99" w:rsidRPr="00571670" w:rsidRDefault="00065B99" w:rsidP="009C27B8">
            <w:pPr>
              <w:tabs>
                <w:tab w:val="left" w:pos="739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/1 year</w:t>
            </w:r>
          </w:p>
        </w:tc>
        <w:tc>
          <w:tcPr>
            <w:tcW w:w="2410" w:type="dxa"/>
            <w:vAlign w:val="center"/>
          </w:tcPr>
          <w:p w:rsidR="00065B99" w:rsidRPr="00571670" w:rsidRDefault="00065B99" w:rsidP="009C2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ND (n=29)</w:t>
            </w:r>
          </w:p>
        </w:tc>
        <w:tc>
          <w:tcPr>
            <w:tcW w:w="3082" w:type="dxa"/>
          </w:tcPr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Direct healthcare</w:t>
            </w:r>
          </w:p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(pharmacological)</w:t>
            </w:r>
          </w:p>
        </w:tc>
      </w:tr>
    </w:tbl>
    <w:p w:rsidR="00065B99" w:rsidRPr="00571670" w:rsidRDefault="00065B99" w:rsidP="00065B99">
      <w:pPr>
        <w:pStyle w:val="Caption"/>
        <w:spacing w:after="0"/>
        <w:ind w:right="-32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571670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ADA: adalimumab; BT: biological therapy; CA: cost analysis; CCA: cost-consequence analysis; CMS: cost minimisation study; ETN: </w:t>
      </w:r>
      <w:proofErr w:type="spellStart"/>
      <w:r w:rsidRPr="00571670">
        <w:rPr>
          <w:rFonts w:ascii="Arial" w:hAnsi="Arial" w:cs="Arial"/>
          <w:color w:val="000000" w:themeColor="text1"/>
          <w:sz w:val="22"/>
          <w:szCs w:val="22"/>
          <w:lang w:val="en-GB"/>
        </w:rPr>
        <w:t>Etanercept</w:t>
      </w:r>
      <w:proofErr w:type="spellEnd"/>
      <w:r w:rsidRPr="00571670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; N/A: Does not apply; ND: no data; </w:t>
      </w:r>
      <w:proofErr w:type="spellStart"/>
      <w:r w:rsidRPr="00571670">
        <w:rPr>
          <w:rFonts w:ascii="Arial" w:hAnsi="Arial" w:cs="Arial"/>
          <w:color w:val="000000" w:themeColor="text1"/>
          <w:sz w:val="22"/>
          <w:szCs w:val="22"/>
          <w:lang w:val="en-GB"/>
        </w:rPr>
        <w:t>PsA</w:t>
      </w:r>
      <w:proofErr w:type="spellEnd"/>
      <w:r w:rsidRPr="00571670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: psoriatic arthritis; RCT: randomised clinical trials; SNS: Spanish National Health Service; TA: type of analysis. </w:t>
      </w:r>
    </w:p>
    <w:p w:rsidR="00065B99" w:rsidRPr="00571670" w:rsidRDefault="00065B99" w:rsidP="00065B99">
      <w:pPr>
        <w:pStyle w:val="Caption"/>
        <w:spacing w:after="0"/>
        <w:ind w:right="-32"/>
        <w:rPr>
          <w:rFonts w:ascii="Arial" w:hAnsi="Arial" w:cs="Arial"/>
          <w:b/>
          <w:i w:val="0"/>
          <w:color w:val="000000" w:themeColor="text1"/>
          <w:sz w:val="22"/>
          <w:szCs w:val="22"/>
          <w:lang w:val="en-US"/>
        </w:rPr>
      </w:pPr>
      <w:r w:rsidRPr="00571670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*Annual cost of the first biological treatment received. </w:t>
      </w:r>
      <w:r w:rsidRPr="00571670">
        <w:rPr>
          <w:rFonts w:ascii="Arial" w:hAnsi="Arial" w:cs="Arial"/>
          <w:i w:val="0"/>
          <w:iCs w:val="0"/>
          <w:color w:val="000000" w:themeColor="text1"/>
          <w:sz w:val="22"/>
          <w:szCs w:val="22"/>
          <w:lang w:val="en-GB"/>
        </w:rPr>
        <w:br w:type="page"/>
      </w:r>
    </w:p>
    <w:p w:rsidR="00065B99" w:rsidRPr="003B00BB" w:rsidRDefault="00065B99" w:rsidP="00065B99">
      <w:pPr>
        <w:pStyle w:val="Caption"/>
        <w:keepNext/>
        <w:rPr>
          <w:rFonts w:ascii="Arial" w:hAnsi="Arial" w:cs="Arial"/>
          <w:i w:val="0"/>
          <w:color w:val="auto"/>
          <w:sz w:val="22"/>
          <w:lang w:val="en-US"/>
        </w:rPr>
      </w:pPr>
      <w:bookmarkStart w:id="3" w:name="_Ref3816177"/>
      <w:r w:rsidRPr="003B00BB">
        <w:rPr>
          <w:rFonts w:ascii="Arial" w:hAnsi="Arial" w:cs="Arial"/>
          <w:i w:val="0"/>
          <w:color w:val="auto"/>
          <w:sz w:val="22"/>
          <w:lang w:val="en-US"/>
        </w:rPr>
        <w:lastRenderedPageBreak/>
        <w:t>Table S</w:t>
      </w:r>
      <w:r w:rsidRPr="003B00BB">
        <w:rPr>
          <w:rFonts w:ascii="Arial" w:hAnsi="Arial" w:cs="Arial"/>
          <w:i w:val="0"/>
          <w:color w:val="auto"/>
          <w:sz w:val="22"/>
        </w:rPr>
        <w:fldChar w:fldCharType="begin"/>
      </w:r>
      <w:r w:rsidRPr="003B00BB">
        <w:rPr>
          <w:rFonts w:ascii="Arial" w:hAnsi="Arial" w:cs="Arial"/>
          <w:i w:val="0"/>
          <w:color w:val="auto"/>
          <w:sz w:val="22"/>
          <w:lang w:val="en-US"/>
        </w:rPr>
        <w:instrText xml:space="preserve"> SEQ Table_S \* ARABIC </w:instrText>
      </w:r>
      <w:r w:rsidRPr="003B00BB">
        <w:rPr>
          <w:rFonts w:ascii="Arial" w:hAnsi="Arial" w:cs="Arial"/>
          <w:i w:val="0"/>
          <w:color w:val="auto"/>
          <w:sz w:val="22"/>
        </w:rPr>
        <w:fldChar w:fldCharType="separate"/>
      </w:r>
      <w:r>
        <w:rPr>
          <w:rFonts w:ascii="Arial" w:hAnsi="Arial" w:cs="Arial"/>
          <w:i w:val="0"/>
          <w:noProof/>
          <w:color w:val="auto"/>
          <w:sz w:val="22"/>
          <w:lang w:val="en-US"/>
        </w:rPr>
        <w:t>3</w:t>
      </w:r>
      <w:r w:rsidRPr="003B00BB">
        <w:rPr>
          <w:rFonts w:ascii="Arial" w:hAnsi="Arial" w:cs="Arial"/>
          <w:i w:val="0"/>
          <w:color w:val="auto"/>
          <w:sz w:val="22"/>
        </w:rPr>
        <w:fldChar w:fldCharType="end"/>
      </w:r>
      <w:bookmarkEnd w:id="3"/>
      <w:r w:rsidRPr="003B00BB">
        <w:rPr>
          <w:rFonts w:ascii="Arial" w:hAnsi="Arial" w:cs="Arial"/>
          <w:i w:val="0"/>
          <w:color w:val="auto"/>
          <w:sz w:val="22"/>
          <w:lang w:val="en-US"/>
        </w:rPr>
        <w:t xml:space="preserve">. Descriptive analysis of the studies on dosing regimen modification in PSO and </w:t>
      </w:r>
      <w:proofErr w:type="spellStart"/>
      <w:r w:rsidRPr="003B00BB">
        <w:rPr>
          <w:rFonts w:ascii="Arial" w:hAnsi="Arial" w:cs="Arial"/>
          <w:i w:val="0"/>
          <w:color w:val="auto"/>
          <w:sz w:val="22"/>
          <w:lang w:val="en-US"/>
        </w:rPr>
        <w:t>PsA</w:t>
      </w:r>
      <w:proofErr w:type="spellEnd"/>
      <w:r w:rsidRPr="003B00BB">
        <w:rPr>
          <w:rFonts w:ascii="Arial" w:hAnsi="Arial" w:cs="Arial"/>
          <w:i w:val="0"/>
          <w:color w:val="auto"/>
          <w:sz w:val="22"/>
          <w:lang w:val="en-US"/>
        </w:rPr>
        <w:t xml:space="preserve"> in Spain</w:t>
      </w:r>
    </w:p>
    <w:tbl>
      <w:tblPr>
        <w:tblStyle w:val="Tabladecuadrcula1clara1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2977"/>
        <w:gridCol w:w="3118"/>
        <w:gridCol w:w="1276"/>
        <w:gridCol w:w="1985"/>
        <w:gridCol w:w="2798"/>
      </w:tblGrid>
      <w:tr w:rsidR="00065B99" w:rsidRPr="00571670" w:rsidTr="009C27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:rsidR="00065B99" w:rsidRPr="000A5A59" w:rsidRDefault="00065B99" w:rsidP="009C27B8">
            <w:pPr>
              <w:ind w:right="-31"/>
              <w:jc w:val="center"/>
              <w:rPr>
                <w:rFonts w:ascii="Arial" w:hAnsi="Arial" w:cs="Arial"/>
                <w:sz w:val="20"/>
              </w:rPr>
            </w:pPr>
            <w:r w:rsidRPr="000A5A59">
              <w:rPr>
                <w:rFonts w:ascii="Arial" w:hAnsi="Arial" w:cs="Arial"/>
                <w:color w:val="000000" w:themeColor="text1"/>
                <w:sz w:val="20"/>
                <w:lang w:val="en-GB"/>
              </w:rPr>
              <w:t>Author year/Publication type</w:t>
            </w:r>
          </w:p>
        </w:tc>
        <w:tc>
          <w:tcPr>
            <w:tcW w:w="2977" w:type="dxa"/>
            <w:vAlign w:val="center"/>
          </w:tcPr>
          <w:p w:rsidR="00065B99" w:rsidRPr="000A5A59" w:rsidRDefault="00065B99" w:rsidP="009C27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0A5A59">
              <w:rPr>
                <w:rFonts w:ascii="Arial" w:hAnsi="Arial" w:cs="Arial"/>
                <w:sz w:val="20"/>
                <w:lang w:val="en-GB"/>
              </w:rPr>
              <w:t>Characteristics of the study (n)</w:t>
            </w:r>
          </w:p>
        </w:tc>
        <w:tc>
          <w:tcPr>
            <w:tcW w:w="3118" w:type="dxa"/>
          </w:tcPr>
          <w:p w:rsidR="00065B99" w:rsidRPr="000A5A59" w:rsidRDefault="00065B99" w:rsidP="009C27B8">
            <w:pPr>
              <w:ind w:left="4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5A59">
              <w:rPr>
                <w:rFonts w:ascii="Arial" w:hAnsi="Arial" w:cs="Arial"/>
                <w:sz w:val="20"/>
                <w:lang w:val="en-GB"/>
              </w:rPr>
              <w:t xml:space="preserve">Alternatives evaluated </w:t>
            </w:r>
          </w:p>
          <w:p w:rsidR="00065B99" w:rsidRPr="000A5A59" w:rsidRDefault="00065B99" w:rsidP="009C27B8">
            <w:pPr>
              <w:ind w:left="4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</w:rPr>
            </w:pPr>
            <w:r w:rsidRPr="000A5A59">
              <w:rPr>
                <w:rFonts w:ascii="Arial" w:hAnsi="Arial" w:cs="Arial"/>
                <w:sz w:val="20"/>
                <w:lang w:val="en-GB"/>
              </w:rPr>
              <w:t>(n ETN)</w:t>
            </w:r>
          </w:p>
        </w:tc>
        <w:tc>
          <w:tcPr>
            <w:tcW w:w="1276" w:type="dxa"/>
            <w:vAlign w:val="center"/>
          </w:tcPr>
          <w:p w:rsidR="00065B99" w:rsidRPr="000A5A59" w:rsidRDefault="00065B99" w:rsidP="009C27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</w:rPr>
            </w:pPr>
            <w:r w:rsidRPr="000A5A59">
              <w:rPr>
                <w:rFonts w:ascii="Arial" w:hAnsi="Arial" w:cs="Arial"/>
                <w:color w:val="000000" w:themeColor="text1"/>
                <w:sz w:val="20"/>
                <w:lang w:val="en-GB"/>
              </w:rPr>
              <w:t>Perspective</w:t>
            </w:r>
          </w:p>
          <w:p w:rsidR="00065B99" w:rsidRPr="000A5A59" w:rsidRDefault="00065B99" w:rsidP="009C27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5A59">
              <w:rPr>
                <w:rFonts w:ascii="Arial" w:hAnsi="Arial" w:cs="Arial"/>
                <w:color w:val="000000" w:themeColor="text1"/>
                <w:sz w:val="20"/>
                <w:lang w:val="en-GB"/>
              </w:rPr>
              <w:t>/Horizon</w:t>
            </w:r>
          </w:p>
        </w:tc>
        <w:tc>
          <w:tcPr>
            <w:tcW w:w="1985" w:type="dxa"/>
            <w:vAlign w:val="center"/>
          </w:tcPr>
          <w:p w:rsidR="00065B99" w:rsidRPr="000A5A59" w:rsidRDefault="00065B99" w:rsidP="009C27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5A59">
              <w:rPr>
                <w:rFonts w:ascii="Arial" w:hAnsi="Arial" w:cs="Arial"/>
                <w:sz w:val="20"/>
                <w:lang w:val="en-GB"/>
              </w:rPr>
              <w:t>Type of cost</w:t>
            </w:r>
          </w:p>
        </w:tc>
        <w:tc>
          <w:tcPr>
            <w:tcW w:w="2798" w:type="dxa"/>
            <w:vAlign w:val="center"/>
          </w:tcPr>
          <w:p w:rsidR="00065B99" w:rsidRPr="000A5A59" w:rsidRDefault="00065B99" w:rsidP="009C27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5A59">
              <w:rPr>
                <w:rFonts w:ascii="Arial" w:hAnsi="Arial" w:cs="Arial"/>
                <w:sz w:val="20"/>
                <w:lang w:val="en-GB"/>
              </w:rPr>
              <w:t>Outcome measures</w:t>
            </w:r>
          </w:p>
        </w:tc>
      </w:tr>
      <w:tr w:rsidR="00065B99" w:rsidRPr="00571670" w:rsidTr="009C2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92" w:type="dxa"/>
            <w:gridSpan w:val="6"/>
            <w:vAlign w:val="center"/>
          </w:tcPr>
          <w:p w:rsidR="00065B99" w:rsidRPr="00571670" w:rsidRDefault="00065B99" w:rsidP="009C27B8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>PSO</w:t>
            </w:r>
          </w:p>
        </w:tc>
      </w:tr>
      <w:tr w:rsidR="00065B99" w:rsidRPr="008A4550" w:rsidTr="009C2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:rsidR="00065B99" w:rsidRPr="00571670" w:rsidRDefault="00065B99" w:rsidP="009C27B8">
            <w:pPr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</w:pPr>
            <w:proofErr w:type="spellStart"/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>Fernández-Espínola</w:t>
            </w:r>
            <w:proofErr w:type="spellEnd"/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 xml:space="preserve"> 2013</w:t>
            </w:r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vertAlign w:val="superscript"/>
                <w:lang w:val="en-GB"/>
              </w:rPr>
              <w:t>36</w:t>
            </w:r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 xml:space="preserve">/ Conference </w:t>
            </w:r>
          </w:p>
          <w:p w:rsidR="00065B99" w:rsidRPr="00571670" w:rsidRDefault="00065B99" w:rsidP="009C27B8">
            <w:pPr>
              <w:jc w:val="both"/>
              <w:rPr>
                <w:rFonts w:ascii="Arial" w:hAnsi="Arial" w:cs="Arial"/>
                <w:b w:val="0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>abstract</w:t>
            </w:r>
          </w:p>
        </w:tc>
        <w:tc>
          <w:tcPr>
            <w:tcW w:w="2977" w:type="dxa"/>
            <w:vAlign w:val="center"/>
          </w:tcPr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 xml:space="preserve">Retrospective. Evaluation of ETN protocol implementation (n=45) </w:t>
            </w:r>
          </w:p>
        </w:tc>
        <w:tc>
          <w:tcPr>
            <w:tcW w:w="3118" w:type="dxa"/>
            <w:vAlign w:val="center"/>
          </w:tcPr>
          <w:p w:rsidR="00065B99" w:rsidRPr="00571670" w:rsidRDefault="00065B99" w:rsidP="009C27B8">
            <w:pPr>
              <w:tabs>
                <w:tab w:val="left" w:pos="739"/>
              </w:tabs>
              <w:ind w:left="42" w:right="17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2 years before the protocol (n=20) vs 2 years after implementation of the protocol (n=25)</w:t>
            </w:r>
          </w:p>
        </w:tc>
        <w:tc>
          <w:tcPr>
            <w:tcW w:w="1276" w:type="dxa"/>
            <w:vAlign w:val="center"/>
          </w:tcPr>
          <w:p w:rsidR="00065B99" w:rsidRPr="00571670" w:rsidRDefault="00065B99" w:rsidP="009C27B8">
            <w:pPr>
              <w:tabs>
                <w:tab w:val="left" w:pos="739"/>
              </w:tabs>
              <w:ind w:left="-110" w:right="17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ND/4 years</w:t>
            </w:r>
          </w:p>
        </w:tc>
        <w:tc>
          <w:tcPr>
            <w:tcW w:w="1985" w:type="dxa"/>
            <w:vAlign w:val="center"/>
          </w:tcPr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lang w:val="en-GB"/>
              </w:rPr>
              <w:t>Direct healthcare (</w:t>
            </w: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pharmacological</w:t>
            </w:r>
            <w:r w:rsidRPr="00571670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2798" w:type="dxa"/>
            <w:vAlign w:val="center"/>
          </w:tcPr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Estimated potential saving due to protocol implementation</w:t>
            </w:r>
          </w:p>
        </w:tc>
      </w:tr>
      <w:tr w:rsidR="00065B99" w:rsidRPr="00571670" w:rsidTr="009C2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:rsidR="00065B99" w:rsidRPr="00571670" w:rsidRDefault="00065B99" w:rsidP="009C27B8">
            <w:pPr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</w:pPr>
            <w:proofErr w:type="spellStart"/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>Baniandres</w:t>
            </w:r>
            <w:proofErr w:type="spellEnd"/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 xml:space="preserve"> 2015</w:t>
            </w:r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vertAlign w:val="superscript"/>
                <w:lang w:val="en-GB"/>
              </w:rPr>
              <w:t>32</w:t>
            </w:r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>/ Conference</w:t>
            </w:r>
          </w:p>
          <w:p w:rsidR="00065B99" w:rsidRPr="00571670" w:rsidRDefault="00065B99" w:rsidP="009C27B8">
            <w:pPr>
              <w:jc w:val="both"/>
              <w:rPr>
                <w:rFonts w:ascii="Arial" w:hAnsi="Arial" w:cs="Arial"/>
                <w:b w:val="0"/>
                <w:color w:val="000000" w:themeColor="text1"/>
              </w:rPr>
            </w:pPr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>abstract</w:t>
            </w:r>
          </w:p>
        </w:tc>
        <w:tc>
          <w:tcPr>
            <w:tcW w:w="2977" w:type="dxa"/>
            <w:vAlign w:val="center"/>
          </w:tcPr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Observational, descriptive and cross-sectional. Patients treated with BT ≥6 months (n=112)</w:t>
            </w:r>
          </w:p>
        </w:tc>
        <w:tc>
          <w:tcPr>
            <w:tcW w:w="3118" w:type="dxa"/>
            <w:vAlign w:val="center"/>
          </w:tcPr>
          <w:p w:rsidR="00065B99" w:rsidRPr="00571670" w:rsidRDefault="00065B99" w:rsidP="009C27B8">
            <w:pPr>
              <w:tabs>
                <w:tab w:val="left" w:pos="739"/>
              </w:tabs>
              <w:ind w:left="42" w:right="17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Standard regimen (2x25 mg/week) vs modified regimen (reduction/escalation) (n=24)</w:t>
            </w:r>
          </w:p>
        </w:tc>
        <w:tc>
          <w:tcPr>
            <w:tcW w:w="1276" w:type="dxa"/>
            <w:vAlign w:val="center"/>
          </w:tcPr>
          <w:p w:rsidR="00065B99" w:rsidRPr="00571670" w:rsidRDefault="00065B99" w:rsidP="009C27B8">
            <w:pPr>
              <w:tabs>
                <w:tab w:val="left" w:pos="739"/>
              </w:tabs>
              <w:ind w:left="-119" w:right="17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SNS</w:t>
            </w:r>
          </w:p>
          <w:p w:rsidR="00065B99" w:rsidRPr="00571670" w:rsidRDefault="00065B99" w:rsidP="009C27B8">
            <w:pPr>
              <w:tabs>
                <w:tab w:val="left" w:pos="739"/>
              </w:tabs>
              <w:ind w:left="-110" w:right="17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/1 year</w:t>
            </w:r>
          </w:p>
        </w:tc>
        <w:tc>
          <w:tcPr>
            <w:tcW w:w="1985" w:type="dxa"/>
            <w:vAlign w:val="center"/>
          </w:tcPr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71670">
              <w:rPr>
                <w:rFonts w:ascii="Arial" w:hAnsi="Arial" w:cs="Arial"/>
                <w:lang w:val="en-GB"/>
              </w:rPr>
              <w:t>Direct healthcare (</w:t>
            </w: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pharmacological</w:t>
            </w:r>
            <w:r w:rsidRPr="00571670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2798" w:type="dxa"/>
            <w:vAlign w:val="center"/>
          </w:tcPr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●Cost of standard regimen</w:t>
            </w:r>
          </w:p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 xml:space="preserve">●Cost of dose reduction </w:t>
            </w:r>
            <w:proofErr w:type="spellStart"/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regimen</w:t>
            </w:r>
            <w:r w:rsidRPr="00571670">
              <w:rPr>
                <w:rFonts w:ascii="Arial" w:hAnsi="Arial" w:cs="Arial"/>
                <w:color w:val="000000" w:themeColor="text1"/>
                <w:vertAlign w:val="superscript"/>
                <w:lang w:val="en-GB"/>
              </w:rPr>
              <w:t>a</w:t>
            </w:r>
            <w:proofErr w:type="spellEnd"/>
          </w:p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 xml:space="preserve">●Cost of escalated </w:t>
            </w:r>
            <w:proofErr w:type="spellStart"/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regimen</w:t>
            </w:r>
            <w:r w:rsidRPr="00571670">
              <w:rPr>
                <w:rFonts w:ascii="Arial" w:hAnsi="Arial" w:cs="Arial"/>
                <w:color w:val="000000" w:themeColor="text1"/>
                <w:vertAlign w:val="superscript"/>
                <w:lang w:val="en-GB"/>
              </w:rPr>
              <w:t>b</w:t>
            </w:r>
            <w:proofErr w:type="spellEnd"/>
          </w:p>
        </w:tc>
      </w:tr>
      <w:tr w:rsidR="00065B99" w:rsidRPr="008A4550" w:rsidTr="009C2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065B99" w:rsidRPr="00571670" w:rsidRDefault="00065B99" w:rsidP="009C27B8">
            <w:pPr>
              <w:jc w:val="both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71670">
              <w:rPr>
                <w:rFonts w:ascii="Arial" w:hAnsi="Arial" w:cs="Arial"/>
                <w:b w:val="0"/>
                <w:bCs w:val="0"/>
                <w:lang w:val="en-GB"/>
              </w:rPr>
              <w:t>Romero-Jiménez 2015</w:t>
            </w:r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vertAlign w:val="superscript"/>
                <w:lang w:val="en-GB"/>
              </w:rPr>
              <w:t>40</w:t>
            </w:r>
            <w:r w:rsidRPr="00571670">
              <w:rPr>
                <w:rFonts w:ascii="Arial" w:hAnsi="Arial" w:cs="Arial"/>
                <w:b w:val="0"/>
                <w:bCs w:val="0"/>
                <w:lang w:val="en-GB"/>
              </w:rPr>
              <w:t>/ Conference</w:t>
            </w:r>
          </w:p>
          <w:p w:rsidR="00065B99" w:rsidRPr="00571670" w:rsidRDefault="00065B99" w:rsidP="009C27B8">
            <w:pPr>
              <w:jc w:val="both"/>
              <w:rPr>
                <w:rFonts w:ascii="Arial" w:hAnsi="Arial" w:cs="Arial"/>
                <w:b w:val="0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b w:val="0"/>
                <w:bCs w:val="0"/>
                <w:lang w:val="en-GB"/>
              </w:rPr>
              <w:t>abstract</w:t>
            </w:r>
          </w:p>
        </w:tc>
        <w:tc>
          <w:tcPr>
            <w:tcW w:w="2977" w:type="dxa"/>
          </w:tcPr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lang w:val="en-GB"/>
              </w:rPr>
              <w:t xml:space="preserve">Cross-sectional. </w:t>
            </w: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Patients treated with BT ≥6 months</w:t>
            </w:r>
            <w:r w:rsidRPr="00571670">
              <w:rPr>
                <w:rFonts w:ascii="Arial" w:hAnsi="Arial" w:cs="Arial"/>
                <w:lang w:val="en-GB"/>
              </w:rPr>
              <w:t xml:space="preserve"> (n=224) </w:t>
            </w:r>
          </w:p>
        </w:tc>
        <w:tc>
          <w:tcPr>
            <w:tcW w:w="3118" w:type="dxa"/>
            <w:vAlign w:val="center"/>
          </w:tcPr>
          <w:p w:rsidR="00065B99" w:rsidRPr="00571670" w:rsidRDefault="00065B99" w:rsidP="009C27B8">
            <w:pPr>
              <w:tabs>
                <w:tab w:val="left" w:pos="739"/>
              </w:tabs>
              <w:ind w:left="42" w:right="17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Pre-protocol period (n=106) vs post-protocol period 1 year after implementation (n=118)</w:t>
            </w:r>
          </w:p>
        </w:tc>
        <w:tc>
          <w:tcPr>
            <w:tcW w:w="1276" w:type="dxa"/>
            <w:vAlign w:val="center"/>
          </w:tcPr>
          <w:p w:rsidR="00065B99" w:rsidRPr="00571670" w:rsidRDefault="00065B99" w:rsidP="009C27B8">
            <w:pPr>
              <w:tabs>
                <w:tab w:val="left" w:pos="739"/>
              </w:tabs>
              <w:ind w:left="-119" w:right="17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SNS</w:t>
            </w:r>
          </w:p>
          <w:p w:rsidR="00065B99" w:rsidRPr="00571670" w:rsidRDefault="00065B99" w:rsidP="009C27B8">
            <w:pPr>
              <w:tabs>
                <w:tab w:val="left" w:pos="739"/>
              </w:tabs>
              <w:ind w:left="-119" w:right="17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/1 year</w:t>
            </w:r>
          </w:p>
        </w:tc>
        <w:tc>
          <w:tcPr>
            <w:tcW w:w="1985" w:type="dxa"/>
            <w:vAlign w:val="center"/>
          </w:tcPr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lang w:val="en-GB"/>
              </w:rPr>
              <w:t>Direct healthcare (</w:t>
            </w: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pharmacological</w:t>
            </w:r>
            <w:r w:rsidRPr="00571670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2798" w:type="dxa"/>
            <w:vAlign w:val="center"/>
          </w:tcPr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●Annual saving after protocol implementation</w:t>
            </w:r>
          </w:p>
        </w:tc>
      </w:tr>
      <w:tr w:rsidR="00065B99" w:rsidRPr="008A4550" w:rsidTr="009C2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:rsidR="00065B99" w:rsidRPr="00571670" w:rsidRDefault="00065B99" w:rsidP="009C27B8">
            <w:pPr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</w:pPr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>Ríos-Sanchez 2015</w:t>
            </w:r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vertAlign w:val="superscript"/>
                <w:lang w:val="en-GB"/>
              </w:rPr>
              <w:t>33</w:t>
            </w:r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>/ conference</w:t>
            </w:r>
          </w:p>
          <w:p w:rsidR="00065B99" w:rsidRPr="00571670" w:rsidRDefault="00065B99" w:rsidP="009C27B8">
            <w:pPr>
              <w:jc w:val="both"/>
              <w:rPr>
                <w:rFonts w:ascii="Arial" w:hAnsi="Arial" w:cs="Arial"/>
                <w:lang w:val="en-US"/>
              </w:rPr>
            </w:pPr>
            <w:r w:rsidRPr="00571670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lastRenderedPageBreak/>
              <w:t>abstract</w:t>
            </w:r>
          </w:p>
        </w:tc>
        <w:tc>
          <w:tcPr>
            <w:tcW w:w="2977" w:type="dxa"/>
            <w:vAlign w:val="center"/>
          </w:tcPr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lastRenderedPageBreak/>
              <w:t>Observational, longitudinal. Patients treated with BT ≥6months (n=143)</w:t>
            </w:r>
          </w:p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  <w:tc>
          <w:tcPr>
            <w:tcW w:w="3118" w:type="dxa"/>
            <w:vAlign w:val="center"/>
          </w:tcPr>
          <w:p w:rsidR="00065B99" w:rsidRPr="00571670" w:rsidRDefault="00065B99" w:rsidP="009C27B8">
            <w:pPr>
              <w:tabs>
                <w:tab w:val="left" w:pos="739"/>
              </w:tabs>
              <w:ind w:left="42" w:right="17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lastRenderedPageBreak/>
              <w:t xml:space="preserve">Theoretical costs vs actual costs after dose reduction in patients showing sustained response to ETN </w:t>
            </w: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lastRenderedPageBreak/>
              <w:t>(n=44)</w:t>
            </w:r>
          </w:p>
        </w:tc>
        <w:tc>
          <w:tcPr>
            <w:tcW w:w="1276" w:type="dxa"/>
            <w:vAlign w:val="center"/>
          </w:tcPr>
          <w:p w:rsidR="00065B99" w:rsidRPr="00571670" w:rsidRDefault="00065B99" w:rsidP="009C27B8">
            <w:pPr>
              <w:tabs>
                <w:tab w:val="left" w:pos="739"/>
              </w:tabs>
              <w:ind w:left="-110" w:right="17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lastRenderedPageBreak/>
              <w:t>SNS</w:t>
            </w:r>
          </w:p>
          <w:p w:rsidR="00065B99" w:rsidRPr="00571670" w:rsidRDefault="00065B99" w:rsidP="009C27B8">
            <w:pPr>
              <w:tabs>
                <w:tab w:val="left" w:pos="739"/>
              </w:tabs>
              <w:ind w:left="-119" w:right="17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/1 year</w:t>
            </w:r>
          </w:p>
        </w:tc>
        <w:tc>
          <w:tcPr>
            <w:tcW w:w="1985" w:type="dxa"/>
            <w:vAlign w:val="center"/>
          </w:tcPr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71670">
              <w:rPr>
                <w:rFonts w:ascii="Arial" w:hAnsi="Arial" w:cs="Arial"/>
                <w:lang w:val="en-GB"/>
              </w:rPr>
              <w:t>Direct healthcare (</w:t>
            </w: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pharmacological</w:t>
            </w:r>
            <w:r w:rsidRPr="00571670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2798" w:type="dxa"/>
            <w:vAlign w:val="center"/>
          </w:tcPr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●Actual average cost</w:t>
            </w:r>
          </w:p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●Theoretical average cost</w:t>
            </w:r>
          </w:p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 xml:space="preserve">●Incremental cost </w:t>
            </w: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lastRenderedPageBreak/>
              <w:t>(theoretical cost vs actual cost)</w:t>
            </w:r>
          </w:p>
        </w:tc>
      </w:tr>
      <w:tr w:rsidR="00065B99" w:rsidRPr="008A4550" w:rsidTr="009C2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:rsidR="00065B99" w:rsidRPr="000A5A59" w:rsidRDefault="00065B99" w:rsidP="009C27B8">
            <w:pPr>
              <w:jc w:val="both"/>
              <w:rPr>
                <w:rFonts w:ascii="Arial" w:hAnsi="Arial" w:cs="Arial"/>
                <w:b w:val="0"/>
                <w:color w:val="000000" w:themeColor="text1"/>
              </w:rPr>
            </w:pPr>
            <w:r w:rsidRPr="000A5A59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lastRenderedPageBreak/>
              <w:t>Romero-Jiménez 2016</w:t>
            </w:r>
            <w:r w:rsidRPr="000A5A59">
              <w:rPr>
                <w:rFonts w:ascii="Arial" w:hAnsi="Arial" w:cs="Arial"/>
                <w:b w:val="0"/>
                <w:bCs w:val="0"/>
                <w:color w:val="000000" w:themeColor="text1"/>
                <w:vertAlign w:val="superscript"/>
                <w:lang w:val="en-GB"/>
              </w:rPr>
              <w:t>37</w:t>
            </w:r>
            <w:r w:rsidRPr="000A5A59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>/original article</w:t>
            </w:r>
          </w:p>
        </w:tc>
        <w:tc>
          <w:tcPr>
            <w:tcW w:w="2977" w:type="dxa"/>
            <w:vAlign w:val="center"/>
          </w:tcPr>
          <w:p w:rsidR="00065B99" w:rsidRPr="00571670" w:rsidRDefault="00065B99" w:rsidP="009C2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Cross-sectional. Protocol evaluation in patients treated with BT (n=224)</w:t>
            </w:r>
          </w:p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3118" w:type="dxa"/>
            <w:vAlign w:val="center"/>
          </w:tcPr>
          <w:p w:rsidR="00065B99" w:rsidRPr="00571670" w:rsidRDefault="00065B99" w:rsidP="009C27B8">
            <w:pPr>
              <w:tabs>
                <w:tab w:val="left" w:pos="739"/>
              </w:tabs>
              <w:ind w:left="42" w:right="17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Post-protocol period (n=22) vs pre-protocol period (n=24)</w:t>
            </w:r>
          </w:p>
        </w:tc>
        <w:tc>
          <w:tcPr>
            <w:tcW w:w="1276" w:type="dxa"/>
            <w:vAlign w:val="center"/>
          </w:tcPr>
          <w:p w:rsidR="00065B99" w:rsidRPr="00571670" w:rsidRDefault="00065B99" w:rsidP="009C27B8">
            <w:pPr>
              <w:tabs>
                <w:tab w:val="left" w:pos="739"/>
              </w:tabs>
              <w:ind w:left="-110" w:right="17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SNS</w:t>
            </w:r>
          </w:p>
          <w:p w:rsidR="00065B99" w:rsidRPr="00571670" w:rsidRDefault="00065B99" w:rsidP="009C27B8">
            <w:pPr>
              <w:tabs>
                <w:tab w:val="left" w:pos="739"/>
              </w:tabs>
              <w:ind w:left="-119" w:right="17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/1 year</w:t>
            </w:r>
          </w:p>
        </w:tc>
        <w:tc>
          <w:tcPr>
            <w:tcW w:w="1985" w:type="dxa"/>
            <w:vAlign w:val="center"/>
          </w:tcPr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lang w:val="en-GB"/>
              </w:rPr>
              <w:t>Direct healthcare (</w:t>
            </w: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pharmacological</w:t>
            </w:r>
            <w:r w:rsidRPr="00571670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2798" w:type="dxa"/>
            <w:vAlign w:val="center"/>
          </w:tcPr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 xml:space="preserve">●Actual cost in the pre-protocol and post-protocol period </w:t>
            </w:r>
          </w:p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●Saving in the pre-protocol and post-protocol period (actual dose vs standard dose)</w:t>
            </w:r>
          </w:p>
        </w:tc>
      </w:tr>
      <w:tr w:rsidR="00065B99" w:rsidRPr="008A4550" w:rsidTr="009C2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:rsidR="00065B99" w:rsidRPr="000A5A59" w:rsidRDefault="00065B99" w:rsidP="009C27B8">
            <w:pPr>
              <w:jc w:val="both"/>
              <w:rPr>
                <w:rFonts w:ascii="Arial" w:hAnsi="Arial" w:cs="Arial"/>
                <w:b w:val="0"/>
                <w:color w:val="000000" w:themeColor="text1"/>
                <w:lang w:val="en-GB"/>
              </w:rPr>
            </w:pPr>
            <w:r w:rsidRPr="000A5A59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>Corregidor 2016</w:t>
            </w:r>
            <w:r w:rsidRPr="000A5A59">
              <w:rPr>
                <w:rFonts w:ascii="Arial" w:hAnsi="Arial" w:cs="Arial"/>
                <w:b w:val="0"/>
                <w:bCs w:val="0"/>
                <w:color w:val="000000" w:themeColor="text1"/>
                <w:vertAlign w:val="superscript"/>
                <w:lang w:val="en-GB"/>
              </w:rPr>
              <w:t>41</w:t>
            </w:r>
            <w:r w:rsidRPr="000A5A59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>/</w:t>
            </w:r>
          </w:p>
          <w:p w:rsidR="00065B99" w:rsidRPr="000A5A59" w:rsidRDefault="00065B99" w:rsidP="009C27B8">
            <w:pPr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</w:pPr>
            <w:r w:rsidRPr="000A5A59">
              <w:rPr>
                <w:rFonts w:ascii="Arial" w:hAnsi="Arial" w:cs="Arial"/>
                <w:b w:val="0"/>
                <w:color w:val="000000" w:themeColor="text1"/>
                <w:lang w:val="en-GB"/>
              </w:rPr>
              <w:t>conference</w:t>
            </w:r>
          </w:p>
          <w:p w:rsidR="00065B99" w:rsidRPr="000A5A59" w:rsidRDefault="00065B99" w:rsidP="009C27B8">
            <w:pPr>
              <w:jc w:val="both"/>
              <w:rPr>
                <w:b w:val="0"/>
              </w:rPr>
            </w:pPr>
            <w:r w:rsidRPr="000A5A59">
              <w:rPr>
                <w:rFonts w:ascii="Arial" w:hAnsi="Arial" w:cs="Arial"/>
                <w:b w:val="0"/>
                <w:color w:val="000000" w:themeColor="text1"/>
                <w:lang w:val="en-GB"/>
              </w:rPr>
              <w:t>abstract</w:t>
            </w:r>
          </w:p>
        </w:tc>
        <w:tc>
          <w:tcPr>
            <w:tcW w:w="2977" w:type="dxa"/>
            <w:vAlign w:val="center"/>
          </w:tcPr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Extraction of data about psoriasis patients with an active ETN prescription from a Hospital Pharmacy (HOS-PHA) computer system (n=69)</w:t>
            </w:r>
          </w:p>
        </w:tc>
        <w:tc>
          <w:tcPr>
            <w:tcW w:w="3118" w:type="dxa"/>
            <w:vAlign w:val="center"/>
          </w:tcPr>
          <w:p w:rsidR="00065B99" w:rsidRPr="00571670" w:rsidRDefault="00065B99" w:rsidP="009C27B8">
            <w:pPr>
              <w:tabs>
                <w:tab w:val="left" w:pos="739"/>
              </w:tabs>
              <w:ind w:left="42" w:right="17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Standard regimen (SPC) vs optimised regimen vs escalated regimen (n=21)</w:t>
            </w:r>
          </w:p>
        </w:tc>
        <w:tc>
          <w:tcPr>
            <w:tcW w:w="1276" w:type="dxa"/>
            <w:vAlign w:val="center"/>
          </w:tcPr>
          <w:p w:rsidR="00065B99" w:rsidRPr="00571670" w:rsidRDefault="00065B99" w:rsidP="009C27B8">
            <w:pPr>
              <w:tabs>
                <w:tab w:val="left" w:pos="739"/>
              </w:tabs>
              <w:ind w:left="-119" w:right="17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SNS</w:t>
            </w:r>
          </w:p>
          <w:p w:rsidR="00065B99" w:rsidRPr="00571670" w:rsidRDefault="00065B99" w:rsidP="009C27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/1 year</w:t>
            </w:r>
          </w:p>
        </w:tc>
        <w:tc>
          <w:tcPr>
            <w:tcW w:w="1985" w:type="dxa"/>
            <w:vAlign w:val="center"/>
          </w:tcPr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1670">
              <w:rPr>
                <w:rFonts w:ascii="Arial" w:hAnsi="Arial" w:cs="Arial"/>
                <w:lang w:val="en-GB"/>
              </w:rPr>
              <w:t>Direct healthcare (</w:t>
            </w: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pharmacological</w:t>
            </w:r>
            <w:r w:rsidRPr="00571670">
              <w:rPr>
                <w:rFonts w:ascii="Arial" w:hAnsi="Arial" w:cs="Arial"/>
                <w:lang w:val="en-GB"/>
              </w:rPr>
              <w:t>)</w:t>
            </w: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)</w:t>
            </w:r>
          </w:p>
        </w:tc>
        <w:tc>
          <w:tcPr>
            <w:tcW w:w="2798" w:type="dxa"/>
            <w:vAlign w:val="center"/>
          </w:tcPr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Difference between the actual overall cost and theoretical overall cost of the treatment</w:t>
            </w:r>
          </w:p>
        </w:tc>
      </w:tr>
      <w:tr w:rsidR="00065B99" w:rsidRPr="008A4550" w:rsidTr="009C27B8">
        <w:trPr>
          <w:trHeight w:val="10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065B99" w:rsidRPr="000A5A59" w:rsidRDefault="00065B99" w:rsidP="009C27B8">
            <w:pPr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</w:pPr>
            <w:r w:rsidRPr="000A5A59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>Rosado 2017</w:t>
            </w:r>
            <w:r w:rsidRPr="000A5A59">
              <w:rPr>
                <w:rFonts w:ascii="Arial" w:hAnsi="Arial" w:cs="Arial"/>
                <w:b w:val="0"/>
                <w:bCs w:val="0"/>
                <w:color w:val="000000" w:themeColor="text1"/>
                <w:vertAlign w:val="superscript"/>
                <w:lang w:val="en-GB"/>
              </w:rPr>
              <w:t>43</w:t>
            </w:r>
            <w:r w:rsidRPr="000A5A59">
              <w:rPr>
                <w:rFonts w:ascii="Arial" w:hAnsi="Arial" w:cs="Arial"/>
                <w:b w:val="0"/>
                <w:color w:val="000000" w:themeColor="text1"/>
                <w:lang w:val="en-GB"/>
              </w:rPr>
              <w:t xml:space="preserve">/ </w:t>
            </w:r>
            <w:r w:rsidRPr="000A5A59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>conference</w:t>
            </w:r>
          </w:p>
          <w:p w:rsidR="00065B99" w:rsidRPr="000A5A59" w:rsidRDefault="00065B99" w:rsidP="009C27B8">
            <w:pPr>
              <w:jc w:val="both"/>
              <w:rPr>
                <w:rFonts w:ascii="Arial" w:hAnsi="Arial" w:cs="Arial"/>
                <w:b w:val="0"/>
                <w:color w:val="000000" w:themeColor="text1"/>
              </w:rPr>
            </w:pPr>
            <w:r w:rsidRPr="000A5A59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>abstract</w:t>
            </w:r>
          </w:p>
        </w:tc>
        <w:tc>
          <w:tcPr>
            <w:tcW w:w="2977" w:type="dxa"/>
            <w:vAlign w:val="center"/>
          </w:tcPr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Observational, retrospective two-phase study (January–April 2017) conducted in a secondary hospital (n=10)</w:t>
            </w:r>
          </w:p>
        </w:tc>
        <w:tc>
          <w:tcPr>
            <w:tcW w:w="3118" w:type="dxa"/>
          </w:tcPr>
          <w:p w:rsidR="00065B99" w:rsidRPr="00571670" w:rsidRDefault="00065B99" w:rsidP="009C27B8">
            <w:pPr>
              <w:tabs>
                <w:tab w:val="left" w:pos="739"/>
              </w:tabs>
              <w:ind w:left="42" w:right="17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ETN 50 mg/ml reference drug switched for its biosimilar (n=10)</w:t>
            </w:r>
          </w:p>
        </w:tc>
        <w:tc>
          <w:tcPr>
            <w:tcW w:w="1276" w:type="dxa"/>
          </w:tcPr>
          <w:p w:rsidR="00065B99" w:rsidRPr="00571670" w:rsidRDefault="00065B99" w:rsidP="009C27B8">
            <w:pPr>
              <w:tabs>
                <w:tab w:val="left" w:pos="739"/>
              </w:tabs>
              <w:ind w:left="-119" w:right="17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SNS</w:t>
            </w:r>
          </w:p>
          <w:p w:rsidR="00065B99" w:rsidRPr="00571670" w:rsidRDefault="00065B99" w:rsidP="009C27B8">
            <w:pPr>
              <w:tabs>
                <w:tab w:val="left" w:pos="739"/>
              </w:tabs>
              <w:ind w:left="-119" w:right="17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/4 months</w:t>
            </w:r>
          </w:p>
        </w:tc>
        <w:tc>
          <w:tcPr>
            <w:tcW w:w="1985" w:type="dxa"/>
          </w:tcPr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Direct healthcare</w:t>
            </w:r>
          </w:p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(pharmacological)</w:t>
            </w:r>
          </w:p>
        </w:tc>
        <w:tc>
          <w:tcPr>
            <w:tcW w:w="2798" w:type="dxa"/>
            <w:vAlign w:val="center"/>
          </w:tcPr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Percentage of annual saving, assuming a standard treatment regimen (one weekly injection)</w:t>
            </w:r>
          </w:p>
        </w:tc>
      </w:tr>
      <w:tr w:rsidR="00065B99" w:rsidRPr="00571670" w:rsidTr="009C27B8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92" w:type="dxa"/>
            <w:gridSpan w:val="6"/>
            <w:vAlign w:val="center"/>
          </w:tcPr>
          <w:p w:rsidR="00065B99" w:rsidRPr="000A5A59" w:rsidRDefault="00065B99" w:rsidP="009C27B8">
            <w:pPr>
              <w:rPr>
                <w:rFonts w:ascii="Arial" w:hAnsi="Arial" w:cs="Arial"/>
                <w:b w:val="0"/>
                <w:color w:val="000000" w:themeColor="text1"/>
              </w:rPr>
            </w:pPr>
            <w:proofErr w:type="spellStart"/>
            <w:r w:rsidRPr="000A5A59">
              <w:rPr>
                <w:rFonts w:ascii="Arial" w:hAnsi="Arial" w:cs="Arial"/>
                <w:b w:val="0"/>
                <w:color w:val="000000" w:themeColor="text1"/>
                <w:lang w:val="en-GB"/>
              </w:rPr>
              <w:t>PsA</w:t>
            </w:r>
            <w:proofErr w:type="spellEnd"/>
          </w:p>
        </w:tc>
      </w:tr>
      <w:tr w:rsidR="00065B99" w:rsidRPr="008A4550" w:rsidTr="009C2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:rsidR="00065B99" w:rsidRPr="000A5A59" w:rsidRDefault="00065B99" w:rsidP="009C27B8">
            <w:pPr>
              <w:jc w:val="both"/>
              <w:rPr>
                <w:rFonts w:ascii="Arial" w:hAnsi="Arial" w:cs="Arial"/>
                <w:b w:val="0"/>
                <w:color w:val="000000" w:themeColor="text1"/>
              </w:rPr>
            </w:pPr>
            <w:proofErr w:type="spellStart"/>
            <w:r w:rsidRPr="000A5A59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>Borras-Blasco</w:t>
            </w:r>
            <w:proofErr w:type="spellEnd"/>
            <w:r w:rsidRPr="000A5A59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 xml:space="preserve"> 2014</w:t>
            </w:r>
            <w:r w:rsidRPr="000A5A59">
              <w:rPr>
                <w:rFonts w:ascii="Arial" w:hAnsi="Arial" w:cs="Arial"/>
                <w:b w:val="0"/>
                <w:bCs w:val="0"/>
                <w:color w:val="000000" w:themeColor="text1"/>
                <w:vertAlign w:val="superscript"/>
                <w:lang w:val="en-GB"/>
              </w:rPr>
              <w:t>38</w:t>
            </w:r>
            <w:r w:rsidRPr="000A5A59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 xml:space="preserve">/original </w:t>
            </w:r>
            <w:r w:rsidRPr="000A5A59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lastRenderedPageBreak/>
              <w:t>article</w:t>
            </w:r>
          </w:p>
        </w:tc>
        <w:tc>
          <w:tcPr>
            <w:tcW w:w="2977" w:type="dxa"/>
            <w:vAlign w:val="center"/>
          </w:tcPr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lastRenderedPageBreak/>
              <w:t xml:space="preserve">Observational retrospective. Patients receiving treatment </w:t>
            </w: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lastRenderedPageBreak/>
              <w:t>with ETN 50 mg/week in clinical remission under an off-label programme to switch to ETN 25 mg/week ≥6 months (n=40).</w:t>
            </w:r>
          </w:p>
        </w:tc>
        <w:tc>
          <w:tcPr>
            <w:tcW w:w="3118" w:type="dxa"/>
            <w:vAlign w:val="center"/>
          </w:tcPr>
          <w:p w:rsidR="00065B99" w:rsidRPr="00571670" w:rsidRDefault="00065B99" w:rsidP="009C2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lastRenderedPageBreak/>
              <w:t xml:space="preserve">ETN 50 mg/week (n=33) vs </w:t>
            </w: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lastRenderedPageBreak/>
              <w:t>ETN 25 mg/week (n=7)</w:t>
            </w:r>
          </w:p>
        </w:tc>
        <w:tc>
          <w:tcPr>
            <w:tcW w:w="1276" w:type="dxa"/>
            <w:vAlign w:val="center"/>
          </w:tcPr>
          <w:p w:rsidR="00065B99" w:rsidRPr="00571670" w:rsidRDefault="00065B99" w:rsidP="009C27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lastRenderedPageBreak/>
              <w:t xml:space="preserve">SNS/7 </w:t>
            </w: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lastRenderedPageBreak/>
              <w:t>years</w:t>
            </w:r>
          </w:p>
        </w:tc>
        <w:tc>
          <w:tcPr>
            <w:tcW w:w="1985" w:type="dxa"/>
            <w:vAlign w:val="center"/>
          </w:tcPr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71670">
              <w:rPr>
                <w:rFonts w:ascii="Arial" w:hAnsi="Arial" w:cs="Arial"/>
                <w:lang w:val="en-GB"/>
              </w:rPr>
              <w:lastRenderedPageBreak/>
              <w:t xml:space="preserve">Direct healthcare </w:t>
            </w:r>
            <w:r w:rsidRPr="00571670">
              <w:rPr>
                <w:rFonts w:ascii="Arial" w:hAnsi="Arial" w:cs="Arial"/>
                <w:lang w:val="en-GB"/>
              </w:rPr>
              <w:lastRenderedPageBreak/>
              <w:t>(</w:t>
            </w: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pharmacological</w:t>
            </w:r>
            <w:r w:rsidRPr="00571670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2798" w:type="dxa"/>
            <w:vAlign w:val="center"/>
          </w:tcPr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lastRenderedPageBreak/>
              <w:t xml:space="preserve">Total saving by switching </w:t>
            </w: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lastRenderedPageBreak/>
              <w:t>to ETN 25 mg/week</w:t>
            </w:r>
          </w:p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065B99" w:rsidRPr="008A4550" w:rsidTr="009C2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:rsidR="00065B99" w:rsidRPr="000A5A59" w:rsidRDefault="00065B99" w:rsidP="009C27B8">
            <w:pPr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 w:rsidRPr="000A5A59">
              <w:rPr>
                <w:rFonts w:ascii="Arial" w:hAnsi="Arial" w:cs="Arial"/>
                <w:b w:val="0"/>
                <w:color w:val="000000" w:themeColor="text1"/>
              </w:rPr>
              <w:lastRenderedPageBreak/>
              <w:t>Borras-Blasco 2014-A</w:t>
            </w:r>
            <w:r w:rsidRPr="000A5A59">
              <w:rPr>
                <w:rFonts w:ascii="Arial" w:hAnsi="Arial" w:cs="Arial"/>
                <w:b w:val="0"/>
                <w:color w:val="000000" w:themeColor="text1"/>
                <w:vertAlign w:val="superscript"/>
              </w:rPr>
              <w:t>34</w:t>
            </w:r>
            <w:r w:rsidRPr="000A5A59">
              <w:rPr>
                <w:rFonts w:ascii="Arial" w:hAnsi="Arial" w:cs="Arial"/>
                <w:b w:val="0"/>
                <w:color w:val="000000" w:themeColor="text1"/>
              </w:rPr>
              <w:t>/</w:t>
            </w:r>
            <w:r w:rsidRPr="000A5A59">
              <w:rPr>
                <w:rFonts w:ascii="Arial" w:hAnsi="Arial" w:cs="Arial"/>
                <w:b w:val="0"/>
                <w:bCs w:val="0"/>
                <w:color w:val="000000" w:themeColor="text1"/>
              </w:rPr>
              <w:t xml:space="preserve"> </w:t>
            </w:r>
            <w:proofErr w:type="spellStart"/>
            <w:r w:rsidRPr="000A5A59">
              <w:rPr>
                <w:rFonts w:ascii="Arial" w:hAnsi="Arial" w:cs="Arial"/>
                <w:b w:val="0"/>
                <w:bCs w:val="0"/>
                <w:color w:val="000000" w:themeColor="text1"/>
              </w:rPr>
              <w:t>C</w:t>
            </w:r>
            <w:r w:rsidRPr="000A5A59">
              <w:rPr>
                <w:rFonts w:ascii="Arial" w:hAnsi="Arial" w:cs="Arial"/>
                <w:b w:val="0"/>
                <w:color w:val="000000" w:themeColor="text1"/>
              </w:rPr>
              <w:t>onference</w:t>
            </w:r>
            <w:proofErr w:type="spellEnd"/>
          </w:p>
          <w:p w:rsidR="00065B99" w:rsidRPr="000A5A59" w:rsidRDefault="00065B99" w:rsidP="009C27B8">
            <w:pPr>
              <w:rPr>
                <w:rFonts w:ascii="Arial" w:hAnsi="Arial" w:cs="Arial"/>
                <w:b w:val="0"/>
                <w:color w:val="000000" w:themeColor="text1"/>
              </w:rPr>
            </w:pPr>
            <w:proofErr w:type="spellStart"/>
            <w:r w:rsidRPr="000A5A59">
              <w:rPr>
                <w:rFonts w:ascii="Arial" w:hAnsi="Arial" w:cs="Arial"/>
                <w:b w:val="0"/>
                <w:color w:val="000000" w:themeColor="text1"/>
              </w:rPr>
              <w:t>abstract</w:t>
            </w:r>
            <w:proofErr w:type="spellEnd"/>
          </w:p>
        </w:tc>
        <w:tc>
          <w:tcPr>
            <w:tcW w:w="2977" w:type="dxa"/>
            <w:vMerge w:val="restart"/>
            <w:vAlign w:val="center"/>
          </w:tcPr>
          <w:p w:rsidR="00065B99" w:rsidRPr="00571670" w:rsidRDefault="00065B99" w:rsidP="009C2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 xml:space="preserve">Observational </w:t>
            </w:r>
            <w:proofErr w:type="spellStart"/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ambispective</w:t>
            </w:r>
            <w:proofErr w:type="spellEnd"/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 xml:space="preserve"> Patients treated with BT ≥6 months (n=74)</w:t>
            </w:r>
          </w:p>
        </w:tc>
        <w:tc>
          <w:tcPr>
            <w:tcW w:w="3118" w:type="dxa"/>
            <w:vMerge w:val="restart"/>
            <w:vAlign w:val="center"/>
          </w:tcPr>
          <w:p w:rsidR="00065B99" w:rsidRPr="00571670" w:rsidRDefault="00065B99" w:rsidP="009C2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Pre-protocol period (2009-2010) vs post-protocol period (2010-2012) (ND)</w:t>
            </w:r>
          </w:p>
        </w:tc>
        <w:tc>
          <w:tcPr>
            <w:tcW w:w="1276" w:type="dxa"/>
            <w:vMerge w:val="restart"/>
            <w:vAlign w:val="center"/>
          </w:tcPr>
          <w:p w:rsidR="00065B99" w:rsidRPr="00571670" w:rsidRDefault="00065B99" w:rsidP="009C2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SNS/</w:t>
            </w:r>
          </w:p>
          <w:p w:rsidR="00065B99" w:rsidRPr="00571670" w:rsidRDefault="00065B99" w:rsidP="009C2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4 years</w:t>
            </w:r>
          </w:p>
        </w:tc>
        <w:tc>
          <w:tcPr>
            <w:tcW w:w="1985" w:type="dxa"/>
            <w:vMerge w:val="restart"/>
            <w:vAlign w:val="center"/>
          </w:tcPr>
          <w:p w:rsidR="00065B99" w:rsidRPr="00571670" w:rsidRDefault="00065B99" w:rsidP="009C2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71670">
              <w:rPr>
                <w:rFonts w:ascii="Arial" w:hAnsi="Arial" w:cs="Arial"/>
                <w:lang w:val="en-GB"/>
              </w:rPr>
              <w:t>Direct healthcare (</w:t>
            </w: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pharmacological</w:t>
            </w:r>
          </w:p>
        </w:tc>
        <w:tc>
          <w:tcPr>
            <w:tcW w:w="2798" w:type="dxa"/>
            <w:vMerge w:val="restart"/>
            <w:vAlign w:val="center"/>
          </w:tcPr>
          <w:p w:rsidR="00065B99" w:rsidRPr="00571670" w:rsidRDefault="00065B99" w:rsidP="009C2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Cost savings associated with using ETN 25 mg/week</w:t>
            </w:r>
          </w:p>
        </w:tc>
      </w:tr>
      <w:tr w:rsidR="00065B99" w:rsidRPr="00571670" w:rsidTr="009C2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:rsidR="00065B99" w:rsidRPr="000A5A59" w:rsidRDefault="00065B99" w:rsidP="009C27B8">
            <w:pPr>
              <w:jc w:val="both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 w:rsidRPr="000A5A59">
              <w:rPr>
                <w:rFonts w:ascii="Arial" w:hAnsi="Arial" w:cs="Arial"/>
                <w:b w:val="0"/>
                <w:color w:val="000000" w:themeColor="text1"/>
              </w:rPr>
              <w:t>Borras-Blasco 2014-B</w:t>
            </w:r>
            <w:r w:rsidRPr="000A5A59">
              <w:rPr>
                <w:rFonts w:ascii="Arial" w:hAnsi="Arial" w:cs="Arial"/>
                <w:b w:val="0"/>
                <w:color w:val="000000" w:themeColor="text1"/>
                <w:vertAlign w:val="superscript"/>
              </w:rPr>
              <w:t>35</w:t>
            </w:r>
            <w:r w:rsidRPr="000A5A59">
              <w:rPr>
                <w:rFonts w:ascii="Arial" w:hAnsi="Arial" w:cs="Arial"/>
                <w:b w:val="0"/>
                <w:color w:val="000000" w:themeColor="text1"/>
              </w:rPr>
              <w:t>/</w:t>
            </w:r>
            <w:r w:rsidRPr="000A5A59">
              <w:rPr>
                <w:rFonts w:ascii="Arial" w:hAnsi="Arial" w:cs="Arial"/>
                <w:b w:val="0"/>
                <w:bCs w:val="0"/>
                <w:color w:val="000000" w:themeColor="text1"/>
              </w:rPr>
              <w:t xml:space="preserve"> </w:t>
            </w:r>
            <w:proofErr w:type="spellStart"/>
            <w:r w:rsidRPr="000A5A59">
              <w:rPr>
                <w:rFonts w:ascii="Arial" w:hAnsi="Arial" w:cs="Arial"/>
                <w:b w:val="0"/>
                <w:bCs w:val="0"/>
                <w:color w:val="000000" w:themeColor="text1"/>
              </w:rPr>
              <w:t>C</w:t>
            </w:r>
            <w:r w:rsidRPr="000A5A59">
              <w:rPr>
                <w:rFonts w:ascii="Arial" w:hAnsi="Arial" w:cs="Arial"/>
                <w:b w:val="0"/>
                <w:color w:val="000000" w:themeColor="text1"/>
              </w:rPr>
              <w:t>onference</w:t>
            </w:r>
            <w:proofErr w:type="spellEnd"/>
          </w:p>
          <w:p w:rsidR="00065B99" w:rsidRPr="000A5A59" w:rsidRDefault="00065B99" w:rsidP="009C27B8">
            <w:pPr>
              <w:jc w:val="both"/>
              <w:rPr>
                <w:rFonts w:ascii="Arial" w:hAnsi="Arial" w:cs="Arial"/>
                <w:b w:val="0"/>
                <w:color w:val="000000" w:themeColor="text1"/>
              </w:rPr>
            </w:pPr>
            <w:proofErr w:type="spellStart"/>
            <w:r w:rsidRPr="000A5A59">
              <w:rPr>
                <w:rFonts w:ascii="Arial" w:hAnsi="Arial" w:cs="Arial"/>
                <w:b w:val="0"/>
                <w:color w:val="000000" w:themeColor="text1"/>
              </w:rPr>
              <w:t>abstract</w:t>
            </w:r>
            <w:proofErr w:type="spellEnd"/>
          </w:p>
        </w:tc>
        <w:tc>
          <w:tcPr>
            <w:tcW w:w="2977" w:type="dxa"/>
            <w:vMerge/>
            <w:vAlign w:val="center"/>
          </w:tcPr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118" w:type="dxa"/>
            <w:vMerge/>
            <w:vAlign w:val="center"/>
          </w:tcPr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76" w:type="dxa"/>
            <w:vMerge/>
            <w:vAlign w:val="center"/>
          </w:tcPr>
          <w:p w:rsidR="00065B99" w:rsidRPr="00571670" w:rsidRDefault="00065B99" w:rsidP="009C27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985" w:type="dxa"/>
            <w:vMerge/>
            <w:vAlign w:val="center"/>
          </w:tcPr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798" w:type="dxa"/>
            <w:vMerge/>
            <w:vAlign w:val="center"/>
          </w:tcPr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</w:p>
        </w:tc>
      </w:tr>
      <w:tr w:rsidR="00065B99" w:rsidRPr="008A4550" w:rsidTr="009C2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:rsidR="00065B99" w:rsidRPr="000A5A59" w:rsidRDefault="00065B99" w:rsidP="009C27B8">
            <w:pPr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</w:pPr>
            <w:proofErr w:type="spellStart"/>
            <w:r w:rsidRPr="000A5A59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>Rentero</w:t>
            </w:r>
            <w:proofErr w:type="spellEnd"/>
            <w:r w:rsidRPr="000A5A59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 xml:space="preserve"> 2016</w:t>
            </w:r>
            <w:r w:rsidRPr="000A5A59">
              <w:rPr>
                <w:rFonts w:ascii="Arial" w:hAnsi="Arial" w:cs="Arial"/>
                <w:b w:val="0"/>
                <w:bCs w:val="0"/>
                <w:color w:val="000000" w:themeColor="text1"/>
                <w:vertAlign w:val="superscript"/>
                <w:lang w:val="en-GB"/>
              </w:rPr>
              <w:t>42</w:t>
            </w:r>
            <w:r w:rsidRPr="000A5A59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>/ Conference</w:t>
            </w:r>
          </w:p>
          <w:p w:rsidR="00065B99" w:rsidRPr="000A5A59" w:rsidRDefault="00065B99" w:rsidP="009C27B8">
            <w:pPr>
              <w:jc w:val="both"/>
              <w:rPr>
                <w:rFonts w:ascii="Arial" w:hAnsi="Arial" w:cs="Arial"/>
                <w:b w:val="0"/>
                <w:color w:val="000000" w:themeColor="text1"/>
              </w:rPr>
            </w:pPr>
            <w:r w:rsidRPr="000A5A59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>abstract</w:t>
            </w:r>
          </w:p>
        </w:tc>
        <w:tc>
          <w:tcPr>
            <w:tcW w:w="2977" w:type="dxa"/>
            <w:vAlign w:val="center"/>
          </w:tcPr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 xml:space="preserve">6-month </w:t>
            </w:r>
            <w:proofErr w:type="spellStart"/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ambispective</w:t>
            </w:r>
            <w:proofErr w:type="spellEnd"/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 xml:space="preserve"> single-centre (n=115) </w:t>
            </w:r>
          </w:p>
        </w:tc>
        <w:tc>
          <w:tcPr>
            <w:tcW w:w="3118" w:type="dxa"/>
            <w:vAlign w:val="center"/>
          </w:tcPr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Intervention period (multi-disciplinary committee) vs pre-intervention period with ETN (n=41)</w:t>
            </w:r>
          </w:p>
        </w:tc>
        <w:tc>
          <w:tcPr>
            <w:tcW w:w="1276" w:type="dxa"/>
            <w:vAlign w:val="center"/>
          </w:tcPr>
          <w:p w:rsidR="00065B99" w:rsidRPr="00571670" w:rsidRDefault="00065B99" w:rsidP="009C27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SNS/6 months</w:t>
            </w:r>
          </w:p>
        </w:tc>
        <w:tc>
          <w:tcPr>
            <w:tcW w:w="1985" w:type="dxa"/>
            <w:vAlign w:val="center"/>
          </w:tcPr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71670">
              <w:rPr>
                <w:rFonts w:ascii="Arial" w:hAnsi="Arial" w:cs="Arial"/>
                <w:lang w:val="en-GB"/>
              </w:rPr>
              <w:t>Direct healthcare (</w:t>
            </w: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pharmacological</w:t>
            </w:r>
            <w:r w:rsidRPr="00571670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2798" w:type="dxa"/>
            <w:vAlign w:val="center"/>
          </w:tcPr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Average cost/patient before and after committee</w:t>
            </w:r>
          </w:p>
        </w:tc>
      </w:tr>
      <w:tr w:rsidR="00065B99" w:rsidRPr="008A4550" w:rsidTr="009C2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:rsidR="00065B99" w:rsidRPr="000A5A59" w:rsidRDefault="00065B99" w:rsidP="009C27B8">
            <w:pPr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</w:pPr>
            <w:r w:rsidRPr="000A5A59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>Prada-Ojeda 2016</w:t>
            </w:r>
            <w:r w:rsidRPr="000A5A59">
              <w:rPr>
                <w:rFonts w:ascii="Arial" w:hAnsi="Arial" w:cs="Arial"/>
                <w:b w:val="0"/>
                <w:bCs w:val="0"/>
                <w:color w:val="000000" w:themeColor="text1"/>
                <w:vertAlign w:val="superscript"/>
                <w:lang w:val="en-GB"/>
              </w:rPr>
              <w:t>35</w:t>
            </w:r>
            <w:r w:rsidRPr="000A5A59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>/ Conference</w:t>
            </w:r>
          </w:p>
          <w:p w:rsidR="00065B99" w:rsidRPr="000A5A59" w:rsidRDefault="00065B99" w:rsidP="009C27B8">
            <w:pPr>
              <w:jc w:val="both"/>
              <w:rPr>
                <w:rFonts w:ascii="Arial" w:hAnsi="Arial" w:cs="Arial"/>
                <w:b w:val="0"/>
                <w:color w:val="000000" w:themeColor="text1"/>
                <w:lang w:val="en-US"/>
              </w:rPr>
            </w:pPr>
            <w:r w:rsidRPr="000A5A59">
              <w:rPr>
                <w:rFonts w:ascii="Arial" w:hAnsi="Arial" w:cs="Arial"/>
                <w:b w:val="0"/>
                <w:bCs w:val="0"/>
                <w:color w:val="000000" w:themeColor="text1"/>
                <w:lang w:val="en-GB"/>
              </w:rPr>
              <w:t>abstract</w:t>
            </w:r>
          </w:p>
        </w:tc>
        <w:tc>
          <w:tcPr>
            <w:tcW w:w="2977" w:type="dxa"/>
            <w:vAlign w:val="center"/>
          </w:tcPr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 xml:space="preserve">Exploitation of demographic, economic and activity data about the disease from a </w:t>
            </w:r>
            <w:proofErr w:type="spellStart"/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PsA</w:t>
            </w:r>
            <w:proofErr w:type="spellEnd"/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 xml:space="preserve"> Unit over the course of one year </w:t>
            </w: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lastRenderedPageBreak/>
              <w:t xml:space="preserve">(n=88) </w:t>
            </w:r>
          </w:p>
        </w:tc>
        <w:tc>
          <w:tcPr>
            <w:tcW w:w="3118" w:type="dxa"/>
            <w:vAlign w:val="center"/>
          </w:tcPr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lastRenderedPageBreak/>
              <w:t>Dose reduction to ETN 25 mg/week or 25 mg/10 days vs standard regimen (n=6)</w:t>
            </w:r>
          </w:p>
        </w:tc>
        <w:tc>
          <w:tcPr>
            <w:tcW w:w="1276" w:type="dxa"/>
            <w:vAlign w:val="center"/>
          </w:tcPr>
          <w:p w:rsidR="00065B99" w:rsidRPr="00571670" w:rsidRDefault="00065B99" w:rsidP="009C27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SNS/</w:t>
            </w:r>
          </w:p>
          <w:p w:rsidR="00065B99" w:rsidRPr="00571670" w:rsidRDefault="00065B99" w:rsidP="009C27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1 year</w:t>
            </w:r>
          </w:p>
        </w:tc>
        <w:tc>
          <w:tcPr>
            <w:tcW w:w="1985" w:type="dxa"/>
            <w:vAlign w:val="center"/>
          </w:tcPr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71670">
              <w:rPr>
                <w:rFonts w:ascii="Arial" w:hAnsi="Arial" w:cs="Arial"/>
                <w:lang w:val="en-GB"/>
              </w:rPr>
              <w:t>Direct healthcare (</w:t>
            </w: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pharmacological</w:t>
            </w:r>
            <w:r w:rsidRPr="00571670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2798" w:type="dxa"/>
            <w:vAlign w:val="center"/>
          </w:tcPr>
          <w:p w:rsidR="00065B99" w:rsidRPr="00571670" w:rsidRDefault="00065B99" w:rsidP="009C27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71670">
              <w:rPr>
                <w:rFonts w:ascii="Arial" w:hAnsi="Arial" w:cs="Arial"/>
                <w:color w:val="000000" w:themeColor="text1"/>
                <w:lang w:val="en-GB"/>
              </w:rPr>
              <w:t>Cost savings with procedural change</w:t>
            </w:r>
          </w:p>
        </w:tc>
      </w:tr>
    </w:tbl>
    <w:p w:rsidR="00065B99" w:rsidRPr="00571670" w:rsidRDefault="00065B99" w:rsidP="00065B99">
      <w:pPr>
        <w:pStyle w:val="Caption"/>
        <w:spacing w:after="0"/>
        <w:ind w:right="-32"/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</w:pPr>
      <w:r w:rsidRPr="00571670">
        <w:rPr>
          <w:rFonts w:ascii="Arial" w:hAnsi="Arial" w:cs="Arial"/>
          <w:i w:val="0"/>
          <w:iCs w:val="0"/>
          <w:color w:val="000000" w:themeColor="text1"/>
          <w:sz w:val="22"/>
          <w:szCs w:val="22"/>
          <w:lang w:val="en-GB"/>
        </w:rPr>
        <w:lastRenderedPageBreak/>
        <w:t xml:space="preserve">BASDAI: Bath Ankylosing Spondylitis Disease Activity Index; BT: Biological therapy; CA: Costs analysis; DAS: Disease Activity Score; ETN: </w:t>
      </w:r>
      <w:proofErr w:type="spellStart"/>
      <w:r w:rsidRPr="00571670">
        <w:rPr>
          <w:rFonts w:ascii="Arial" w:hAnsi="Arial" w:cs="Arial"/>
          <w:i w:val="0"/>
          <w:iCs w:val="0"/>
          <w:color w:val="000000" w:themeColor="text1"/>
          <w:sz w:val="22"/>
          <w:szCs w:val="22"/>
          <w:lang w:val="en-GB"/>
        </w:rPr>
        <w:t>Etanercept</w:t>
      </w:r>
      <w:proofErr w:type="spellEnd"/>
      <w:proofErr w:type="gramStart"/>
      <w:r w:rsidRPr="00571670">
        <w:rPr>
          <w:rFonts w:ascii="Arial" w:hAnsi="Arial" w:cs="Arial"/>
          <w:i w:val="0"/>
          <w:iCs w:val="0"/>
          <w:color w:val="000000" w:themeColor="text1"/>
          <w:sz w:val="22"/>
          <w:szCs w:val="22"/>
          <w:lang w:val="en-GB"/>
        </w:rPr>
        <w:t>;  N</w:t>
      </w:r>
      <w:proofErr w:type="gramEnd"/>
      <w:r w:rsidRPr="00571670">
        <w:rPr>
          <w:rFonts w:ascii="Arial" w:hAnsi="Arial" w:cs="Arial"/>
          <w:i w:val="0"/>
          <w:iCs w:val="0"/>
          <w:color w:val="000000" w:themeColor="text1"/>
          <w:sz w:val="22"/>
          <w:szCs w:val="22"/>
          <w:lang w:val="en-GB"/>
        </w:rPr>
        <w:t xml:space="preserve">/A: Not applicable; ND: no data; PASI: Psoriasis Area Severity Index; </w:t>
      </w:r>
      <w:proofErr w:type="spellStart"/>
      <w:r w:rsidRPr="00571670">
        <w:rPr>
          <w:rFonts w:ascii="Arial" w:hAnsi="Arial" w:cs="Arial"/>
          <w:i w:val="0"/>
          <w:iCs w:val="0"/>
          <w:color w:val="000000" w:themeColor="text1"/>
          <w:sz w:val="22"/>
          <w:szCs w:val="22"/>
          <w:lang w:val="en-GB"/>
        </w:rPr>
        <w:t>PsA</w:t>
      </w:r>
      <w:proofErr w:type="spellEnd"/>
      <w:r w:rsidRPr="00571670">
        <w:rPr>
          <w:rFonts w:ascii="Arial" w:hAnsi="Arial" w:cs="Arial"/>
          <w:i w:val="0"/>
          <w:iCs w:val="0"/>
          <w:color w:val="000000" w:themeColor="text1"/>
          <w:sz w:val="22"/>
          <w:szCs w:val="22"/>
          <w:lang w:val="en-GB"/>
        </w:rPr>
        <w:t>: Psoriatic arthritis; SNS: Spanish National Health Service;  SPC: Summary of product characteristics</w:t>
      </w:r>
    </w:p>
    <w:p w:rsidR="00065B99" w:rsidRPr="00794FA1" w:rsidRDefault="00065B99" w:rsidP="00065B99">
      <w:pPr>
        <w:pStyle w:val="Caption"/>
        <w:ind w:right="-32"/>
        <w:rPr>
          <w:lang w:val="en-US"/>
        </w:rPr>
      </w:pPr>
      <w:r w:rsidRPr="00571670">
        <w:rPr>
          <w:rFonts w:ascii="Arial" w:hAnsi="Arial" w:cs="Arial"/>
          <w:color w:val="000000" w:themeColor="text1"/>
          <w:sz w:val="22"/>
          <w:szCs w:val="22"/>
          <w:lang w:val="en-GB"/>
        </w:rPr>
        <w:t>a. Average dose reduction/patient-year for standard regimen (2x25 mg/week) at the following reduced ETN regimens: 25 mg/week, 25 mg/10 days, 50 mg/10 days or 50 mg/2 weeks b. Dose escalation of standard regimen (2x25 mg/week) to 100 mg/week for a period of longer than 12 weeks;</w:t>
      </w:r>
    </w:p>
    <w:p w:rsidR="009217C4" w:rsidRDefault="009217C4">
      <w:bookmarkStart w:id="4" w:name="_GoBack"/>
      <w:bookmarkEnd w:id="4"/>
    </w:p>
    <w:sectPr w:rsidR="009217C4" w:rsidSect="002E6EDA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B99"/>
    <w:rsid w:val="00065B99"/>
    <w:rsid w:val="00921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B99"/>
    <w:pPr>
      <w:spacing w:after="160" w:line="259" w:lineRule="auto"/>
    </w:pPr>
    <w:rPr>
      <w:lang w:val="es-E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5B99"/>
    <w:pPr>
      <w:keepNext/>
      <w:keepLines/>
      <w:spacing w:before="240" w:after="240"/>
      <w:outlineLvl w:val="1"/>
    </w:pPr>
    <w:rPr>
      <w:rFonts w:ascii="Arial" w:eastAsiaTheme="majorEastAsia" w:hAnsi="Arial" w:cstheme="majorBidi"/>
      <w:b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65B99"/>
    <w:rPr>
      <w:rFonts w:ascii="Arial" w:eastAsiaTheme="majorEastAsia" w:hAnsi="Arial" w:cstheme="majorBidi"/>
      <w:b/>
      <w:sz w:val="24"/>
      <w:szCs w:val="26"/>
      <w:lang w:val="es-ES"/>
    </w:rPr>
  </w:style>
  <w:style w:type="paragraph" w:styleId="Caption">
    <w:name w:val="caption"/>
    <w:basedOn w:val="Normal"/>
    <w:next w:val="Normal"/>
    <w:uiPriority w:val="35"/>
    <w:unhideWhenUsed/>
    <w:qFormat/>
    <w:rsid w:val="00065B99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table" w:customStyle="1" w:styleId="Tabladecuadrcula1clara1">
    <w:name w:val="Tabla de cuadrícula 1 clara1"/>
    <w:basedOn w:val="TableNormal"/>
    <w:uiPriority w:val="46"/>
    <w:rsid w:val="00065B99"/>
    <w:pPr>
      <w:spacing w:after="0" w:line="240" w:lineRule="auto"/>
    </w:pPr>
    <w:rPr>
      <w:lang w:val="es-E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065B9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065B99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B99"/>
    <w:pPr>
      <w:spacing w:after="160" w:line="259" w:lineRule="auto"/>
    </w:pPr>
    <w:rPr>
      <w:lang w:val="es-E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5B99"/>
    <w:pPr>
      <w:keepNext/>
      <w:keepLines/>
      <w:spacing w:before="240" w:after="240"/>
      <w:outlineLvl w:val="1"/>
    </w:pPr>
    <w:rPr>
      <w:rFonts w:ascii="Arial" w:eastAsiaTheme="majorEastAsia" w:hAnsi="Arial" w:cstheme="majorBidi"/>
      <w:b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65B99"/>
    <w:rPr>
      <w:rFonts w:ascii="Arial" w:eastAsiaTheme="majorEastAsia" w:hAnsi="Arial" w:cstheme="majorBidi"/>
      <w:b/>
      <w:sz w:val="24"/>
      <w:szCs w:val="26"/>
      <w:lang w:val="es-ES"/>
    </w:rPr>
  </w:style>
  <w:style w:type="paragraph" w:styleId="Caption">
    <w:name w:val="caption"/>
    <w:basedOn w:val="Normal"/>
    <w:next w:val="Normal"/>
    <w:uiPriority w:val="35"/>
    <w:unhideWhenUsed/>
    <w:qFormat/>
    <w:rsid w:val="00065B99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table" w:customStyle="1" w:styleId="Tabladecuadrcula1clara1">
    <w:name w:val="Tabla de cuadrícula 1 clara1"/>
    <w:basedOn w:val="TableNormal"/>
    <w:uiPriority w:val="46"/>
    <w:rsid w:val="00065B99"/>
    <w:pPr>
      <w:spacing w:after="0" w:line="240" w:lineRule="auto"/>
    </w:pPr>
    <w:rPr>
      <w:lang w:val="es-E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065B9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065B9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1733</Words>
  <Characters>9882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Gyedu</dc:creator>
  <cp:lastModifiedBy> Michael Gyedu</cp:lastModifiedBy>
  <cp:revision>1</cp:revision>
  <dcterms:created xsi:type="dcterms:W3CDTF">2019-04-25T13:40:00Z</dcterms:created>
  <dcterms:modified xsi:type="dcterms:W3CDTF">2019-04-25T13:43:00Z</dcterms:modified>
</cp:coreProperties>
</file>