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312CB8" w14:textId="37F43E55" w:rsidR="00E30637" w:rsidRPr="00D44EE6" w:rsidRDefault="00523F70" w:rsidP="0039514A">
      <w:pPr>
        <w:pStyle w:val="Heading2"/>
        <w:spacing w:before="0" w:after="0" w:line="480" w:lineRule="auto"/>
        <w:rPr>
          <w:rFonts w:ascii="Arial" w:hAnsi="Arial" w:cs="Arial"/>
          <w:b/>
          <w:color w:val="auto"/>
          <w:lang w:val="en-GB"/>
        </w:rPr>
      </w:pPr>
      <w:r w:rsidRPr="00D44EE6">
        <w:rPr>
          <w:rFonts w:ascii="Arial" w:hAnsi="Arial" w:cs="Arial"/>
          <w:b/>
          <w:color w:val="auto"/>
          <w:lang w:val="en-GB"/>
        </w:rPr>
        <w:t>Online Resource</w:t>
      </w:r>
    </w:p>
    <w:p w14:paraId="6D7AC74A" w14:textId="32D4313A" w:rsidR="002F6615" w:rsidRPr="00D44EE6" w:rsidRDefault="002F6615" w:rsidP="0039514A">
      <w:pPr>
        <w:pStyle w:val="Heading3"/>
        <w:spacing w:before="0" w:after="0" w:line="480" w:lineRule="auto"/>
        <w:rPr>
          <w:rFonts w:ascii="Arial" w:hAnsi="Arial" w:cs="Arial"/>
          <w:b/>
          <w:color w:val="auto"/>
          <w:sz w:val="22"/>
          <w:szCs w:val="22"/>
          <w:lang w:val="en-GB"/>
        </w:rPr>
      </w:pPr>
      <w:r w:rsidRPr="00D44EE6">
        <w:rPr>
          <w:rFonts w:ascii="Arial" w:hAnsi="Arial" w:cs="Arial"/>
          <w:b/>
          <w:color w:val="auto"/>
          <w:sz w:val="22"/>
          <w:szCs w:val="22"/>
          <w:lang w:val="en-GB"/>
        </w:rPr>
        <w:t xml:space="preserve">Adverse </w:t>
      </w:r>
      <w:r w:rsidR="00523F70" w:rsidRPr="00D44EE6">
        <w:rPr>
          <w:rFonts w:ascii="Arial" w:hAnsi="Arial" w:cs="Arial"/>
          <w:b/>
          <w:color w:val="auto"/>
          <w:sz w:val="22"/>
          <w:szCs w:val="22"/>
          <w:lang w:val="en-GB"/>
        </w:rPr>
        <w:t>E</w:t>
      </w:r>
      <w:r w:rsidRPr="00D44EE6">
        <w:rPr>
          <w:rFonts w:ascii="Arial" w:hAnsi="Arial" w:cs="Arial"/>
          <w:b/>
          <w:color w:val="auto"/>
          <w:sz w:val="22"/>
          <w:szCs w:val="22"/>
          <w:lang w:val="en-GB"/>
        </w:rPr>
        <w:t>vents (AEs)</w:t>
      </w:r>
    </w:p>
    <w:p w14:paraId="1A3C611D" w14:textId="1BD2F3C3" w:rsidR="002F6615" w:rsidRPr="00D44EE6" w:rsidRDefault="002F6615" w:rsidP="0039514A">
      <w:pPr>
        <w:spacing w:after="0" w:line="480" w:lineRule="auto"/>
        <w:rPr>
          <w:rFonts w:ascii="Arial" w:hAnsi="Arial" w:cs="Arial"/>
          <w:lang w:val="en-GB"/>
        </w:rPr>
      </w:pPr>
      <w:r w:rsidRPr="00D44EE6">
        <w:rPr>
          <w:rFonts w:ascii="Arial" w:hAnsi="Arial" w:cs="Arial"/>
          <w:lang w:val="en-GB"/>
        </w:rPr>
        <w:t>The model considered drug-related grade 1</w:t>
      </w:r>
      <w:r w:rsidR="000E2B9F" w:rsidRPr="00D44EE6">
        <w:rPr>
          <w:rFonts w:ascii="Arial" w:hAnsi="Arial" w:cs="Arial"/>
          <w:lang w:val="en-GB"/>
        </w:rPr>
        <w:t>–</w:t>
      </w:r>
      <w:r w:rsidRPr="00D44EE6">
        <w:rPr>
          <w:rFonts w:ascii="Arial" w:hAnsi="Arial" w:cs="Arial"/>
          <w:lang w:val="en-GB"/>
        </w:rPr>
        <w:t>2 and grade 3</w:t>
      </w:r>
      <w:r w:rsidR="000E2B9F" w:rsidRPr="00D44EE6">
        <w:rPr>
          <w:rFonts w:ascii="Arial" w:hAnsi="Arial" w:cs="Arial"/>
          <w:lang w:val="en-GB"/>
        </w:rPr>
        <w:t>–</w:t>
      </w:r>
      <w:r w:rsidRPr="00D44EE6">
        <w:rPr>
          <w:rFonts w:ascii="Arial" w:hAnsi="Arial" w:cs="Arial"/>
          <w:lang w:val="en-GB"/>
        </w:rPr>
        <w:t xml:space="preserve">4 AEs for active treatments. For observation, no AE occurrence was considered. For interferon, a literature </w:t>
      </w:r>
      <w:r w:rsidR="00BB4124" w:rsidRPr="00D44EE6">
        <w:rPr>
          <w:rFonts w:ascii="Arial" w:hAnsi="Arial" w:cs="Arial"/>
          <w:lang w:val="en-GB"/>
        </w:rPr>
        <w:t xml:space="preserve">review </w:t>
      </w:r>
      <w:r w:rsidR="00D4320C" w:rsidRPr="00D44EE6">
        <w:rPr>
          <w:rFonts w:ascii="Arial" w:hAnsi="Arial" w:cs="Arial"/>
          <w:noProof/>
          <w:lang w:val="en-GB"/>
        </w:rPr>
        <w:t>[1-4]</w:t>
      </w:r>
      <w:r w:rsidR="00D4320C" w:rsidRPr="00D44EE6">
        <w:rPr>
          <w:rFonts w:ascii="Arial" w:hAnsi="Arial" w:cs="Arial"/>
          <w:lang w:val="en-GB"/>
        </w:rPr>
        <w:t xml:space="preserve"> </w:t>
      </w:r>
      <w:r w:rsidRPr="00D44EE6">
        <w:rPr>
          <w:rFonts w:ascii="Arial" w:hAnsi="Arial" w:cs="Arial"/>
          <w:lang w:val="en-GB"/>
        </w:rPr>
        <w:t>identified grade 1</w:t>
      </w:r>
      <w:r w:rsidR="000E2B9F" w:rsidRPr="00D44EE6">
        <w:rPr>
          <w:rFonts w:ascii="Arial" w:hAnsi="Arial" w:cs="Arial"/>
          <w:lang w:val="en-GB"/>
        </w:rPr>
        <w:t>–</w:t>
      </w:r>
      <w:r w:rsidRPr="00D44EE6">
        <w:rPr>
          <w:rFonts w:ascii="Arial" w:hAnsi="Arial" w:cs="Arial"/>
          <w:lang w:val="en-GB"/>
        </w:rPr>
        <w:t>2 AEs occurring in at least 10% of patients and grade 3</w:t>
      </w:r>
      <w:r w:rsidR="000E2B9F" w:rsidRPr="00D44EE6">
        <w:rPr>
          <w:rFonts w:ascii="Arial" w:hAnsi="Arial" w:cs="Arial"/>
          <w:lang w:val="en-GB"/>
        </w:rPr>
        <w:t>–</w:t>
      </w:r>
      <w:r w:rsidRPr="00D44EE6">
        <w:rPr>
          <w:rFonts w:ascii="Arial" w:hAnsi="Arial" w:cs="Arial"/>
          <w:lang w:val="en-GB"/>
        </w:rPr>
        <w:t>4 AEs occurring in</w:t>
      </w:r>
      <w:bookmarkStart w:id="0" w:name="_GoBack"/>
      <w:bookmarkEnd w:id="0"/>
      <w:r w:rsidRPr="00D44EE6">
        <w:rPr>
          <w:rFonts w:ascii="Arial" w:hAnsi="Arial" w:cs="Arial"/>
          <w:lang w:val="en-GB"/>
        </w:rPr>
        <w:t xml:space="preserve"> at least 1% of patients</w:t>
      </w:r>
      <w:r w:rsidR="00650344" w:rsidRPr="00D44EE6">
        <w:rPr>
          <w:rFonts w:ascii="Arial" w:hAnsi="Arial" w:cs="Arial"/>
          <w:lang w:val="en-GB"/>
        </w:rPr>
        <w:t>; this</w:t>
      </w:r>
      <w:r w:rsidRPr="00D44EE6">
        <w:rPr>
          <w:rFonts w:ascii="Arial" w:hAnsi="Arial" w:cs="Arial"/>
          <w:lang w:val="en-GB"/>
        </w:rPr>
        <w:t xml:space="preserve"> </w:t>
      </w:r>
      <w:r w:rsidR="00650344" w:rsidRPr="00D44EE6">
        <w:rPr>
          <w:rFonts w:ascii="Arial" w:hAnsi="Arial" w:cs="Arial"/>
          <w:lang w:val="en-GB"/>
        </w:rPr>
        <w:t>resulted in</w:t>
      </w:r>
      <w:r w:rsidRPr="00D44EE6">
        <w:rPr>
          <w:rFonts w:ascii="Arial" w:hAnsi="Arial" w:cs="Arial"/>
          <w:lang w:val="en-GB"/>
        </w:rPr>
        <w:t xml:space="preserve"> the selection of 15 types of AEs. For nivolumab</w:t>
      </w:r>
      <w:r w:rsidR="000E2B9F" w:rsidRPr="00D44EE6">
        <w:rPr>
          <w:rFonts w:ascii="Arial" w:hAnsi="Arial" w:cs="Arial"/>
          <w:lang w:val="en-GB"/>
        </w:rPr>
        <w:t>,</w:t>
      </w:r>
      <w:r w:rsidR="003A374A" w:rsidRPr="00D44EE6">
        <w:rPr>
          <w:rFonts w:ascii="Arial" w:hAnsi="Arial" w:cs="Arial"/>
          <w:lang w:val="en-GB"/>
        </w:rPr>
        <w:t xml:space="preserve"> </w:t>
      </w:r>
      <w:r w:rsidR="00AF7A07" w:rsidRPr="00D44EE6">
        <w:rPr>
          <w:rFonts w:ascii="Arial" w:hAnsi="Arial" w:cs="Arial"/>
          <w:lang w:val="en-GB"/>
        </w:rPr>
        <w:t>the most common grade 1–2 and grade 3–4 AEs</w:t>
      </w:r>
      <w:r w:rsidR="00D32375" w:rsidRPr="00D44EE6">
        <w:rPr>
          <w:rFonts w:ascii="Arial" w:hAnsi="Arial" w:cs="Arial"/>
          <w:lang w:val="en-GB"/>
        </w:rPr>
        <w:t xml:space="preserve"> observed in CheckMate 238, </w:t>
      </w:r>
      <w:r w:rsidR="00D56CCF" w:rsidRPr="00D44EE6">
        <w:rPr>
          <w:rFonts w:ascii="Arial" w:hAnsi="Arial" w:cs="Arial"/>
          <w:lang w:val="en-GB"/>
        </w:rPr>
        <w:t xml:space="preserve">which were also </w:t>
      </w:r>
      <w:r w:rsidR="00D32375" w:rsidRPr="00D44EE6">
        <w:rPr>
          <w:rFonts w:ascii="Arial" w:hAnsi="Arial" w:cs="Arial"/>
          <w:lang w:val="en-GB"/>
        </w:rPr>
        <w:t xml:space="preserve">common to interferon, </w:t>
      </w:r>
      <w:r w:rsidRPr="00D44EE6">
        <w:rPr>
          <w:rFonts w:ascii="Arial" w:hAnsi="Arial" w:cs="Arial"/>
          <w:lang w:val="en-GB"/>
        </w:rPr>
        <w:t xml:space="preserve">led to the selection of 11 types of AEs. For pembrolizumab, AEs </w:t>
      </w:r>
      <w:r w:rsidR="006B06CF" w:rsidRPr="00D44EE6">
        <w:rPr>
          <w:rFonts w:ascii="Arial" w:hAnsi="Arial" w:cs="Arial"/>
          <w:lang w:val="en-GB"/>
        </w:rPr>
        <w:t xml:space="preserve">were </w:t>
      </w:r>
      <w:r w:rsidR="00D51783" w:rsidRPr="00D44EE6">
        <w:rPr>
          <w:rFonts w:ascii="Arial" w:hAnsi="Arial" w:cs="Arial"/>
          <w:lang w:val="en-GB"/>
        </w:rPr>
        <w:t xml:space="preserve">based on </w:t>
      </w:r>
      <w:r w:rsidRPr="00D44EE6">
        <w:rPr>
          <w:rFonts w:ascii="Arial" w:hAnsi="Arial" w:cs="Arial"/>
          <w:lang w:val="en-GB"/>
        </w:rPr>
        <w:t xml:space="preserve">those </w:t>
      </w:r>
      <w:r w:rsidR="000B134E" w:rsidRPr="00D44EE6">
        <w:rPr>
          <w:rFonts w:ascii="Arial" w:hAnsi="Arial" w:cs="Arial"/>
          <w:lang w:val="en-GB"/>
        </w:rPr>
        <w:t xml:space="preserve">that </w:t>
      </w:r>
      <w:r w:rsidR="006B06CF" w:rsidRPr="00D44EE6">
        <w:rPr>
          <w:rFonts w:ascii="Arial" w:hAnsi="Arial" w:cs="Arial"/>
          <w:lang w:val="en-GB"/>
        </w:rPr>
        <w:t>occurr</w:t>
      </w:r>
      <w:r w:rsidR="000B134E" w:rsidRPr="00D44EE6">
        <w:rPr>
          <w:rFonts w:ascii="Arial" w:hAnsi="Arial" w:cs="Arial"/>
          <w:lang w:val="en-GB"/>
        </w:rPr>
        <w:t>ed</w:t>
      </w:r>
      <w:r w:rsidR="006B06CF" w:rsidRPr="00D44EE6">
        <w:rPr>
          <w:rFonts w:ascii="Arial" w:hAnsi="Arial" w:cs="Arial"/>
          <w:lang w:val="en-GB"/>
        </w:rPr>
        <w:t xml:space="preserve"> with </w:t>
      </w:r>
      <w:r w:rsidRPr="00D44EE6">
        <w:rPr>
          <w:rFonts w:ascii="Arial" w:hAnsi="Arial" w:cs="Arial"/>
          <w:lang w:val="en-GB"/>
        </w:rPr>
        <w:t>nivolumab</w:t>
      </w:r>
      <w:r w:rsidR="006B06CF" w:rsidRPr="00D44EE6">
        <w:rPr>
          <w:rFonts w:ascii="Arial" w:hAnsi="Arial" w:cs="Arial"/>
          <w:lang w:val="en-GB"/>
        </w:rPr>
        <w:t xml:space="preserve"> and </w:t>
      </w:r>
      <w:r w:rsidR="00A24E13" w:rsidRPr="00D44EE6">
        <w:rPr>
          <w:rFonts w:ascii="Arial" w:hAnsi="Arial" w:cs="Arial"/>
          <w:lang w:val="en-GB"/>
        </w:rPr>
        <w:t xml:space="preserve">those </w:t>
      </w:r>
      <w:r w:rsidRPr="00D44EE6">
        <w:rPr>
          <w:rFonts w:ascii="Arial" w:hAnsi="Arial" w:cs="Arial"/>
          <w:lang w:val="en-GB"/>
        </w:rPr>
        <w:t>in</w:t>
      </w:r>
      <w:r w:rsidR="006B06CF" w:rsidRPr="00D44EE6">
        <w:rPr>
          <w:rFonts w:ascii="Arial" w:hAnsi="Arial" w:cs="Arial"/>
          <w:lang w:val="en-GB"/>
        </w:rPr>
        <w:t xml:space="preserve"> the </w:t>
      </w:r>
      <w:r w:rsidR="00E71808" w:rsidRPr="00D44EE6">
        <w:rPr>
          <w:rFonts w:ascii="Arial" w:hAnsi="Arial" w:cs="Arial"/>
          <w:lang w:val="en-GB"/>
        </w:rPr>
        <w:t>KEYNOTE</w:t>
      </w:r>
      <w:r w:rsidRPr="00D44EE6">
        <w:rPr>
          <w:rFonts w:ascii="Arial" w:hAnsi="Arial" w:cs="Arial"/>
          <w:lang w:val="en-GB"/>
        </w:rPr>
        <w:t>-054</w:t>
      </w:r>
      <w:r w:rsidR="006B06CF" w:rsidRPr="00D44EE6">
        <w:rPr>
          <w:rFonts w:ascii="Arial" w:hAnsi="Arial" w:cs="Arial"/>
          <w:lang w:val="en-GB"/>
        </w:rPr>
        <w:t xml:space="preserve"> study</w:t>
      </w:r>
      <w:r w:rsidRPr="00D44EE6">
        <w:rPr>
          <w:rFonts w:ascii="Arial" w:hAnsi="Arial" w:cs="Arial"/>
          <w:lang w:val="en-GB"/>
        </w:rPr>
        <w:t xml:space="preserve"> </w:t>
      </w:r>
      <w:r w:rsidR="00E54CB7" w:rsidRPr="00D44EE6">
        <w:rPr>
          <w:rFonts w:ascii="Arial" w:hAnsi="Arial" w:cs="Arial"/>
          <w:noProof/>
          <w:lang w:val="en-GB"/>
        </w:rPr>
        <w:t>[5]</w:t>
      </w:r>
      <w:r w:rsidR="00D51783" w:rsidRPr="00D44EE6">
        <w:rPr>
          <w:rFonts w:ascii="Arial" w:hAnsi="Arial" w:cs="Arial"/>
          <w:lang w:val="en-GB"/>
        </w:rPr>
        <w:t>.</w:t>
      </w:r>
      <w:r w:rsidRPr="00D44EE6">
        <w:rPr>
          <w:rFonts w:ascii="Arial" w:hAnsi="Arial" w:cs="Arial"/>
          <w:lang w:val="en-GB"/>
        </w:rPr>
        <w:t xml:space="preserve"> </w:t>
      </w:r>
      <w:r w:rsidR="00D51783" w:rsidRPr="00D44EE6">
        <w:rPr>
          <w:rFonts w:ascii="Arial" w:hAnsi="Arial" w:cs="Arial"/>
          <w:lang w:val="en-GB"/>
        </w:rPr>
        <w:t>I</w:t>
      </w:r>
      <w:r w:rsidR="006B06CF" w:rsidRPr="00D44EE6">
        <w:rPr>
          <w:rFonts w:ascii="Arial" w:hAnsi="Arial" w:cs="Arial"/>
          <w:lang w:val="en-GB"/>
        </w:rPr>
        <w:t>f the</w:t>
      </w:r>
      <w:r w:rsidRPr="00D44EE6">
        <w:rPr>
          <w:rFonts w:ascii="Arial" w:hAnsi="Arial" w:cs="Arial"/>
          <w:lang w:val="en-GB"/>
        </w:rPr>
        <w:t xml:space="preserve"> </w:t>
      </w:r>
      <w:r w:rsidR="006B06CF" w:rsidRPr="00D44EE6">
        <w:rPr>
          <w:rFonts w:ascii="Arial" w:hAnsi="Arial" w:cs="Arial"/>
          <w:lang w:val="en-GB"/>
        </w:rPr>
        <w:t xml:space="preserve">selected </w:t>
      </w:r>
      <w:r w:rsidRPr="00D44EE6">
        <w:rPr>
          <w:rFonts w:ascii="Arial" w:hAnsi="Arial" w:cs="Arial"/>
          <w:lang w:val="en-GB"/>
        </w:rPr>
        <w:t xml:space="preserve">AEs were not </w:t>
      </w:r>
      <w:r w:rsidR="00D51783" w:rsidRPr="00D44EE6">
        <w:rPr>
          <w:rFonts w:ascii="Arial" w:hAnsi="Arial" w:cs="Arial"/>
          <w:lang w:val="en-GB"/>
        </w:rPr>
        <w:t>reported</w:t>
      </w:r>
      <w:r w:rsidRPr="00D44EE6">
        <w:rPr>
          <w:rFonts w:ascii="Arial" w:hAnsi="Arial" w:cs="Arial"/>
          <w:lang w:val="en-GB"/>
        </w:rPr>
        <w:t xml:space="preserve"> in the </w:t>
      </w:r>
      <w:r w:rsidR="00E71808" w:rsidRPr="00D44EE6">
        <w:rPr>
          <w:rFonts w:ascii="Arial" w:hAnsi="Arial" w:cs="Arial"/>
          <w:lang w:val="en-GB"/>
        </w:rPr>
        <w:t>KEYNOTE</w:t>
      </w:r>
      <w:r w:rsidRPr="00D44EE6">
        <w:rPr>
          <w:rFonts w:ascii="Arial" w:hAnsi="Arial" w:cs="Arial"/>
          <w:lang w:val="en-GB"/>
        </w:rPr>
        <w:t>-054</w:t>
      </w:r>
      <w:r w:rsidR="00D51783" w:rsidRPr="00D44EE6">
        <w:rPr>
          <w:rFonts w:ascii="Arial" w:hAnsi="Arial" w:cs="Arial"/>
          <w:lang w:val="en-GB"/>
        </w:rPr>
        <w:t xml:space="preserve"> study</w:t>
      </w:r>
      <w:r w:rsidRPr="00D44EE6">
        <w:rPr>
          <w:rFonts w:ascii="Arial" w:hAnsi="Arial" w:cs="Arial"/>
          <w:lang w:val="en-GB"/>
        </w:rPr>
        <w:t xml:space="preserve">, </w:t>
      </w:r>
      <w:r w:rsidR="00D51783" w:rsidRPr="00D44EE6">
        <w:rPr>
          <w:rFonts w:ascii="Arial" w:hAnsi="Arial" w:cs="Arial"/>
          <w:lang w:val="en-GB"/>
        </w:rPr>
        <w:t xml:space="preserve">then </w:t>
      </w:r>
      <w:r w:rsidRPr="00D44EE6">
        <w:rPr>
          <w:rFonts w:ascii="Arial" w:hAnsi="Arial" w:cs="Arial"/>
          <w:lang w:val="en-GB"/>
        </w:rPr>
        <w:t xml:space="preserve">the occurrence </w:t>
      </w:r>
      <w:r w:rsidR="00651C30" w:rsidRPr="00D44EE6">
        <w:rPr>
          <w:rFonts w:ascii="Arial" w:hAnsi="Arial" w:cs="Arial"/>
          <w:lang w:val="en-GB"/>
        </w:rPr>
        <w:t>rate</w:t>
      </w:r>
      <w:r w:rsidR="003A374A" w:rsidRPr="00D44EE6">
        <w:rPr>
          <w:rFonts w:ascii="Arial" w:hAnsi="Arial" w:cs="Arial"/>
          <w:lang w:val="en-GB"/>
        </w:rPr>
        <w:t xml:space="preserve"> observed </w:t>
      </w:r>
      <w:r w:rsidR="00651C30" w:rsidRPr="00D44EE6">
        <w:rPr>
          <w:rFonts w:ascii="Arial" w:hAnsi="Arial" w:cs="Arial"/>
          <w:lang w:val="en-GB"/>
        </w:rPr>
        <w:t xml:space="preserve">for </w:t>
      </w:r>
      <w:r w:rsidRPr="00D44EE6">
        <w:rPr>
          <w:rFonts w:ascii="Arial" w:hAnsi="Arial" w:cs="Arial"/>
          <w:lang w:val="en-GB"/>
        </w:rPr>
        <w:t xml:space="preserve">nivolumab was applied. </w:t>
      </w:r>
    </w:p>
    <w:p w14:paraId="2242FF50" w14:textId="0168E55D" w:rsidR="002F6615" w:rsidRPr="00D44EE6" w:rsidRDefault="002F6615" w:rsidP="0039514A">
      <w:pPr>
        <w:spacing w:after="0" w:line="480" w:lineRule="auto"/>
        <w:rPr>
          <w:rFonts w:ascii="Arial" w:hAnsi="Arial" w:cs="Arial"/>
          <w:lang w:val="en-GB"/>
        </w:rPr>
      </w:pPr>
    </w:p>
    <w:p w14:paraId="7C739B82" w14:textId="77777777" w:rsidR="002F6615" w:rsidRPr="00D44EE6" w:rsidRDefault="002F6615" w:rsidP="0039514A">
      <w:pPr>
        <w:pStyle w:val="Heading3"/>
        <w:spacing w:before="0" w:after="0" w:line="480" w:lineRule="auto"/>
        <w:rPr>
          <w:rFonts w:ascii="Arial" w:hAnsi="Arial" w:cs="Arial"/>
          <w:b/>
          <w:color w:val="auto"/>
          <w:sz w:val="22"/>
          <w:szCs w:val="22"/>
          <w:lang w:val="en-GB"/>
        </w:rPr>
      </w:pPr>
      <w:r w:rsidRPr="00D44EE6">
        <w:rPr>
          <w:rFonts w:ascii="Arial" w:hAnsi="Arial" w:cs="Arial"/>
          <w:b/>
          <w:color w:val="auto"/>
          <w:sz w:val="22"/>
          <w:szCs w:val="22"/>
          <w:lang w:val="en-GB"/>
        </w:rPr>
        <w:t>Utilities</w:t>
      </w:r>
    </w:p>
    <w:p w14:paraId="59D2990D" w14:textId="4711D6AE" w:rsidR="00162450" w:rsidRPr="00D44EE6" w:rsidRDefault="002F6615" w:rsidP="0039514A">
      <w:pPr>
        <w:pStyle w:val="Heading4"/>
        <w:spacing w:before="0" w:after="0" w:line="480" w:lineRule="auto"/>
        <w:rPr>
          <w:rFonts w:ascii="Arial" w:hAnsi="Arial" w:cs="Arial"/>
          <w:i w:val="0"/>
          <w:color w:val="auto"/>
          <w:lang w:val="en-GB"/>
        </w:rPr>
      </w:pPr>
      <w:r w:rsidRPr="00D44EE6">
        <w:rPr>
          <w:rFonts w:ascii="Arial" w:hAnsi="Arial" w:cs="Arial"/>
          <w:i w:val="0"/>
          <w:color w:val="auto"/>
          <w:lang w:val="en-GB"/>
        </w:rPr>
        <w:t>Utilities assigned to each state of the model (</w:t>
      </w:r>
      <w:r w:rsidR="00E729A6" w:rsidRPr="00D44EE6">
        <w:rPr>
          <w:rFonts w:ascii="Arial" w:hAnsi="Arial" w:cs="Arial"/>
          <w:b/>
          <w:bCs/>
          <w:i w:val="0"/>
          <w:color w:val="auto"/>
          <w:lang w:val="en-GB"/>
        </w:rPr>
        <w:t>Table 1</w:t>
      </w:r>
      <w:r w:rsidRPr="00D44EE6">
        <w:rPr>
          <w:rFonts w:ascii="Arial" w:hAnsi="Arial" w:cs="Arial"/>
          <w:i w:val="0"/>
          <w:color w:val="auto"/>
          <w:lang w:val="en-GB"/>
        </w:rPr>
        <w:t>) were sourced from the EuroQol</w:t>
      </w:r>
      <w:r w:rsidR="00F31549" w:rsidRPr="00D44EE6">
        <w:rPr>
          <w:rFonts w:ascii="Arial" w:hAnsi="Arial" w:cs="Arial"/>
          <w:i w:val="0"/>
          <w:color w:val="auto"/>
          <w:lang w:val="en-GB"/>
        </w:rPr>
        <w:t xml:space="preserve"> </w:t>
      </w:r>
      <w:r w:rsidRPr="00D44EE6">
        <w:rPr>
          <w:rFonts w:ascii="Arial" w:hAnsi="Arial" w:cs="Arial"/>
          <w:i w:val="0"/>
          <w:color w:val="auto"/>
          <w:lang w:val="en-GB"/>
        </w:rPr>
        <w:t>five</w:t>
      </w:r>
      <w:r w:rsidR="00F31549" w:rsidRPr="00D44EE6">
        <w:rPr>
          <w:rFonts w:ascii="Arial" w:hAnsi="Arial" w:cs="Arial"/>
          <w:i w:val="0"/>
          <w:color w:val="auto"/>
          <w:lang w:val="en-GB"/>
        </w:rPr>
        <w:t>-</w:t>
      </w:r>
      <w:r w:rsidRPr="00D44EE6">
        <w:rPr>
          <w:rFonts w:ascii="Arial" w:hAnsi="Arial" w:cs="Arial"/>
          <w:i w:val="0"/>
          <w:color w:val="auto"/>
          <w:lang w:val="en-GB"/>
        </w:rPr>
        <w:t>dimension</w:t>
      </w:r>
      <w:r w:rsidR="00F31549" w:rsidRPr="00D44EE6">
        <w:rPr>
          <w:rFonts w:ascii="Arial" w:hAnsi="Arial" w:cs="Arial"/>
          <w:i w:val="0"/>
          <w:color w:val="auto"/>
          <w:lang w:val="en-GB"/>
        </w:rPr>
        <w:t xml:space="preserve">, </w:t>
      </w:r>
      <w:r w:rsidRPr="00D44EE6">
        <w:rPr>
          <w:rFonts w:ascii="Arial" w:hAnsi="Arial" w:cs="Arial"/>
          <w:i w:val="0"/>
          <w:color w:val="auto"/>
          <w:lang w:val="en-GB"/>
        </w:rPr>
        <w:t>three</w:t>
      </w:r>
      <w:r w:rsidR="00F31549" w:rsidRPr="00D44EE6">
        <w:rPr>
          <w:rFonts w:ascii="Arial" w:hAnsi="Arial" w:cs="Arial"/>
          <w:i w:val="0"/>
          <w:color w:val="auto"/>
          <w:lang w:val="en-GB"/>
        </w:rPr>
        <w:t>-</w:t>
      </w:r>
      <w:r w:rsidRPr="00D44EE6">
        <w:rPr>
          <w:rFonts w:ascii="Arial" w:hAnsi="Arial" w:cs="Arial"/>
          <w:i w:val="0"/>
          <w:color w:val="auto"/>
          <w:lang w:val="en-GB"/>
        </w:rPr>
        <w:t>level</w:t>
      </w:r>
      <w:r w:rsidR="0015783A" w:rsidRPr="00D44EE6">
        <w:rPr>
          <w:rFonts w:ascii="Arial" w:hAnsi="Arial" w:cs="Arial"/>
          <w:i w:val="0"/>
          <w:color w:val="auto"/>
          <w:lang w:val="en-GB"/>
        </w:rPr>
        <w:t xml:space="preserve"> </w:t>
      </w:r>
      <w:r w:rsidRPr="00D44EE6">
        <w:rPr>
          <w:rFonts w:ascii="Arial" w:hAnsi="Arial" w:cs="Arial"/>
          <w:i w:val="0"/>
          <w:color w:val="auto"/>
          <w:lang w:val="en-GB"/>
        </w:rPr>
        <w:t>questionnaires collected in CheckMate</w:t>
      </w:r>
      <w:r w:rsidR="006B06CF" w:rsidRPr="00D44EE6">
        <w:rPr>
          <w:rFonts w:ascii="Arial" w:hAnsi="Arial" w:cs="Arial"/>
          <w:i w:val="0"/>
          <w:color w:val="auto"/>
          <w:lang w:val="en-GB"/>
        </w:rPr>
        <w:t xml:space="preserve"> </w:t>
      </w:r>
      <w:r w:rsidRPr="00D44EE6">
        <w:rPr>
          <w:rFonts w:ascii="Arial" w:hAnsi="Arial" w:cs="Arial"/>
          <w:i w:val="0"/>
          <w:color w:val="auto"/>
          <w:lang w:val="en-GB"/>
        </w:rPr>
        <w:t xml:space="preserve">238. A </w:t>
      </w:r>
      <w:r w:rsidR="006B06CF" w:rsidRPr="00D44EE6">
        <w:rPr>
          <w:rFonts w:ascii="Arial" w:hAnsi="Arial" w:cs="Arial"/>
          <w:i w:val="0"/>
          <w:color w:val="auto"/>
          <w:lang w:val="en-GB"/>
        </w:rPr>
        <w:t>mixed</w:t>
      </w:r>
      <w:r w:rsidR="00F31549" w:rsidRPr="00D44EE6">
        <w:rPr>
          <w:rFonts w:ascii="Arial" w:hAnsi="Arial" w:cs="Arial"/>
          <w:i w:val="0"/>
          <w:color w:val="auto"/>
          <w:lang w:val="en-GB"/>
        </w:rPr>
        <w:t>-</w:t>
      </w:r>
      <w:r w:rsidR="006B06CF" w:rsidRPr="00D44EE6">
        <w:rPr>
          <w:rFonts w:ascii="Arial" w:hAnsi="Arial" w:cs="Arial"/>
          <w:i w:val="0"/>
          <w:color w:val="auto"/>
          <w:lang w:val="en-GB"/>
        </w:rPr>
        <w:t xml:space="preserve">effect model </w:t>
      </w:r>
      <w:r w:rsidR="00A24E13" w:rsidRPr="00D44EE6">
        <w:rPr>
          <w:rFonts w:ascii="Arial" w:hAnsi="Arial" w:cs="Arial"/>
          <w:i w:val="0"/>
          <w:color w:val="auto"/>
          <w:lang w:val="en-GB"/>
        </w:rPr>
        <w:t xml:space="preserve">with </w:t>
      </w:r>
      <w:r w:rsidR="006B06CF" w:rsidRPr="00D44EE6">
        <w:rPr>
          <w:rFonts w:ascii="Arial" w:hAnsi="Arial" w:cs="Arial"/>
          <w:i w:val="0"/>
          <w:color w:val="auto"/>
          <w:lang w:val="en-GB"/>
        </w:rPr>
        <w:t>repeat</w:t>
      </w:r>
      <w:r w:rsidR="00A24E13" w:rsidRPr="00D44EE6">
        <w:rPr>
          <w:rFonts w:ascii="Arial" w:hAnsi="Arial" w:cs="Arial"/>
          <w:i w:val="0"/>
          <w:color w:val="auto"/>
          <w:lang w:val="en-GB"/>
        </w:rPr>
        <w:t>ed</w:t>
      </w:r>
      <w:r w:rsidR="006B06CF" w:rsidRPr="00D44EE6">
        <w:rPr>
          <w:rFonts w:ascii="Arial" w:hAnsi="Arial" w:cs="Arial"/>
          <w:i w:val="0"/>
          <w:color w:val="auto"/>
          <w:lang w:val="en-GB"/>
        </w:rPr>
        <w:t xml:space="preserve"> measurement</w:t>
      </w:r>
      <w:r w:rsidR="00A24E13" w:rsidRPr="00D44EE6">
        <w:rPr>
          <w:rFonts w:ascii="Arial" w:hAnsi="Arial" w:cs="Arial"/>
          <w:i w:val="0"/>
          <w:color w:val="auto"/>
          <w:lang w:val="en-GB"/>
        </w:rPr>
        <w:t>s</w:t>
      </w:r>
      <w:r w:rsidR="006B06CF" w:rsidRPr="00D44EE6">
        <w:rPr>
          <w:rFonts w:ascii="Arial" w:hAnsi="Arial" w:cs="Arial"/>
          <w:i w:val="0"/>
          <w:color w:val="auto"/>
          <w:lang w:val="en-GB"/>
        </w:rPr>
        <w:t xml:space="preserve"> </w:t>
      </w:r>
      <w:r w:rsidRPr="00D44EE6">
        <w:rPr>
          <w:rFonts w:ascii="Arial" w:hAnsi="Arial" w:cs="Arial"/>
          <w:i w:val="0"/>
          <w:color w:val="auto"/>
          <w:lang w:val="en-GB"/>
        </w:rPr>
        <w:t xml:space="preserve">was applied </w:t>
      </w:r>
      <w:r w:rsidR="00092D08" w:rsidRPr="00D44EE6">
        <w:rPr>
          <w:rFonts w:ascii="Arial" w:hAnsi="Arial" w:cs="Arial"/>
          <w:i w:val="0"/>
          <w:noProof/>
          <w:color w:val="auto"/>
          <w:lang w:val="en-GB"/>
        </w:rPr>
        <w:t>[6]</w:t>
      </w:r>
      <w:r w:rsidRPr="00D44EE6">
        <w:rPr>
          <w:rFonts w:ascii="Arial" w:hAnsi="Arial" w:cs="Arial"/>
          <w:i w:val="0"/>
          <w:color w:val="auto"/>
          <w:lang w:val="en-GB"/>
        </w:rPr>
        <w:t xml:space="preserve">, adjusting </w:t>
      </w:r>
      <w:r w:rsidR="0017501B" w:rsidRPr="00D44EE6">
        <w:rPr>
          <w:rFonts w:ascii="Arial" w:hAnsi="Arial" w:cs="Arial"/>
          <w:i w:val="0"/>
          <w:color w:val="auto"/>
          <w:lang w:val="en-GB"/>
        </w:rPr>
        <w:t>for</w:t>
      </w:r>
      <w:r w:rsidRPr="00D44EE6">
        <w:rPr>
          <w:rFonts w:ascii="Arial" w:hAnsi="Arial" w:cs="Arial"/>
          <w:i w:val="0"/>
          <w:color w:val="auto"/>
          <w:lang w:val="en-GB"/>
        </w:rPr>
        <w:t xml:space="preserve"> covariates of interest</w:t>
      </w:r>
      <w:r w:rsidR="0017501B" w:rsidRPr="00D44EE6">
        <w:rPr>
          <w:rFonts w:ascii="Arial" w:hAnsi="Arial" w:cs="Arial"/>
          <w:i w:val="0"/>
          <w:color w:val="auto"/>
          <w:lang w:val="en-GB"/>
        </w:rPr>
        <w:t>.</w:t>
      </w:r>
      <w:r w:rsidRPr="00D44EE6">
        <w:rPr>
          <w:rFonts w:ascii="Arial" w:hAnsi="Arial" w:cs="Arial"/>
          <w:i w:val="0"/>
          <w:color w:val="auto"/>
          <w:lang w:val="en-GB"/>
        </w:rPr>
        <w:t xml:space="preserve"> </w:t>
      </w:r>
      <w:r w:rsidR="0017501B" w:rsidRPr="00D44EE6">
        <w:rPr>
          <w:rFonts w:ascii="Arial" w:hAnsi="Arial" w:cs="Arial"/>
          <w:i w:val="0"/>
          <w:color w:val="auto"/>
          <w:lang w:val="en-GB"/>
        </w:rPr>
        <w:t>T</w:t>
      </w:r>
      <w:r w:rsidRPr="00D44EE6">
        <w:rPr>
          <w:rFonts w:ascii="Arial" w:hAnsi="Arial" w:cs="Arial"/>
          <w:i w:val="0"/>
          <w:color w:val="auto"/>
          <w:lang w:val="en-GB"/>
        </w:rPr>
        <w:t xml:space="preserve">he final model was selected according to a stepwise </w:t>
      </w:r>
      <w:r w:rsidR="00EC4AE5" w:rsidRPr="00D44EE6">
        <w:rPr>
          <w:rFonts w:ascii="Arial" w:hAnsi="Arial" w:cs="Arial"/>
          <w:i w:val="0"/>
          <w:color w:val="auto"/>
          <w:lang w:val="en-GB"/>
        </w:rPr>
        <w:t>approach</w:t>
      </w:r>
      <w:r w:rsidR="00626A4C" w:rsidRPr="00D44EE6">
        <w:rPr>
          <w:rFonts w:ascii="Arial" w:hAnsi="Arial" w:cs="Arial"/>
          <w:i w:val="0"/>
          <w:color w:val="auto"/>
          <w:lang w:val="en-GB"/>
        </w:rPr>
        <w:t xml:space="preserve"> that</w:t>
      </w:r>
      <w:r w:rsidRPr="00D44EE6">
        <w:rPr>
          <w:rFonts w:ascii="Arial" w:hAnsi="Arial" w:cs="Arial"/>
          <w:i w:val="0"/>
          <w:color w:val="auto"/>
          <w:lang w:val="en-GB"/>
        </w:rPr>
        <w:t xml:space="preserve"> includ</w:t>
      </w:r>
      <w:r w:rsidR="00626A4C" w:rsidRPr="00D44EE6">
        <w:rPr>
          <w:rFonts w:ascii="Arial" w:hAnsi="Arial" w:cs="Arial"/>
          <w:i w:val="0"/>
          <w:color w:val="auto"/>
          <w:lang w:val="en-GB"/>
        </w:rPr>
        <w:t>ed</w:t>
      </w:r>
      <w:r w:rsidRPr="00D44EE6">
        <w:rPr>
          <w:rFonts w:ascii="Arial" w:hAnsi="Arial" w:cs="Arial"/>
          <w:i w:val="0"/>
          <w:color w:val="auto"/>
          <w:lang w:val="en-GB"/>
        </w:rPr>
        <w:t xml:space="preserve"> only significant covariates. Utilities were </w:t>
      </w:r>
      <w:r w:rsidR="00F31549" w:rsidRPr="00D44EE6">
        <w:rPr>
          <w:rFonts w:ascii="Arial" w:hAnsi="Arial" w:cs="Arial"/>
          <w:i w:val="0"/>
          <w:color w:val="auto"/>
          <w:lang w:val="en-GB"/>
        </w:rPr>
        <w:t xml:space="preserve">analyzed </w:t>
      </w:r>
      <w:r w:rsidRPr="00D44EE6">
        <w:rPr>
          <w:rFonts w:ascii="Arial" w:hAnsi="Arial" w:cs="Arial"/>
          <w:i w:val="0"/>
          <w:color w:val="auto"/>
          <w:lang w:val="en-GB"/>
        </w:rPr>
        <w:t xml:space="preserve">by using French tariffs </w:t>
      </w:r>
      <w:r w:rsidR="00805EE4" w:rsidRPr="00D44EE6">
        <w:rPr>
          <w:rFonts w:ascii="Arial" w:hAnsi="Arial" w:cs="Arial"/>
          <w:i w:val="0"/>
          <w:noProof/>
          <w:color w:val="auto"/>
          <w:lang w:val="en-GB"/>
        </w:rPr>
        <w:t>[7]</w:t>
      </w:r>
      <w:r w:rsidRPr="00D44EE6">
        <w:rPr>
          <w:rFonts w:ascii="Arial" w:hAnsi="Arial" w:cs="Arial"/>
          <w:i w:val="0"/>
          <w:color w:val="auto"/>
          <w:lang w:val="en-GB"/>
        </w:rPr>
        <w:t>. Disutilities due to grade 3</w:t>
      </w:r>
      <w:r w:rsidR="00AD5574" w:rsidRPr="00D44EE6">
        <w:rPr>
          <w:rFonts w:ascii="Arial" w:hAnsi="Arial" w:cs="Arial"/>
          <w:i w:val="0"/>
          <w:color w:val="auto"/>
          <w:lang w:val="en-GB"/>
        </w:rPr>
        <w:t>–</w:t>
      </w:r>
      <w:r w:rsidRPr="00D44EE6">
        <w:rPr>
          <w:rFonts w:ascii="Arial" w:hAnsi="Arial" w:cs="Arial"/>
          <w:i w:val="0"/>
          <w:color w:val="auto"/>
          <w:lang w:val="en-GB"/>
        </w:rPr>
        <w:t xml:space="preserve">4 AEs were obtained from several sources in the literature </w:t>
      </w:r>
      <w:r w:rsidR="00CF2B99" w:rsidRPr="00D44EE6">
        <w:rPr>
          <w:rFonts w:ascii="Arial" w:hAnsi="Arial" w:cs="Arial"/>
          <w:i w:val="0"/>
          <w:noProof/>
          <w:color w:val="auto"/>
          <w:lang w:val="en-GB"/>
        </w:rPr>
        <w:t>[8-12]</w:t>
      </w:r>
      <w:r w:rsidR="000E54FF" w:rsidRPr="00D44EE6">
        <w:rPr>
          <w:rFonts w:ascii="Arial" w:hAnsi="Arial" w:cs="Arial"/>
          <w:i w:val="0"/>
          <w:color w:val="auto"/>
          <w:lang w:val="en-GB"/>
        </w:rPr>
        <w:t xml:space="preserve"> </w:t>
      </w:r>
      <w:r w:rsidRPr="00D44EE6">
        <w:rPr>
          <w:rFonts w:ascii="Arial" w:hAnsi="Arial" w:cs="Arial"/>
          <w:i w:val="0"/>
          <w:color w:val="auto"/>
          <w:lang w:val="en-GB"/>
        </w:rPr>
        <w:t xml:space="preserve">and are shown in </w:t>
      </w:r>
      <w:r w:rsidR="00EC4AE5" w:rsidRPr="00D44EE6">
        <w:rPr>
          <w:rFonts w:ascii="Arial" w:hAnsi="Arial" w:cs="Arial"/>
          <w:b/>
          <w:bCs/>
          <w:i w:val="0"/>
          <w:color w:val="auto"/>
          <w:lang w:val="en-GB"/>
        </w:rPr>
        <w:t>Table 2</w:t>
      </w:r>
      <w:r w:rsidR="00EC4AE5" w:rsidRPr="00D44EE6">
        <w:rPr>
          <w:rFonts w:ascii="Arial" w:hAnsi="Arial" w:cs="Arial"/>
          <w:i w:val="0"/>
          <w:color w:val="auto"/>
          <w:lang w:val="en-GB"/>
        </w:rPr>
        <w:t>.</w:t>
      </w:r>
    </w:p>
    <w:p w14:paraId="49EE84ED" w14:textId="77777777" w:rsidR="00162450" w:rsidRPr="00D44EE6" w:rsidRDefault="00162450" w:rsidP="0039514A">
      <w:pPr>
        <w:pStyle w:val="Heading4"/>
        <w:spacing w:before="0" w:after="0" w:line="480" w:lineRule="auto"/>
        <w:rPr>
          <w:rFonts w:ascii="Arial" w:hAnsi="Arial" w:cs="Arial"/>
          <w:i w:val="0"/>
          <w:color w:val="auto"/>
          <w:lang w:val="en-GB"/>
        </w:rPr>
      </w:pPr>
    </w:p>
    <w:p w14:paraId="7228008F" w14:textId="7F46606F" w:rsidR="00B327A4" w:rsidRPr="00D44EE6" w:rsidRDefault="00B327A4" w:rsidP="0039514A">
      <w:pPr>
        <w:pStyle w:val="Heading4"/>
        <w:spacing w:before="0" w:after="0" w:line="480" w:lineRule="auto"/>
        <w:rPr>
          <w:rFonts w:ascii="Arial" w:hAnsi="Arial" w:cs="Arial"/>
          <w:b/>
          <w:i w:val="0"/>
          <w:iCs w:val="0"/>
          <w:color w:val="auto"/>
          <w:lang w:val="en-GB"/>
        </w:rPr>
      </w:pPr>
      <w:r w:rsidRPr="00D44EE6">
        <w:rPr>
          <w:rFonts w:ascii="Arial" w:hAnsi="Arial" w:cs="Arial"/>
          <w:b/>
          <w:i w:val="0"/>
          <w:iCs w:val="0"/>
          <w:color w:val="auto"/>
          <w:lang w:val="en-GB"/>
        </w:rPr>
        <w:t xml:space="preserve">Costs of </w:t>
      </w:r>
      <w:r w:rsidR="00523F70" w:rsidRPr="00D44EE6">
        <w:rPr>
          <w:rFonts w:ascii="Arial" w:hAnsi="Arial" w:cs="Arial"/>
          <w:b/>
          <w:i w:val="0"/>
          <w:iCs w:val="0"/>
          <w:color w:val="auto"/>
          <w:lang w:val="en-GB"/>
        </w:rPr>
        <w:t>A</w:t>
      </w:r>
      <w:r w:rsidRPr="00D44EE6">
        <w:rPr>
          <w:rFonts w:ascii="Arial" w:hAnsi="Arial" w:cs="Arial"/>
          <w:b/>
          <w:i w:val="0"/>
          <w:iCs w:val="0"/>
          <w:color w:val="auto"/>
          <w:lang w:val="en-GB"/>
        </w:rPr>
        <w:t xml:space="preserve">djuvant </w:t>
      </w:r>
      <w:r w:rsidR="00523F70" w:rsidRPr="00D44EE6">
        <w:rPr>
          <w:rFonts w:ascii="Arial" w:hAnsi="Arial" w:cs="Arial"/>
          <w:b/>
          <w:i w:val="0"/>
          <w:iCs w:val="0"/>
          <w:color w:val="auto"/>
          <w:lang w:val="en-GB"/>
        </w:rPr>
        <w:t>T</w:t>
      </w:r>
      <w:r w:rsidRPr="00D44EE6">
        <w:rPr>
          <w:rFonts w:ascii="Arial" w:hAnsi="Arial" w:cs="Arial"/>
          <w:b/>
          <w:i w:val="0"/>
          <w:iCs w:val="0"/>
          <w:color w:val="auto"/>
          <w:lang w:val="en-GB"/>
        </w:rPr>
        <w:t>herapy</w:t>
      </w:r>
    </w:p>
    <w:p w14:paraId="03AA4FE2" w14:textId="6D693EE0" w:rsidR="00B327A4" w:rsidRPr="00D44EE6" w:rsidRDefault="00B327A4" w:rsidP="0039514A">
      <w:pPr>
        <w:spacing w:after="0" w:line="480" w:lineRule="auto"/>
        <w:rPr>
          <w:rFonts w:ascii="Arial" w:hAnsi="Arial" w:cs="Arial"/>
          <w:lang w:val="en-GB"/>
        </w:rPr>
      </w:pPr>
      <w:r w:rsidRPr="00D44EE6">
        <w:rPr>
          <w:rFonts w:ascii="Arial" w:hAnsi="Arial" w:cs="Arial"/>
          <w:lang w:val="en-GB"/>
        </w:rPr>
        <w:t>Acquisition costs of nivolumab and pembrolizumab</w:t>
      </w:r>
      <w:r w:rsidR="00AD5574" w:rsidRPr="00D44EE6">
        <w:rPr>
          <w:rFonts w:ascii="Arial" w:hAnsi="Arial" w:cs="Arial"/>
          <w:lang w:val="en-GB"/>
        </w:rPr>
        <w:t xml:space="preserve"> were </w:t>
      </w:r>
      <w:r w:rsidRPr="00D44EE6">
        <w:rPr>
          <w:rFonts w:ascii="Arial" w:hAnsi="Arial" w:cs="Arial"/>
          <w:lang w:val="en-GB"/>
        </w:rPr>
        <w:t xml:space="preserve">reimbursed </w:t>
      </w:r>
      <w:r w:rsidR="00EA583D" w:rsidRPr="00D44EE6">
        <w:rPr>
          <w:rFonts w:ascii="Arial" w:hAnsi="Arial" w:cs="Arial"/>
          <w:lang w:val="en-GB"/>
        </w:rPr>
        <w:t>based on the</w:t>
      </w:r>
      <w:r w:rsidRPr="00D44EE6">
        <w:rPr>
          <w:rFonts w:ascii="Arial" w:hAnsi="Arial" w:cs="Arial"/>
          <w:lang w:val="en-GB"/>
        </w:rPr>
        <w:t xml:space="preserve"> </w:t>
      </w:r>
      <w:r w:rsidR="00AD5574" w:rsidRPr="00D44EE6">
        <w:rPr>
          <w:rFonts w:ascii="Arial" w:hAnsi="Arial" w:cs="Arial"/>
          <w:lang w:val="en-GB"/>
        </w:rPr>
        <w:t xml:space="preserve">diagnosis-related group </w:t>
      </w:r>
      <w:r w:rsidRPr="00D44EE6">
        <w:rPr>
          <w:rFonts w:ascii="Arial" w:hAnsi="Arial" w:cs="Arial"/>
          <w:lang w:val="en-GB"/>
        </w:rPr>
        <w:t>(DRG)</w:t>
      </w:r>
      <w:r w:rsidR="003A2254" w:rsidRPr="00D44EE6">
        <w:rPr>
          <w:rFonts w:ascii="Arial" w:hAnsi="Arial" w:cs="Arial"/>
          <w:lang w:val="en-GB"/>
        </w:rPr>
        <w:t>.</w:t>
      </w:r>
      <w:r w:rsidRPr="00D44EE6">
        <w:rPr>
          <w:rFonts w:ascii="Arial" w:hAnsi="Arial" w:cs="Arial"/>
          <w:lang w:val="en-GB"/>
        </w:rPr>
        <w:t xml:space="preserve"> </w:t>
      </w:r>
      <w:r w:rsidR="003A2254" w:rsidRPr="00D44EE6">
        <w:rPr>
          <w:rFonts w:ascii="Arial" w:hAnsi="Arial" w:cs="Arial"/>
          <w:lang w:val="en-GB"/>
        </w:rPr>
        <w:t>I</w:t>
      </w:r>
      <w:r w:rsidRPr="00D44EE6">
        <w:rPr>
          <w:rFonts w:ascii="Arial" w:hAnsi="Arial" w:cs="Arial"/>
          <w:lang w:val="en-GB"/>
        </w:rPr>
        <w:t>n</w:t>
      </w:r>
      <w:r w:rsidR="00AD5574" w:rsidRPr="00D44EE6">
        <w:rPr>
          <w:rFonts w:ascii="Arial" w:hAnsi="Arial" w:cs="Arial"/>
          <w:lang w:val="en-GB"/>
        </w:rPr>
        <w:t>-</w:t>
      </w:r>
      <w:r w:rsidRPr="00D44EE6">
        <w:rPr>
          <w:rFonts w:ascii="Arial" w:hAnsi="Arial" w:cs="Arial"/>
          <w:lang w:val="en-GB"/>
        </w:rPr>
        <w:t xml:space="preserve">hospital therapies </w:t>
      </w:r>
      <w:r w:rsidR="00EF7DD1" w:rsidRPr="00D44EE6">
        <w:rPr>
          <w:rFonts w:ascii="Arial" w:hAnsi="Arial" w:cs="Arial"/>
          <w:lang w:val="en-GB"/>
        </w:rPr>
        <w:t>(i.e. all therapies prescribed within the hospital setting</w:t>
      </w:r>
      <w:r w:rsidR="00CE089D" w:rsidRPr="00D44EE6">
        <w:rPr>
          <w:rFonts w:ascii="Arial" w:hAnsi="Arial" w:cs="Arial"/>
          <w:lang w:val="en-GB"/>
        </w:rPr>
        <w:t xml:space="preserve"> except nivolumab and pembrolizumab) </w:t>
      </w:r>
      <w:r w:rsidRPr="00D44EE6">
        <w:rPr>
          <w:rFonts w:ascii="Arial" w:hAnsi="Arial" w:cs="Arial"/>
          <w:lang w:val="en-GB"/>
        </w:rPr>
        <w:t>were obtained from the French National Tariff Database (</w:t>
      </w:r>
      <w:r w:rsidR="00C47FEB" w:rsidRPr="00D44EE6">
        <w:rPr>
          <w:rFonts w:ascii="Arial" w:hAnsi="Arial" w:cs="Arial"/>
          <w:iCs/>
          <w:lang w:val="en-GB"/>
        </w:rPr>
        <w:t>Base de Données des Médicaments – Information tarifaire</w:t>
      </w:r>
      <w:r w:rsidR="00C47FEB" w:rsidRPr="00D44EE6">
        <w:rPr>
          <w:rFonts w:ascii="Arial" w:hAnsi="Arial" w:cs="Arial"/>
          <w:i/>
          <w:lang w:val="en-GB"/>
        </w:rPr>
        <w:t xml:space="preserve"> </w:t>
      </w:r>
      <w:r w:rsidR="00C47FEB" w:rsidRPr="00D44EE6">
        <w:rPr>
          <w:rFonts w:ascii="Arial" w:hAnsi="Arial" w:cs="Arial"/>
          <w:iCs/>
          <w:lang w:val="en-GB"/>
        </w:rPr>
        <w:t>[</w:t>
      </w:r>
      <w:r w:rsidRPr="00D44EE6">
        <w:rPr>
          <w:rFonts w:ascii="Arial" w:hAnsi="Arial" w:cs="Arial"/>
          <w:i/>
          <w:lang w:val="en-GB"/>
        </w:rPr>
        <w:t>BDM-IT</w:t>
      </w:r>
      <w:r w:rsidR="00C47FEB" w:rsidRPr="00D44EE6">
        <w:rPr>
          <w:rFonts w:ascii="Arial" w:hAnsi="Arial" w:cs="Arial"/>
          <w:iCs/>
          <w:lang w:val="en-GB"/>
        </w:rPr>
        <w:t>]</w:t>
      </w:r>
      <w:r w:rsidRPr="00D44EE6">
        <w:rPr>
          <w:rFonts w:ascii="Arial" w:hAnsi="Arial" w:cs="Arial"/>
          <w:lang w:val="en-GB"/>
        </w:rPr>
        <w:t>). Infusion costs were estimated using the public and private weighted production costs from the technical agency for hospital information database (</w:t>
      </w:r>
      <w:r w:rsidR="009A38F6" w:rsidRPr="00D44EE6">
        <w:rPr>
          <w:rFonts w:ascii="Arial" w:hAnsi="Arial" w:cs="Arial"/>
          <w:iCs/>
          <w:lang w:val="en-GB"/>
        </w:rPr>
        <w:t>Agence technique de l’information sur l’hospitalisation</w:t>
      </w:r>
      <w:r w:rsidR="009A38F6" w:rsidRPr="00D44EE6">
        <w:rPr>
          <w:rFonts w:ascii="Arial" w:hAnsi="Arial" w:cs="Arial"/>
          <w:i/>
          <w:lang w:val="en-GB"/>
        </w:rPr>
        <w:t xml:space="preserve"> </w:t>
      </w:r>
      <w:r w:rsidR="009A38F6" w:rsidRPr="00D44EE6">
        <w:rPr>
          <w:rFonts w:ascii="Arial" w:hAnsi="Arial" w:cs="Arial"/>
          <w:iCs/>
          <w:lang w:val="en-GB"/>
        </w:rPr>
        <w:t>[</w:t>
      </w:r>
      <w:r w:rsidRPr="00D44EE6">
        <w:rPr>
          <w:rFonts w:ascii="Arial" w:hAnsi="Arial" w:cs="Arial"/>
          <w:i/>
          <w:lang w:val="en-GB"/>
        </w:rPr>
        <w:t>ATIH</w:t>
      </w:r>
      <w:r w:rsidR="009A38F6" w:rsidRPr="00D44EE6">
        <w:rPr>
          <w:rFonts w:ascii="Arial" w:hAnsi="Arial" w:cs="Arial"/>
          <w:iCs/>
          <w:lang w:val="en-GB"/>
        </w:rPr>
        <w:t>]</w:t>
      </w:r>
      <w:r w:rsidRPr="00D44EE6">
        <w:rPr>
          <w:rFonts w:ascii="Arial" w:hAnsi="Arial" w:cs="Arial"/>
          <w:lang w:val="en-GB"/>
        </w:rPr>
        <w:t xml:space="preserve">). Costs for interferon and dabrafenib plus trametinib were obtained from </w:t>
      </w:r>
      <w:r w:rsidRPr="00D44EE6">
        <w:rPr>
          <w:rFonts w:ascii="Arial" w:hAnsi="Arial" w:cs="Arial"/>
          <w:i/>
          <w:lang w:val="en-GB"/>
        </w:rPr>
        <w:t>BDM-IT</w:t>
      </w:r>
      <w:r w:rsidRPr="00D44EE6">
        <w:rPr>
          <w:rFonts w:ascii="Arial" w:hAnsi="Arial" w:cs="Arial"/>
          <w:lang w:val="en-GB"/>
        </w:rPr>
        <w:t>. All drug costs (</w:t>
      </w:r>
      <w:r w:rsidR="009F0A2D" w:rsidRPr="00D44EE6">
        <w:rPr>
          <w:rFonts w:ascii="Arial" w:hAnsi="Arial" w:cs="Arial"/>
          <w:b/>
          <w:bCs/>
          <w:lang w:val="en-GB"/>
        </w:rPr>
        <w:t>Table 3</w:t>
      </w:r>
      <w:r w:rsidRPr="00D44EE6">
        <w:rPr>
          <w:rFonts w:ascii="Arial" w:hAnsi="Arial" w:cs="Arial"/>
          <w:lang w:val="en-GB"/>
        </w:rPr>
        <w:t xml:space="preserve">) were expressed as public prices (including VAT). For </w:t>
      </w:r>
      <w:r w:rsidR="002E52D3" w:rsidRPr="00D44EE6">
        <w:rPr>
          <w:rFonts w:ascii="Arial" w:hAnsi="Arial" w:cs="Arial"/>
          <w:lang w:val="en-GB"/>
        </w:rPr>
        <w:t>programmed death-1 (</w:t>
      </w:r>
      <w:r w:rsidRPr="00D44EE6">
        <w:rPr>
          <w:rFonts w:ascii="Arial" w:hAnsi="Arial" w:cs="Arial"/>
          <w:lang w:val="en-GB"/>
        </w:rPr>
        <w:t>PD</w:t>
      </w:r>
      <w:r w:rsidR="00F31549" w:rsidRPr="00D44EE6">
        <w:rPr>
          <w:rFonts w:ascii="Arial" w:hAnsi="Arial" w:cs="Arial"/>
          <w:lang w:val="en-GB"/>
        </w:rPr>
        <w:t>-</w:t>
      </w:r>
      <w:r w:rsidRPr="00D44EE6">
        <w:rPr>
          <w:rFonts w:ascii="Arial" w:hAnsi="Arial" w:cs="Arial"/>
          <w:lang w:val="en-GB"/>
        </w:rPr>
        <w:t>1</w:t>
      </w:r>
      <w:r w:rsidR="002E52D3" w:rsidRPr="00D44EE6">
        <w:rPr>
          <w:rFonts w:ascii="Arial" w:hAnsi="Arial" w:cs="Arial"/>
          <w:lang w:val="en-GB"/>
        </w:rPr>
        <w:t>)</w:t>
      </w:r>
      <w:r w:rsidR="00373E31" w:rsidRPr="00D44EE6">
        <w:rPr>
          <w:rFonts w:ascii="Arial" w:hAnsi="Arial" w:cs="Arial"/>
          <w:lang w:val="en-GB"/>
        </w:rPr>
        <w:t xml:space="preserve"> inhibitors</w:t>
      </w:r>
      <w:r w:rsidRPr="00D44EE6">
        <w:rPr>
          <w:rFonts w:ascii="Arial" w:hAnsi="Arial" w:cs="Arial"/>
          <w:lang w:val="en-GB"/>
        </w:rPr>
        <w:t>, treatment cost was based on the actual number of doses received as per CheckMate</w:t>
      </w:r>
      <w:r w:rsidR="005A2585" w:rsidRPr="00D44EE6">
        <w:rPr>
          <w:rFonts w:ascii="Arial" w:hAnsi="Arial" w:cs="Arial"/>
          <w:lang w:val="en-GB"/>
        </w:rPr>
        <w:t xml:space="preserve"> </w:t>
      </w:r>
      <w:r w:rsidRPr="00D44EE6">
        <w:rPr>
          <w:rFonts w:ascii="Arial" w:hAnsi="Arial" w:cs="Arial"/>
          <w:lang w:val="en-GB"/>
        </w:rPr>
        <w:t xml:space="preserve">238 and </w:t>
      </w:r>
      <w:r w:rsidR="00E71808" w:rsidRPr="00D44EE6">
        <w:rPr>
          <w:rFonts w:ascii="Arial" w:hAnsi="Arial" w:cs="Arial"/>
          <w:lang w:val="en-GB"/>
        </w:rPr>
        <w:t>KEYNOTE</w:t>
      </w:r>
      <w:r w:rsidRPr="00D44EE6">
        <w:rPr>
          <w:rFonts w:ascii="Arial" w:hAnsi="Arial" w:cs="Arial"/>
          <w:lang w:val="en-GB"/>
        </w:rPr>
        <w:t>-054</w:t>
      </w:r>
      <w:r w:rsidR="0037218A" w:rsidRPr="00D44EE6">
        <w:rPr>
          <w:rFonts w:ascii="Arial" w:hAnsi="Arial" w:cs="Arial"/>
          <w:lang w:val="en-GB"/>
        </w:rPr>
        <w:t xml:space="preserve"> </w:t>
      </w:r>
      <w:r w:rsidR="0037218A" w:rsidRPr="00D44EE6">
        <w:rPr>
          <w:rFonts w:ascii="Arial" w:hAnsi="Arial" w:cs="Arial"/>
          <w:noProof/>
          <w:lang w:val="en-GB"/>
        </w:rPr>
        <w:t>[5]</w:t>
      </w:r>
      <w:r w:rsidRPr="00D44EE6">
        <w:rPr>
          <w:rFonts w:ascii="Arial" w:hAnsi="Arial" w:cs="Arial"/>
          <w:lang w:val="en-GB"/>
        </w:rPr>
        <w:t xml:space="preserve">. For </w:t>
      </w:r>
      <w:r w:rsidR="0015783A" w:rsidRPr="00D44EE6">
        <w:rPr>
          <w:rFonts w:ascii="Arial" w:hAnsi="Arial" w:cs="Arial"/>
          <w:lang w:val="en-GB"/>
        </w:rPr>
        <w:t>low-dose interferon</w:t>
      </w:r>
      <w:r w:rsidRPr="00D44EE6">
        <w:rPr>
          <w:rFonts w:ascii="Arial" w:hAnsi="Arial" w:cs="Arial"/>
          <w:lang w:val="en-GB"/>
        </w:rPr>
        <w:t>, treatment cost was based on recommended posology (</w:t>
      </w:r>
      <w:r w:rsidR="0015783A" w:rsidRPr="00D44EE6">
        <w:rPr>
          <w:rFonts w:ascii="Arial" w:hAnsi="Arial" w:cs="Arial"/>
          <w:b/>
          <w:bCs/>
          <w:lang w:val="en-GB"/>
        </w:rPr>
        <w:t>Table 3</w:t>
      </w:r>
      <w:r w:rsidRPr="00D44EE6">
        <w:rPr>
          <w:rFonts w:ascii="Arial" w:hAnsi="Arial" w:cs="Arial"/>
          <w:lang w:val="en-GB"/>
        </w:rPr>
        <w:t>).</w:t>
      </w:r>
    </w:p>
    <w:p w14:paraId="76DA6101" w14:textId="77777777" w:rsidR="002E52D3" w:rsidRPr="00D44EE6" w:rsidRDefault="002E52D3" w:rsidP="0039514A">
      <w:pPr>
        <w:spacing w:after="0" w:line="480" w:lineRule="auto"/>
        <w:rPr>
          <w:rFonts w:ascii="Arial" w:hAnsi="Arial" w:cs="Arial"/>
          <w:lang w:val="en-GB"/>
        </w:rPr>
      </w:pPr>
    </w:p>
    <w:p w14:paraId="37C7542A" w14:textId="06F04551" w:rsidR="00B327A4" w:rsidRPr="00D44EE6" w:rsidRDefault="00B327A4" w:rsidP="0039514A">
      <w:pPr>
        <w:pStyle w:val="Heading4"/>
        <w:spacing w:before="0" w:after="0" w:line="480" w:lineRule="auto"/>
        <w:rPr>
          <w:rFonts w:ascii="Arial" w:hAnsi="Arial" w:cs="Arial"/>
          <w:b/>
          <w:color w:val="auto"/>
          <w:lang w:val="en-GB"/>
        </w:rPr>
      </w:pPr>
      <w:r w:rsidRPr="00D44EE6">
        <w:rPr>
          <w:rFonts w:ascii="Arial" w:hAnsi="Arial" w:cs="Arial"/>
          <w:b/>
          <w:color w:val="auto"/>
          <w:lang w:val="en-GB"/>
        </w:rPr>
        <w:t xml:space="preserve">Costs of </w:t>
      </w:r>
      <w:r w:rsidR="00523F70" w:rsidRPr="00D44EE6">
        <w:rPr>
          <w:rFonts w:ascii="Arial" w:hAnsi="Arial" w:cs="Arial"/>
          <w:b/>
          <w:color w:val="auto"/>
          <w:lang w:val="en-GB"/>
        </w:rPr>
        <w:t>S</w:t>
      </w:r>
      <w:r w:rsidRPr="00D44EE6">
        <w:rPr>
          <w:rFonts w:ascii="Arial" w:hAnsi="Arial" w:cs="Arial"/>
          <w:b/>
          <w:color w:val="auto"/>
          <w:lang w:val="en-GB"/>
        </w:rPr>
        <w:t xml:space="preserve">ubsequent </w:t>
      </w:r>
      <w:r w:rsidR="00523F70" w:rsidRPr="00D44EE6">
        <w:rPr>
          <w:rFonts w:ascii="Arial" w:hAnsi="Arial" w:cs="Arial"/>
          <w:b/>
          <w:color w:val="auto"/>
          <w:lang w:val="en-GB"/>
        </w:rPr>
        <w:t>T</w:t>
      </w:r>
      <w:r w:rsidRPr="00D44EE6">
        <w:rPr>
          <w:rFonts w:ascii="Arial" w:hAnsi="Arial" w:cs="Arial"/>
          <w:b/>
          <w:color w:val="auto"/>
          <w:lang w:val="en-GB"/>
        </w:rPr>
        <w:t>herapy</w:t>
      </w:r>
    </w:p>
    <w:p w14:paraId="668CB255" w14:textId="1B24869C" w:rsidR="00B327A4" w:rsidRPr="00D44EE6" w:rsidRDefault="00B327A4" w:rsidP="0039514A">
      <w:pPr>
        <w:spacing w:after="0" w:line="480" w:lineRule="auto"/>
        <w:rPr>
          <w:rFonts w:ascii="Arial" w:hAnsi="Arial" w:cs="Arial"/>
          <w:lang w:val="en-GB"/>
        </w:rPr>
      </w:pPr>
      <w:r w:rsidRPr="00D44EE6">
        <w:rPr>
          <w:rFonts w:ascii="Arial" w:hAnsi="Arial" w:cs="Arial"/>
          <w:lang w:val="en-GB"/>
        </w:rPr>
        <w:t xml:space="preserve">In the model, patients having a recurrence were split between local/regional recurrences and distant recurrences using the distribution of recurrences observed in CheckMate 238. For local/regional recurrences, the costs for radiotherapy and surgery, using </w:t>
      </w:r>
      <w:r w:rsidR="005A5ECC" w:rsidRPr="00D44EE6">
        <w:rPr>
          <w:rFonts w:ascii="Arial" w:hAnsi="Arial" w:cs="Arial"/>
          <w:lang w:val="en-GB"/>
        </w:rPr>
        <w:t xml:space="preserve">respective </w:t>
      </w:r>
      <w:r w:rsidRPr="00D44EE6">
        <w:rPr>
          <w:rFonts w:ascii="Arial" w:hAnsi="Arial" w:cs="Arial"/>
          <w:lang w:val="en-GB"/>
        </w:rPr>
        <w:t xml:space="preserve">DRG costs, were estimated at </w:t>
      </w:r>
      <w:r w:rsidR="005A2585" w:rsidRPr="00D44EE6">
        <w:rPr>
          <w:rFonts w:ascii="Arial" w:hAnsi="Arial" w:cs="Arial"/>
          <w:lang w:val="en-GB"/>
        </w:rPr>
        <w:t>€</w:t>
      </w:r>
      <w:r w:rsidRPr="00D44EE6">
        <w:rPr>
          <w:rFonts w:ascii="Arial" w:hAnsi="Arial" w:cs="Arial"/>
          <w:lang w:val="en-GB"/>
        </w:rPr>
        <w:t xml:space="preserve">3509 and </w:t>
      </w:r>
      <w:r w:rsidR="005A2585" w:rsidRPr="00D44EE6">
        <w:rPr>
          <w:rFonts w:ascii="Arial" w:hAnsi="Arial" w:cs="Arial"/>
          <w:lang w:val="en-GB"/>
        </w:rPr>
        <w:t>€</w:t>
      </w:r>
      <w:r w:rsidRPr="00D44EE6">
        <w:rPr>
          <w:rFonts w:ascii="Arial" w:hAnsi="Arial" w:cs="Arial"/>
          <w:lang w:val="en-GB"/>
        </w:rPr>
        <w:t>1615 per patient.</w:t>
      </w:r>
      <w:r w:rsidR="003F2560" w:rsidRPr="00D44EE6">
        <w:rPr>
          <w:rFonts w:ascii="Arial" w:hAnsi="Arial" w:cs="Arial"/>
          <w:lang w:val="en-GB"/>
        </w:rPr>
        <w:t xml:space="preserve"> </w:t>
      </w:r>
      <w:r w:rsidRPr="00D44EE6">
        <w:rPr>
          <w:rFonts w:ascii="Arial" w:hAnsi="Arial" w:cs="Arial"/>
          <w:lang w:val="en-GB"/>
        </w:rPr>
        <w:t>For distant recurrences, acquisition costs associated with first</w:t>
      </w:r>
      <w:r w:rsidR="00F31549" w:rsidRPr="00D44EE6">
        <w:rPr>
          <w:rFonts w:ascii="Arial" w:hAnsi="Arial" w:cs="Arial"/>
          <w:lang w:val="en-GB"/>
        </w:rPr>
        <w:t>-</w:t>
      </w:r>
      <w:r w:rsidRPr="00D44EE6">
        <w:rPr>
          <w:rFonts w:ascii="Arial" w:hAnsi="Arial" w:cs="Arial"/>
          <w:lang w:val="en-GB"/>
        </w:rPr>
        <w:t xml:space="preserve">line therapies for advanced melanoma were applied as a one-time cost and were weighted on the rate of distant recurrences in CheckMate 238. In the advanced stage, chemotherapy and ipilimumab infusion costs used the DRG cost for tumours from </w:t>
      </w:r>
      <w:r w:rsidRPr="00D44EE6">
        <w:rPr>
          <w:rFonts w:ascii="Arial" w:hAnsi="Arial" w:cs="Arial"/>
          <w:i/>
          <w:lang w:val="en-GB"/>
        </w:rPr>
        <w:t>ATIH</w:t>
      </w:r>
      <w:r w:rsidR="00BF3C86" w:rsidRPr="00D44EE6">
        <w:rPr>
          <w:rFonts w:ascii="Arial" w:hAnsi="Arial" w:cs="Arial"/>
          <w:iCs/>
          <w:lang w:val="en-GB"/>
        </w:rPr>
        <w:t>,</w:t>
      </w:r>
      <w:r w:rsidRPr="00D44EE6">
        <w:rPr>
          <w:rFonts w:ascii="Arial" w:hAnsi="Arial" w:cs="Arial"/>
          <w:i/>
          <w:lang w:val="en-GB"/>
        </w:rPr>
        <w:t xml:space="preserve"> </w:t>
      </w:r>
      <w:r w:rsidRPr="00D44EE6">
        <w:rPr>
          <w:rFonts w:ascii="Arial" w:hAnsi="Arial" w:cs="Arial"/>
          <w:lang w:val="en-GB"/>
        </w:rPr>
        <w:t>and time</w:t>
      </w:r>
      <w:r w:rsidR="00BF309A" w:rsidRPr="00D44EE6">
        <w:rPr>
          <w:rFonts w:ascii="Arial" w:hAnsi="Arial" w:cs="Arial"/>
          <w:lang w:val="en-GB"/>
        </w:rPr>
        <w:t>-</w:t>
      </w:r>
      <w:r w:rsidRPr="00D44EE6">
        <w:rPr>
          <w:rFonts w:ascii="Arial" w:hAnsi="Arial" w:cs="Arial"/>
          <w:lang w:val="en-GB"/>
        </w:rPr>
        <w:t>on</w:t>
      </w:r>
      <w:r w:rsidR="00BF309A" w:rsidRPr="00D44EE6">
        <w:rPr>
          <w:rFonts w:ascii="Arial" w:hAnsi="Arial" w:cs="Arial"/>
          <w:lang w:val="en-GB"/>
        </w:rPr>
        <w:t>-</w:t>
      </w:r>
      <w:r w:rsidRPr="00D44EE6">
        <w:rPr>
          <w:rFonts w:ascii="Arial" w:hAnsi="Arial" w:cs="Arial"/>
          <w:lang w:val="en-GB"/>
        </w:rPr>
        <w:t>treatment for subsequent therapies was sourced from the literature. Distribution of therapies was estimated based on market shares and applied equally across the adjuvant treatments compared in the base</w:t>
      </w:r>
      <w:r w:rsidR="002763BA" w:rsidRPr="00D44EE6">
        <w:rPr>
          <w:rFonts w:ascii="Arial" w:hAnsi="Arial" w:cs="Arial"/>
          <w:lang w:val="en-GB"/>
        </w:rPr>
        <w:t>-</w:t>
      </w:r>
      <w:r w:rsidRPr="00D44EE6">
        <w:rPr>
          <w:rFonts w:ascii="Arial" w:hAnsi="Arial" w:cs="Arial"/>
          <w:lang w:val="en-GB"/>
        </w:rPr>
        <w:t>case model (</w:t>
      </w:r>
      <w:r w:rsidR="00BF309A" w:rsidRPr="00D44EE6">
        <w:rPr>
          <w:rFonts w:ascii="Arial" w:hAnsi="Arial" w:cs="Arial"/>
          <w:b/>
          <w:bCs/>
          <w:lang w:val="en-GB"/>
        </w:rPr>
        <w:t>Table 4</w:t>
      </w:r>
      <w:r w:rsidRPr="00D44EE6">
        <w:rPr>
          <w:rFonts w:ascii="Arial" w:hAnsi="Arial" w:cs="Arial"/>
          <w:lang w:val="en-GB"/>
        </w:rPr>
        <w:t>).</w:t>
      </w:r>
    </w:p>
    <w:p w14:paraId="390B8434" w14:textId="77777777" w:rsidR="004E15FF" w:rsidRPr="00D44EE6" w:rsidRDefault="004E15FF" w:rsidP="0039514A">
      <w:pPr>
        <w:spacing w:after="0" w:line="480" w:lineRule="auto"/>
        <w:rPr>
          <w:rFonts w:ascii="Arial" w:hAnsi="Arial" w:cs="Arial"/>
          <w:lang w:val="en-GB"/>
        </w:rPr>
      </w:pPr>
    </w:p>
    <w:p w14:paraId="3EA25CBE" w14:textId="77777777" w:rsidR="00B327A4" w:rsidRPr="00D44EE6" w:rsidRDefault="00B327A4" w:rsidP="0039514A">
      <w:pPr>
        <w:pStyle w:val="Heading4"/>
        <w:spacing w:before="0" w:after="0" w:line="480" w:lineRule="auto"/>
        <w:rPr>
          <w:rFonts w:ascii="Arial" w:hAnsi="Arial" w:cs="Arial"/>
          <w:b/>
          <w:color w:val="auto"/>
          <w:lang w:val="en-GB"/>
        </w:rPr>
      </w:pPr>
      <w:r w:rsidRPr="00D44EE6">
        <w:rPr>
          <w:rFonts w:ascii="Arial" w:hAnsi="Arial" w:cs="Arial"/>
          <w:b/>
          <w:color w:val="auto"/>
          <w:lang w:val="en-GB"/>
        </w:rPr>
        <w:t>Costs of AEs</w:t>
      </w:r>
    </w:p>
    <w:p w14:paraId="75CCB425" w14:textId="7FFF2638" w:rsidR="00B327A4" w:rsidRPr="00D44EE6" w:rsidRDefault="00B327A4" w:rsidP="0039514A">
      <w:pPr>
        <w:spacing w:after="0" w:line="480" w:lineRule="auto"/>
        <w:rPr>
          <w:rFonts w:ascii="Arial" w:hAnsi="Arial" w:cs="Arial"/>
          <w:lang w:val="en-GB"/>
        </w:rPr>
      </w:pPr>
      <w:r w:rsidRPr="00D44EE6">
        <w:rPr>
          <w:rFonts w:ascii="Arial" w:hAnsi="Arial" w:cs="Arial"/>
          <w:lang w:val="en-GB"/>
        </w:rPr>
        <w:t xml:space="preserve">The costs of AEs were applied as a one-time cost in the first cycle of the model for all patients </w:t>
      </w:r>
      <w:r w:rsidR="002763BA" w:rsidRPr="00D44EE6">
        <w:rPr>
          <w:rFonts w:ascii="Arial" w:hAnsi="Arial" w:cs="Arial"/>
          <w:lang w:val="en-GB"/>
        </w:rPr>
        <w:t>and</w:t>
      </w:r>
      <w:r w:rsidRPr="00D44EE6">
        <w:rPr>
          <w:rFonts w:ascii="Arial" w:hAnsi="Arial" w:cs="Arial"/>
          <w:lang w:val="en-GB"/>
        </w:rPr>
        <w:t xml:space="preserve"> active treatment</w:t>
      </w:r>
      <w:r w:rsidR="00690C31" w:rsidRPr="00D44EE6">
        <w:rPr>
          <w:rFonts w:ascii="Arial" w:hAnsi="Arial" w:cs="Arial"/>
          <w:lang w:val="en-GB"/>
        </w:rPr>
        <w:t>s</w:t>
      </w:r>
      <w:r w:rsidRPr="00D44EE6">
        <w:rPr>
          <w:rFonts w:ascii="Arial" w:hAnsi="Arial" w:cs="Arial"/>
          <w:lang w:val="en-GB"/>
        </w:rPr>
        <w:t xml:space="preserve">. No AE occurrence was considered for observation. Mean unit costs for AEs were obtained from various sources in the literature and expressed in </w:t>
      </w:r>
      <w:r w:rsidR="00672205" w:rsidRPr="00D44EE6">
        <w:rPr>
          <w:rFonts w:ascii="Arial" w:hAnsi="Arial" w:cs="Arial"/>
          <w:lang w:val="en-GB"/>
        </w:rPr>
        <w:t xml:space="preserve">2019 Euros </w:t>
      </w:r>
      <w:r w:rsidRPr="00D44EE6">
        <w:rPr>
          <w:rFonts w:ascii="Arial" w:hAnsi="Arial" w:cs="Arial"/>
          <w:lang w:val="en-GB"/>
        </w:rPr>
        <w:t>(</w:t>
      </w:r>
      <w:r w:rsidR="00872AAC" w:rsidRPr="00D44EE6">
        <w:rPr>
          <w:rFonts w:ascii="Arial" w:hAnsi="Arial" w:cs="Arial"/>
          <w:b/>
          <w:bCs/>
          <w:lang w:val="en-GB"/>
        </w:rPr>
        <w:t>Table 5</w:t>
      </w:r>
      <w:r w:rsidR="002E3723" w:rsidRPr="00D44EE6">
        <w:rPr>
          <w:rFonts w:ascii="Arial" w:hAnsi="Arial" w:cs="Arial"/>
          <w:lang w:val="en-GB"/>
        </w:rPr>
        <w:t>).</w:t>
      </w:r>
    </w:p>
    <w:p w14:paraId="3A2D7E9E" w14:textId="77777777" w:rsidR="00872AAC" w:rsidRPr="00D44EE6" w:rsidRDefault="00872AAC" w:rsidP="0039514A">
      <w:pPr>
        <w:spacing w:after="0" w:line="480" w:lineRule="auto"/>
        <w:rPr>
          <w:rFonts w:ascii="Arial" w:hAnsi="Arial" w:cs="Arial"/>
          <w:lang w:val="en-GB"/>
        </w:rPr>
      </w:pPr>
    </w:p>
    <w:p w14:paraId="4927E873" w14:textId="1BB4927C" w:rsidR="00B327A4" w:rsidRPr="00D44EE6" w:rsidRDefault="00B327A4" w:rsidP="0039514A">
      <w:pPr>
        <w:pStyle w:val="Heading4"/>
        <w:spacing w:before="0" w:after="0" w:line="480" w:lineRule="auto"/>
        <w:rPr>
          <w:rFonts w:ascii="Arial" w:hAnsi="Arial" w:cs="Arial"/>
          <w:b/>
          <w:color w:val="auto"/>
          <w:lang w:val="en-GB"/>
        </w:rPr>
      </w:pPr>
      <w:r w:rsidRPr="00D44EE6">
        <w:rPr>
          <w:rFonts w:ascii="Arial" w:hAnsi="Arial" w:cs="Arial"/>
          <w:b/>
          <w:color w:val="auto"/>
          <w:lang w:val="en-GB"/>
        </w:rPr>
        <w:t>Follow-</w:t>
      </w:r>
      <w:r w:rsidR="00523F70" w:rsidRPr="00D44EE6">
        <w:rPr>
          <w:rFonts w:ascii="Arial" w:hAnsi="Arial" w:cs="Arial"/>
          <w:b/>
          <w:color w:val="auto"/>
          <w:lang w:val="en-GB"/>
        </w:rPr>
        <w:t>U</w:t>
      </w:r>
      <w:r w:rsidRPr="00D44EE6">
        <w:rPr>
          <w:rFonts w:ascii="Arial" w:hAnsi="Arial" w:cs="Arial"/>
          <w:b/>
          <w:color w:val="auto"/>
          <w:lang w:val="en-GB"/>
        </w:rPr>
        <w:t xml:space="preserve">p </w:t>
      </w:r>
      <w:r w:rsidR="00523F70" w:rsidRPr="00D44EE6">
        <w:rPr>
          <w:rFonts w:ascii="Arial" w:hAnsi="Arial" w:cs="Arial"/>
          <w:b/>
          <w:color w:val="auto"/>
          <w:lang w:val="en-GB"/>
        </w:rPr>
        <w:t>C</w:t>
      </w:r>
      <w:r w:rsidRPr="00D44EE6">
        <w:rPr>
          <w:rFonts w:ascii="Arial" w:hAnsi="Arial" w:cs="Arial"/>
          <w:b/>
          <w:color w:val="auto"/>
          <w:lang w:val="en-GB"/>
        </w:rPr>
        <w:t>osts</w:t>
      </w:r>
    </w:p>
    <w:p w14:paraId="1B0D6B1B" w14:textId="2F097CE7" w:rsidR="00B327A4" w:rsidRPr="00D44EE6" w:rsidRDefault="00B327A4" w:rsidP="0039514A">
      <w:pPr>
        <w:spacing w:after="0" w:line="480" w:lineRule="auto"/>
        <w:rPr>
          <w:rFonts w:ascii="Arial" w:hAnsi="Arial" w:cs="Arial"/>
          <w:lang w:val="en-GB"/>
        </w:rPr>
      </w:pPr>
      <w:r w:rsidRPr="00D44EE6">
        <w:rPr>
          <w:rFonts w:ascii="Arial" w:hAnsi="Arial" w:cs="Arial"/>
          <w:lang w:val="en-GB"/>
        </w:rPr>
        <w:t>The model integrated disease follow-up costs depending on the health state (</w:t>
      </w:r>
      <w:r w:rsidR="005C6E6B" w:rsidRPr="00D44EE6">
        <w:rPr>
          <w:rFonts w:ascii="Arial" w:hAnsi="Arial" w:cs="Arial"/>
          <w:lang w:val="en-GB"/>
        </w:rPr>
        <w:t>‘</w:t>
      </w:r>
      <w:r w:rsidRPr="00D44EE6">
        <w:rPr>
          <w:rFonts w:ascii="Arial" w:hAnsi="Arial" w:cs="Arial"/>
          <w:lang w:val="en-GB"/>
        </w:rPr>
        <w:t>Recurrence-free</w:t>
      </w:r>
      <w:r w:rsidR="005C6E6B" w:rsidRPr="00D44EE6">
        <w:rPr>
          <w:rFonts w:ascii="Arial" w:hAnsi="Arial" w:cs="Arial"/>
          <w:lang w:val="en-GB"/>
        </w:rPr>
        <w:t>’</w:t>
      </w:r>
      <w:r w:rsidRPr="00D44EE6">
        <w:rPr>
          <w:rFonts w:ascii="Arial" w:hAnsi="Arial" w:cs="Arial"/>
          <w:lang w:val="en-GB"/>
        </w:rPr>
        <w:t xml:space="preserve"> and </w:t>
      </w:r>
      <w:r w:rsidR="005C6E6B" w:rsidRPr="00D44EE6">
        <w:rPr>
          <w:rFonts w:ascii="Arial" w:hAnsi="Arial" w:cs="Arial"/>
          <w:lang w:val="en-GB"/>
        </w:rPr>
        <w:t>‘</w:t>
      </w:r>
      <w:r w:rsidRPr="00D44EE6">
        <w:rPr>
          <w:rFonts w:ascii="Arial" w:hAnsi="Arial" w:cs="Arial"/>
          <w:lang w:val="en-GB"/>
        </w:rPr>
        <w:t>Post-recurrence</w:t>
      </w:r>
      <w:r w:rsidR="005C6E6B" w:rsidRPr="00D44EE6">
        <w:rPr>
          <w:rFonts w:ascii="Arial" w:hAnsi="Arial" w:cs="Arial"/>
          <w:lang w:val="en-GB"/>
        </w:rPr>
        <w:t>’</w:t>
      </w:r>
      <w:r w:rsidRPr="00D44EE6">
        <w:rPr>
          <w:rFonts w:ascii="Arial" w:hAnsi="Arial" w:cs="Arial"/>
          <w:lang w:val="en-GB"/>
        </w:rPr>
        <w:t>) and on the year of modelling (0</w:t>
      </w:r>
      <w:r w:rsidR="00672205" w:rsidRPr="00D44EE6">
        <w:rPr>
          <w:rFonts w:ascii="Arial" w:hAnsi="Arial" w:cs="Arial"/>
          <w:lang w:val="en-GB"/>
        </w:rPr>
        <w:t>–</w:t>
      </w:r>
      <w:r w:rsidRPr="00D44EE6">
        <w:rPr>
          <w:rFonts w:ascii="Arial" w:hAnsi="Arial" w:cs="Arial"/>
          <w:lang w:val="en-GB"/>
        </w:rPr>
        <w:t>3, 3</w:t>
      </w:r>
      <w:r w:rsidR="00672205" w:rsidRPr="00D44EE6">
        <w:rPr>
          <w:rFonts w:ascii="Arial" w:hAnsi="Arial" w:cs="Arial"/>
          <w:lang w:val="en-GB"/>
        </w:rPr>
        <w:t>–</w:t>
      </w:r>
      <w:r w:rsidRPr="00D44EE6">
        <w:rPr>
          <w:rFonts w:ascii="Arial" w:hAnsi="Arial" w:cs="Arial"/>
          <w:lang w:val="en-GB"/>
        </w:rPr>
        <w:t xml:space="preserve">5, </w:t>
      </w:r>
      <w:r w:rsidR="005C6E6B" w:rsidRPr="00D44EE6">
        <w:rPr>
          <w:rFonts w:ascii="Arial" w:hAnsi="Arial" w:cs="Arial"/>
          <w:lang w:val="en-GB"/>
        </w:rPr>
        <w:t>and</w:t>
      </w:r>
      <w:r w:rsidRPr="00D44EE6">
        <w:rPr>
          <w:rFonts w:ascii="Arial" w:hAnsi="Arial" w:cs="Arial"/>
          <w:lang w:val="en-GB"/>
        </w:rPr>
        <w:t xml:space="preserve"> </w:t>
      </w:r>
      <w:r w:rsidR="00690C31" w:rsidRPr="00D44EE6">
        <w:rPr>
          <w:rFonts w:ascii="Arial" w:hAnsi="Arial" w:cs="Arial"/>
          <w:lang w:val="en-GB"/>
        </w:rPr>
        <w:t xml:space="preserve">&gt; </w:t>
      </w:r>
      <w:r w:rsidRPr="00D44EE6">
        <w:rPr>
          <w:rFonts w:ascii="Arial" w:hAnsi="Arial" w:cs="Arial"/>
          <w:lang w:val="en-GB"/>
        </w:rPr>
        <w:t>5 years). Costs taken into consideration were obtained from the literature</w:t>
      </w:r>
      <w:r w:rsidR="0037218A" w:rsidRPr="00D44EE6">
        <w:rPr>
          <w:rFonts w:ascii="Arial" w:hAnsi="Arial" w:cs="Arial"/>
          <w:lang w:val="en-GB"/>
        </w:rPr>
        <w:t xml:space="preserve"> </w:t>
      </w:r>
      <w:r w:rsidR="0037218A" w:rsidRPr="00D44EE6">
        <w:rPr>
          <w:rFonts w:ascii="Arial" w:hAnsi="Arial" w:cs="Arial"/>
          <w:noProof/>
          <w:lang w:val="en-GB"/>
        </w:rPr>
        <w:t>[13]</w:t>
      </w:r>
      <w:r w:rsidR="0037218A" w:rsidRPr="00D44EE6">
        <w:rPr>
          <w:rFonts w:ascii="Arial" w:hAnsi="Arial" w:cs="Arial"/>
          <w:lang w:val="en-GB"/>
        </w:rPr>
        <w:t xml:space="preserve"> </w:t>
      </w:r>
      <w:r w:rsidRPr="00D44EE6">
        <w:rPr>
          <w:rFonts w:ascii="Arial" w:hAnsi="Arial" w:cs="Arial"/>
          <w:lang w:val="en-GB"/>
        </w:rPr>
        <w:t xml:space="preserve">and consisted of </w:t>
      </w:r>
      <w:r w:rsidR="005C6E6B" w:rsidRPr="00D44EE6">
        <w:rPr>
          <w:rFonts w:ascii="Arial" w:hAnsi="Arial" w:cs="Arial"/>
          <w:lang w:val="en-GB"/>
        </w:rPr>
        <w:t xml:space="preserve">hospitalization </w:t>
      </w:r>
      <w:r w:rsidRPr="00D44EE6">
        <w:rPr>
          <w:rFonts w:ascii="Arial" w:hAnsi="Arial" w:cs="Arial"/>
          <w:lang w:val="en-GB"/>
        </w:rPr>
        <w:t>costs and emergency stays, outpatient visit costs, and diagnosis costs (imaging, lab</w:t>
      </w:r>
      <w:r w:rsidR="00250E38" w:rsidRPr="00D44EE6">
        <w:rPr>
          <w:rFonts w:ascii="Arial" w:hAnsi="Arial" w:cs="Arial"/>
          <w:lang w:val="en-GB"/>
        </w:rPr>
        <w:t>oratory</w:t>
      </w:r>
      <w:r w:rsidRPr="00D44EE6">
        <w:rPr>
          <w:rFonts w:ascii="Arial" w:hAnsi="Arial" w:cs="Arial"/>
          <w:lang w:val="en-GB"/>
        </w:rPr>
        <w:t xml:space="preserve"> tests). A detailed breakdown of these costs is shown in </w:t>
      </w:r>
      <w:r w:rsidR="003B5F4F" w:rsidRPr="00D44EE6">
        <w:rPr>
          <w:rFonts w:ascii="Arial" w:hAnsi="Arial" w:cs="Arial"/>
          <w:b/>
          <w:bCs/>
          <w:lang w:val="en-GB"/>
        </w:rPr>
        <w:t>Table 6</w:t>
      </w:r>
      <w:r w:rsidR="003F5639" w:rsidRPr="00D44EE6">
        <w:rPr>
          <w:rFonts w:ascii="Arial" w:hAnsi="Arial" w:cs="Arial"/>
          <w:lang w:val="en-GB"/>
        </w:rPr>
        <w:t>).</w:t>
      </w:r>
    </w:p>
    <w:p w14:paraId="6CD2B0CA" w14:textId="25B1ED64" w:rsidR="00B327A4" w:rsidRPr="00D44EE6" w:rsidRDefault="00B327A4" w:rsidP="0039514A">
      <w:pPr>
        <w:pStyle w:val="Heading4"/>
        <w:spacing w:before="0" w:after="0" w:line="480" w:lineRule="auto"/>
        <w:rPr>
          <w:rFonts w:ascii="Arial" w:hAnsi="Arial" w:cs="Arial"/>
          <w:b/>
          <w:color w:val="auto"/>
          <w:lang w:val="en-GB"/>
        </w:rPr>
      </w:pPr>
      <w:r w:rsidRPr="00D44EE6">
        <w:rPr>
          <w:rFonts w:ascii="Arial" w:hAnsi="Arial" w:cs="Arial"/>
          <w:b/>
          <w:color w:val="auto"/>
          <w:lang w:val="en-GB"/>
        </w:rPr>
        <w:t xml:space="preserve">Transportation </w:t>
      </w:r>
      <w:r w:rsidR="00523F70" w:rsidRPr="00D44EE6">
        <w:rPr>
          <w:rFonts w:ascii="Arial" w:hAnsi="Arial" w:cs="Arial"/>
          <w:b/>
          <w:color w:val="auto"/>
          <w:lang w:val="en-GB"/>
        </w:rPr>
        <w:t>C</w:t>
      </w:r>
      <w:r w:rsidRPr="00D44EE6">
        <w:rPr>
          <w:rFonts w:ascii="Arial" w:hAnsi="Arial" w:cs="Arial"/>
          <w:b/>
          <w:color w:val="auto"/>
          <w:lang w:val="en-GB"/>
        </w:rPr>
        <w:t>osts</w:t>
      </w:r>
    </w:p>
    <w:p w14:paraId="69D5283F" w14:textId="7A093C90" w:rsidR="00B327A4" w:rsidRPr="00D44EE6" w:rsidRDefault="00B327A4" w:rsidP="0039514A">
      <w:pPr>
        <w:spacing w:after="0" w:line="480" w:lineRule="auto"/>
        <w:rPr>
          <w:rFonts w:ascii="Arial" w:hAnsi="Arial" w:cs="Arial"/>
          <w:lang w:val="en-GB"/>
        </w:rPr>
      </w:pPr>
      <w:r w:rsidRPr="00D44EE6">
        <w:rPr>
          <w:rFonts w:ascii="Arial" w:hAnsi="Arial" w:cs="Arial"/>
          <w:lang w:val="en-GB"/>
        </w:rPr>
        <w:t>The transportation costs for intravenous administration of therapies and for management of AEs were derived from a report produced in 2012 by a French state institution (</w:t>
      </w:r>
      <w:r w:rsidRPr="00D44EE6">
        <w:rPr>
          <w:rFonts w:ascii="Arial" w:hAnsi="Arial" w:cs="Arial"/>
          <w:i/>
          <w:lang w:val="en-GB"/>
        </w:rPr>
        <w:t>Cour des Comptes</w:t>
      </w:r>
      <w:r w:rsidRPr="00D44EE6">
        <w:rPr>
          <w:rFonts w:ascii="Arial" w:hAnsi="Arial" w:cs="Arial"/>
          <w:lang w:val="en-GB"/>
        </w:rPr>
        <w:t>)</w:t>
      </w:r>
      <w:r w:rsidR="00BF0416" w:rsidRPr="00D44EE6">
        <w:rPr>
          <w:rFonts w:ascii="Arial" w:hAnsi="Arial" w:cs="Arial"/>
          <w:lang w:val="en-GB"/>
        </w:rPr>
        <w:t xml:space="preserve"> </w:t>
      </w:r>
      <w:r w:rsidR="0037218A" w:rsidRPr="00D44EE6">
        <w:rPr>
          <w:rFonts w:ascii="Arial" w:hAnsi="Arial" w:cs="Arial"/>
          <w:noProof/>
          <w:lang w:val="en-GB"/>
        </w:rPr>
        <w:t>[14]</w:t>
      </w:r>
      <w:r w:rsidRPr="00D44EE6">
        <w:rPr>
          <w:rFonts w:ascii="Arial" w:hAnsi="Arial" w:cs="Arial"/>
          <w:lang w:val="en-GB"/>
        </w:rPr>
        <w:t xml:space="preserve"> and updated in 2019 </w:t>
      </w:r>
      <w:r w:rsidR="00672205" w:rsidRPr="00D44EE6">
        <w:rPr>
          <w:rFonts w:ascii="Arial" w:hAnsi="Arial" w:cs="Arial"/>
          <w:lang w:val="en-GB"/>
        </w:rPr>
        <w:t>E</w:t>
      </w:r>
      <w:r w:rsidRPr="00D44EE6">
        <w:rPr>
          <w:rFonts w:ascii="Arial" w:hAnsi="Arial" w:cs="Arial"/>
          <w:lang w:val="en-GB"/>
        </w:rPr>
        <w:t>uros</w:t>
      </w:r>
      <w:r w:rsidR="00770B4B" w:rsidRPr="00D44EE6">
        <w:rPr>
          <w:rFonts w:ascii="Arial" w:hAnsi="Arial" w:cs="Arial"/>
          <w:lang w:val="en-GB"/>
        </w:rPr>
        <w:t>;</w:t>
      </w:r>
      <w:r w:rsidRPr="00D44EE6">
        <w:rPr>
          <w:rFonts w:ascii="Arial" w:hAnsi="Arial" w:cs="Arial"/>
          <w:lang w:val="en-GB"/>
        </w:rPr>
        <w:t xml:space="preserve"> a mean round</w:t>
      </w:r>
      <w:r w:rsidR="00F31549" w:rsidRPr="00D44EE6">
        <w:rPr>
          <w:rFonts w:ascii="Arial" w:hAnsi="Arial" w:cs="Arial"/>
          <w:lang w:val="en-GB"/>
        </w:rPr>
        <w:t>-</w:t>
      </w:r>
      <w:r w:rsidRPr="00D44EE6">
        <w:rPr>
          <w:rFonts w:ascii="Arial" w:hAnsi="Arial" w:cs="Arial"/>
          <w:lang w:val="en-GB"/>
        </w:rPr>
        <w:t xml:space="preserve">trip cost was estimated at </w:t>
      </w:r>
      <w:r w:rsidR="005A2585" w:rsidRPr="00D44EE6">
        <w:rPr>
          <w:rFonts w:ascii="Arial" w:hAnsi="Arial" w:cs="Arial"/>
          <w:lang w:val="en-GB"/>
        </w:rPr>
        <w:t>€</w:t>
      </w:r>
      <w:r w:rsidRPr="00D44EE6">
        <w:rPr>
          <w:rFonts w:ascii="Arial" w:hAnsi="Arial" w:cs="Arial"/>
          <w:lang w:val="en-GB"/>
        </w:rPr>
        <w:t>104. Transportation costs related to follow-up were obtained from the study by Grangé et al</w:t>
      </w:r>
      <w:r w:rsidR="0037218A" w:rsidRPr="00D44EE6">
        <w:rPr>
          <w:rFonts w:ascii="Arial" w:hAnsi="Arial" w:cs="Arial"/>
          <w:lang w:val="en-GB"/>
        </w:rPr>
        <w:t xml:space="preserve"> </w:t>
      </w:r>
      <w:r w:rsidR="0037218A" w:rsidRPr="00D44EE6">
        <w:rPr>
          <w:rFonts w:ascii="Arial" w:hAnsi="Arial" w:cs="Arial"/>
          <w:noProof/>
          <w:lang w:val="en-GB"/>
        </w:rPr>
        <w:t>[13]</w:t>
      </w:r>
      <w:r w:rsidRPr="00D44EE6">
        <w:rPr>
          <w:rFonts w:ascii="Arial" w:hAnsi="Arial" w:cs="Arial"/>
          <w:lang w:val="en-GB"/>
        </w:rPr>
        <w:t xml:space="preserve"> and updated in </w:t>
      </w:r>
      <w:r w:rsidR="005C6E6B" w:rsidRPr="00D44EE6">
        <w:rPr>
          <w:rFonts w:ascii="Arial" w:hAnsi="Arial" w:cs="Arial"/>
          <w:lang w:val="en-GB"/>
        </w:rPr>
        <w:t>2019 E</w:t>
      </w:r>
      <w:r w:rsidRPr="00D44EE6">
        <w:rPr>
          <w:rFonts w:ascii="Arial" w:hAnsi="Arial" w:cs="Arial"/>
          <w:lang w:val="en-GB"/>
        </w:rPr>
        <w:t xml:space="preserve">uros. The mean monthly cost was </w:t>
      </w:r>
      <w:r w:rsidR="005A2585" w:rsidRPr="00D44EE6">
        <w:rPr>
          <w:rFonts w:ascii="Arial" w:hAnsi="Arial" w:cs="Arial"/>
          <w:lang w:val="en-GB"/>
        </w:rPr>
        <w:t>€</w:t>
      </w:r>
      <w:r w:rsidRPr="00D44EE6">
        <w:rPr>
          <w:rFonts w:ascii="Arial" w:hAnsi="Arial" w:cs="Arial"/>
          <w:lang w:val="en-GB"/>
        </w:rPr>
        <w:t xml:space="preserve">27 in the </w:t>
      </w:r>
      <w:r w:rsidR="005C6E6B" w:rsidRPr="00D44EE6">
        <w:rPr>
          <w:rFonts w:ascii="Arial" w:hAnsi="Arial" w:cs="Arial"/>
          <w:lang w:val="en-GB"/>
        </w:rPr>
        <w:t>‘</w:t>
      </w:r>
      <w:r w:rsidRPr="00D44EE6">
        <w:rPr>
          <w:rFonts w:ascii="Arial" w:hAnsi="Arial" w:cs="Arial"/>
          <w:lang w:val="en-GB"/>
        </w:rPr>
        <w:t>Pre-recurrence</w:t>
      </w:r>
      <w:r w:rsidR="005C6E6B" w:rsidRPr="00D44EE6">
        <w:rPr>
          <w:rFonts w:ascii="Arial" w:hAnsi="Arial" w:cs="Arial"/>
          <w:lang w:val="en-GB"/>
        </w:rPr>
        <w:t>’</w:t>
      </w:r>
      <w:r w:rsidRPr="00D44EE6">
        <w:rPr>
          <w:rFonts w:ascii="Arial" w:hAnsi="Arial" w:cs="Arial"/>
          <w:lang w:val="en-GB"/>
        </w:rPr>
        <w:t xml:space="preserve"> state, </w:t>
      </w:r>
      <w:r w:rsidR="005A2585" w:rsidRPr="00D44EE6">
        <w:rPr>
          <w:rFonts w:ascii="Arial" w:hAnsi="Arial" w:cs="Arial"/>
          <w:lang w:val="en-GB"/>
        </w:rPr>
        <w:t>€</w:t>
      </w:r>
      <w:r w:rsidRPr="00D44EE6">
        <w:rPr>
          <w:rFonts w:ascii="Arial" w:hAnsi="Arial" w:cs="Arial"/>
          <w:lang w:val="en-GB"/>
        </w:rPr>
        <w:t xml:space="preserve">54 in the </w:t>
      </w:r>
      <w:r w:rsidR="005A2585" w:rsidRPr="00D44EE6">
        <w:rPr>
          <w:rFonts w:ascii="Arial" w:hAnsi="Arial" w:cs="Arial"/>
          <w:lang w:val="en-GB"/>
        </w:rPr>
        <w:t>‘</w:t>
      </w:r>
      <w:r w:rsidRPr="00D44EE6">
        <w:rPr>
          <w:rFonts w:ascii="Arial" w:hAnsi="Arial" w:cs="Arial"/>
          <w:lang w:val="en-GB"/>
        </w:rPr>
        <w:t>Local/regional post-recurrence</w:t>
      </w:r>
      <w:r w:rsidR="005A2585" w:rsidRPr="00D44EE6">
        <w:rPr>
          <w:rFonts w:ascii="Arial" w:hAnsi="Arial" w:cs="Arial"/>
          <w:lang w:val="en-GB"/>
        </w:rPr>
        <w:t>’</w:t>
      </w:r>
      <w:r w:rsidRPr="00D44EE6">
        <w:rPr>
          <w:rFonts w:ascii="Arial" w:hAnsi="Arial" w:cs="Arial"/>
          <w:lang w:val="en-GB"/>
        </w:rPr>
        <w:t xml:space="preserve"> state</w:t>
      </w:r>
      <w:r w:rsidR="00FE4365" w:rsidRPr="00D44EE6">
        <w:rPr>
          <w:rFonts w:ascii="Arial" w:hAnsi="Arial" w:cs="Arial"/>
          <w:lang w:val="en-GB"/>
        </w:rPr>
        <w:t>,</w:t>
      </w:r>
      <w:r w:rsidRPr="00D44EE6">
        <w:rPr>
          <w:rFonts w:ascii="Arial" w:hAnsi="Arial" w:cs="Arial"/>
          <w:lang w:val="en-GB"/>
        </w:rPr>
        <w:t xml:space="preserve"> and </w:t>
      </w:r>
      <w:r w:rsidR="005A2585" w:rsidRPr="00D44EE6">
        <w:rPr>
          <w:rFonts w:ascii="Arial" w:hAnsi="Arial" w:cs="Arial"/>
          <w:lang w:val="en-GB"/>
        </w:rPr>
        <w:t>€</w:t>
      </w:r>
      <w:r w:rsidRPr="00D44EE6">
        <w:rPr>
          <w:rFonts w:ascii="Arial" w:hAnsi="Arial" w:cs="Arial"/>
          <w:lang w:val="en-GB"/>
        </w:rPr>
        <w:t xml:space="preserve">58 in the </w:t>
      </w:r>
      <w:r w:rsidR="005A2585" w:rsidRPr="00D44EE6">
        <w:rPr>
          <w:rFonts w:ascii="Arial" w:hAnsi="Arial" w:cs="Arial"/>
          <w:lang w:val="en-GB"/>
        </w:rPr>
        <w:t>‘</w:t>
      </w:r>
      <w:r w:rsidRPr="00D44EE6">
        <w:rPr>
          <w:rFonts w:ascii="Arial" w:hAnsi="Arial" w:cs="Arial"/>
          <w:lang w:val="en-GB"/>
        </w:rPr>
        <w:t>Metastatic post-recurrence</w:t>
      </w:r>
      <w:r w:rsidR="005A2585" w:rsidRPr="00D44EE6">
        <w:rPr>
          <w:rFonts w:ascii="Arial" w:hAnsi="Arial" w:cs="Arial"/>
          <w:lang w:val="en-GB"/>
        </w:rPr>
        <w:t>’</w:t>
      </w:r>
      <w:r w:rsidRPr="00D44EE6">
        <w:rPr>
          <w:rFonts w:ascii="Arial" w:hAnsi="Arial" w:cs="Arial"/>
          <w:lang w:val="en-GB"/>
        </w:rPr>
        <w:t xml:space="preserve"> state, respectively.</w:t>
      </w:r>
    </w:p>
    <w:p w14:paraId="2F28FAB7" w14:textId="77777777" w:rsidR="00250E38" w:rsidRPr="00D44EE6" w:rsidRDefault="00250E38" w:rsidP="0039514A">
      <w:pPr>
        <w:pStyle w:val="Heading4"/>
        <w:spacing w:before="0" w:after="0" w:line="480" w:lineRule="auto"/>
        <w:rPr>
          <w:rFonts w:ascii="Arial" w:hAnsi="Arial" w:cs="Arial"/>
          <w:b/>
          <w:color w:val="auto"/>
          <w:lang w:val="en-GB"/>
        </w:rPr>
      </w:pPr>
    </w:p>
    <w:p w14:paraId="3175E443" w14:textId="054E7D49" w:rsidR="00B327A4" w:rsidRPr="00D44EE6" w:rsidRDefault="00B327A4" w:rsidP="0039514A">
      <w:pPr>
        <w:pStyle w:val="Heading4"/>
        <w:spacing w:before="0" w:after="0" w:line="480" w:lineRule="auto"/>
        <w:rPr>
          <w:rFonts w:ascii="Arial" w:hAnsi="Arial" w:cs="Arial"/>
          <w:b/>
          <w:color w:val="auto"/>
          <w:lang w:val="en-GB"/>
        </w:rPr>
      </w:pPr>
      <w:r w:rsidRPr="00D44EE6">
        <w:rPr>
          <w:rFonts w:ascii="Arial" w:hAnsi="Arial" w:cs="Arial"/>
          <w:b/>
          <w:color w:val="auto"/>
          <w:lang w:val="en-GB"/>
        </w:rPr>
        <w:t xml:space="preserve">Palliative </w:t>
      </w:r>
      <w:r w:rsidR="00523F70" w:rsidRPr="00D44EE6">
        <w:rPr>
          <w:rFonts w:ascii="Arial" w:hAnsi="Arial" w:cs="Arial"/>
          <w:b/>
          <w:color w:val="auto"/>
          <w:lang w:val="en-GB"/>
        </w:rPr>
        <w:t>C</w:t>
      </w:r>
      <w:r w:rsidRPr="00D44EE6">
        <w:rPr>
          <w:rFonts w:ascii="Arial" w:hAnsi="Arial" w:cs="Arial"/>
          <w:b/>
          <w:color w:val="auto"/>
          <w:lang w:val="en-GB"/>
        </w:rPr>
        <w:t xml:space="preserve">are </w:t>
      </w:r>
      <w:r w:rsidR="00523F70" w:rsidRPr="00D44EE6">
        <w:rPr>
          <w:rFonts w:ascii="Arial" w:hAnsi="Arial" w:cs="Arial"/>
          <w:b/>
          <w:color w:val="auto"/>
          <w:lang w:val="en-GB"/>
        </w:rPr>
        <w:t>C</w:t>
      </w:r>
      <w:r w:rsidRPr="00D44EE6">
        <w:rPr>
          <w:rFonts w:ascii="Arial" w:hAnsi="Arial" w:cs="Arial"/>
          <w:b/>
          <w:color w:val="auto"/>
          <w:lang w:val="en-GB"/>
        </w:rPr>
        <w:t>osts</w:t>
      </w:r>
    </w:p>
    <w:p w14:paraId="12C29CFC" w14:textId="127EA002" w:rsidR="00B327A4" w:rsidRPr="00D44EE6" w:rsidRDefault="00B327A4" w:rsidP="0039514A">
      <w:pPr>
        <w:spacing w:after="0" w:line="480" w:lineRule="auto"/>
        <w:rPr>
          <w:rFonts w:ascii="Arial" w:hAnsi="Arial" w:cs="Arial"/>
          <w:lang w:val="en-GB"/>
        </w:rPr>
      </w:pPr>
      <w:r w:rsidRPr="00D44EE6">
        <w:rPr>
          <w:rFonts w:ascii="Arial" w:hAnsi="Arial" w:cs="Arial"/>
          <w:lang w:val="en-GB"/>
        </w:rPr>
        <w:t>The model consider</w:t>
      </w:r>
      <w:r w:rsidR="005C6E6B" w:rsidRPr="00D44EE6">
        <w:rPr>
          <w:rFonts w:ascii="Arial" w:hAnsi="Arial" w:cs="Arial"/>
          <w:lang w:val="en-GB"/>
        </w:rPr>
        <w:t>ed</w:t>
      </w:r>
      <w:r w:rsidRPr="00D44EE6">
        <w:rPr>
          <w:rFonts w:ascii="Arial" w:hAnsi="Arial" w:cs="Arial"/>
          <w:lang w:val="en-GB"/>
        </w:rPr>
        <w:t xml:space="preserve"> end</w:t>
      </w:r>
      <w:r w:rsidR="005C6E6B" w:rsidRPr="00D44EE6">
        <w:rPr>
          <w:rFonts w:ascii="Arial" w:hAnsi="Arial" w:cs="Arial"/>
          <w:lang w:val="en-GB"/>
        </w:rPr>
        <w:t>-</w:t>
      </w:r>
      <w:r w:rsidRPr="00D44EE6">
        <w:rPr>
          <w:rFonts w:ascii="Arial" w:hAnsi="Arial" w:cs="Arial"/>
          <w:lang w:val="en-GB"/>
        </w:rPr>
        <w:t>of</w:t>
      </w:r>
      <w:r w:rsidR="005C6E6B" w:rsidRPr="00D44EE6">
        <w:rPr>
          <w:rFonts w:ascii="Arial" w:hAnsi="Arial" w:cs="Arial"/>
          <w:lang w:val="en-GB"/>
        </w:rPr>
        <w:t>-</w:t>
      </w:r>
      <w:r w:rsidRPr="00D44EE6">
        <w:rPr>
          <w:rFonts w:ascii="Arial" w:hAnsi="Arial" w:cs="Arial"/>
          <w:lang w:val="en-GB"/>
        </w:rPr>
        <w:t xml:space="preserve">life </w:t>
      </w:r>
      <w:r w:rsidR="005C6E6B" w:rsidRPr="00D44EE6">
        <w:rPr>
          <w:rFonts w:ascii="Arial" w:hAnsi="Arial" w:cs="Arial"/>
          <w:lang w:val="en-GB"/>
        </w:rPr>
        <w:t xml:space="preserve">palliative care </w:t>
      </w:r>
      <w:r w:rsidRPr="00D44EE6">
        <w:rPr>
          <w:rFonts w:ascii="Arial" w:hAnsi="Arial" w:cs="Arial"/>
          <w:lang w:val="en-GB"/>
        </w:rPr>
        <w:t xml:space="preserve">costs provided shortly prior to </w:t>
      </w:r>
      <w:r w:rsidR="005C6E6B" w:rsidRPr="00D44EE6">
        <w:rPr>
          <w:rFonts w:ascii="Arial" w:hAnsi="Arial" w:cs="Arial"/>
          <w:lang w:val="en-GB"/>
        </w:rPr>
        <w:t xml:space="preserve">the </w:t>
      </w:r>
      <w:r w:rsidRPr="00D44EE6">
        <w:rPr>
          <w:rFonts w:ascii="Arial" w:hAnsi="Arial" w:cs="Arial"/>
          <w:lang w:val="en-GB"/>
        </w:rPr>
        <w:t>patient</w:t>
      </w:r>
      <w:r w:rsidR="005C6E6B" w:rsidRPr="00D44EE6">
        <w:rPr>
          <w:rFonts w:ascii="Arial" w:hAnsi="Arial" w:cs="Arial"/>
          <w:lang w:val="en-GB"/>
        </w:rPr>
        <w:t>’</w:t>
      </w:r>
      <w:r w:rsidRPr="00D44EE6">
        <w:rPr>
          <w:rFonts w:ascii="Arial" w:hAnsi="Arial" w:cs="Arial"/>
          <w:lang w:val="en-GB"/>
        </w:rPr>
        <w:t xml:space="preserve">s death. The DRG from </w:t>
      </w:r>
      <w:r w:rsidRPr="00D44EE6">
        <w:rPr>
          <w:rFonts w:ascii="Arial" w:hAnsi="Arial" w:cs="Arial"/>
          <w:i/>
          <w:lang w:val="en-GB"/>
        </w:rPr>
        <w:t>ATIH</w:t>
      </w:r>
      <w:r w:rsidRPr="00D44EE6">
        <w:rPr>
          <w:rFonts w:ascii="Arial" w:hAnsi="Arial" w:cs="Arial"/>
          <w:lang w:val="en-GB"/>
        </w:rPr>
        <w:t xml:space="preserve"> was used to estimate this cost, which was </w:t>
      </w:r>
      <w:r w:rsidR="005A2585" w:rsidRPr="00D44EE6">
        <w:rPr>
          <w:rFonts w:ascii="Arial" w:hAnsi="Arial" w:cs="Arial"/>
          <w:lang w:val="en-GB"/>
        </w:rPr>
        <w:t>€</w:t>
      </w:r>
      <w:r w:rsidRPr="00D44EE6">
        <w:rPr>
          <w:rFonts w:ascii="Arial" w:hAnsi="Arial" w:cs="Arial"/>
          <w:lang w:val="en-GB"/>
        </w:rPr>
        <w:t>7940.</w:t>
      </w:r>
    </w:p>
    <w:p w14:paraId="73424629" w14:textId="0109B640" w:rsidR="00AD3F32" w:rsidRPr="00D44EE6" w:rsidRDefault="00AD3F32" w:rsidP="00E71808">
      <w:pPr>
        <w:rPr>
          <w:lang w:val="en-GB"/>
        </w:rPr>
      </w:pPr>
      <w:r w:rsidRPr="00D44EE6">
        <w:rPr>
          <w:lang w:val="en-GB"/>
        </w:rPr>
        <w:br w:type="page"/>
      </w:r>
    </w:p>
    <w:p w14:paraId="7FD94EA5" w14:textId="1EFADCBB" w:rsidR="00D87A43" w:rsidRPr="00D44EE6" w:rsidRDefault="004E394C" w:rsidP="00E71808">
      <w:pPr>
        <w:pStyle w:val="Heading3"/>
        <w:rPr>
          <w:rFonts w:ascii="Arial" w:hAnsi="Arial" w:cs="Arial"/>
          <w:b/>
          <w:color w:val="auto"/>
          <w:lang w:val="en-GB"/>
        </w:rPr>
      </w:pPr>
      <w:r w:rsidRPr="00D44EE6">
        <w:rPr>
          <w:rFonts w:ascii="Arial" w:hAnsi="Arial" w:cs="Arial"/>
          <w:b/>
          <w:color w:val="auto"/>
          <w:lang w:val="en-GB"/>
        </w:rPr>
        <w:t>Supplemental Tables</w:t>
      </w:r>
    </w:p>
    <w:p w14:paraId="18F2C15C" w14:textId="77777777" w:rsidR="00F35424" w:rsidRPr="00D44EE6" w:rsidRDefault="00F35424" w:rsidP="00F35424">
      <w:pPr>
        <w:rPr>
          <w:rFonts w:ascii="Arial" w:hAnsi="Arial" w:cs="Arial"/>
          <w:lang w:val="en-GB"/>
        </w:rPr>
      </w:pPr>
    </w:p>
    <w:p w14:paraId="593780A5" w14:textId="7A9E7AC7" w:rsidR="00E729A6" w:rsidRPr="00D44EE6" w:rsidRDefault="00E729A6" w:rsidP="00E729A6">
      <w:pPr>
        <w:pStyle w:val="Caption"/>
        <w:rPr>
          <w:rFonts w:ascii="Arial" w:hAnsi="Arial" w:cs="Arial"/>
          <w:bCs/>
          <w:i w:val="0"/>
          <w:color w:val="auto"/>
          <w:sz w:val="22"/>
          <w:szCs w:val="22"/>
          <w:lang w:val="en-GB"/>
        </w:rPr>
      </w:pPr>
      <w:r w:rsidRPr="00D44EE6">
        <w:rPr>
          <w:rFonts w:ascii="Arial" w:hAnsi="Arial" w:cs="Arial"/>
          <w:b/>
          <w:i w:val="0"/>
          <w:color w:val="auto"/>
          <w:sz w:val="22"/>
          <w:szCs w:val="22"/>
          <w:lang w:val="en-GB"/>
        </w:rPr>
        <w:t xml:space="preserve">Table 1 </w:t>
      </w:r>
      <w:r w:rsidRPr="00D44EE6">
        <w:rPr>
          <w:rFonts w:ascii="Arial" w:hAnsi="Arial" w:cs="Arial"/>
          <w:bCs/>
          <w:i w:val="0"/>
          <w:color w:val="auto"/>
          <w:sz w:val="22"/>
          <w:szCs w:val="22"/>
          <w:lang w:val="en-GB"/>
        </w:rPr>
        <w:t>Synthesis of utilities per health state and per comparator</w:t>
      </w:r>
    </w:p>
    <w:tbl>
      <w:tblPr>
        <w:tblStyle w:val="PlainTable2"/>
        <w:tblW w:w="9781" w:type="dxa"/>
        <w:tblBorders>
          <w:top w:val="none" w:sz="0" w:space="0" w:color="auto"/>
          <w:bottom w:val="none" w:sz="0" w:space="0" w:color="auto"/>
        </w:tblBorders>
        <w:tblLook w:val="04A0" w:firstRow="1" w:lastRow="0" w:firstColumn="1" w:lastColumn="0" w:noHBand="0" w:noVBand="1"/>
      </w:tblPr>
      <w:tblGrid>
        <w:gridCol w:w="1800"/>
        <w:gridCol w:w="1744"/>
        <w:gridCol w:w="2268"/>
        <w:gridCol w:w="3969"/>
      </w:tblGrid>
      <w:tr w:rsidR="00D44EE6" w:rsidRPr="00D44EE6" w14:paraId="45EA4FED" w14:textId="77777777" w:rsidTr="005C2264">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1800" w:type="dxa"/>
            <w:tcBorders>
              <w:top w:val="single" w:sz="4" w:space="0" w:color="auto"/>
              <w:bottom w:val="single" w:sz="4" w:space="0" w:color="auto"/>
            </w:tcBorders>
            <w:vAlign w:val="center"/>
          </w:tcPr>
          <w:p w14:paraId="414F2EFB" w14:textId="77777777" w:rsidR="00E729A6" w:rsidRPr="00D44EE6" w:rsidRDefault="00E729A6" w:rsidP="00340FD9">
            <w:pPr>
              <w:rPr>
                <w:rFonts w:ascii="Arial" w:hAnsi="Arial" w:cs="Arial"/>
                <w:sz w:val="18"/>
                <w:szCs w:val="18"/>
              </w:rPr>
            </w:pPr>
            <w:r w:rsidRPr="00D44EE6">
              <w:rPr>
                <w:rFonts w:ascii="Arial" w:hAnsi="Arial" w:cs="Arial"/>
                <w:sz w:val="18"/>
                <w:szCs w:val="18"/>
              </w:rPr>
              <w:t>Health state</w:t>
            </w:r>
          </w:p>
        </w:tc>
        <w:tc>
          <w:tcPr>
            <w:tcW w:w="1744" w:type="dxa"/>
            <w:tcBorders>
              <w:top w:val="single" w:sz="4" w:space="0" w:color="auto"/>
              <w:bottom w:val="single" w:sz="4" w:space="0" w:color="auto"/>
            </w:tcBorders>
            <w:vAlign w:val="center"/>
          </w:tcPr>
          <w:p w14:paraId="15CA2263" w14:textId="77777777" w:rsidR="00E729A6" w:rsidRPr="00D44EE6" w:rsidRDefault="00E729A6" w:rsidP="00F85B4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D44EE6">
              <w:rPr>
                <w:rFonts w:ascii="Arial" w:hAnsi="Arial" w:cs="Arial"/>
                <w:sz w:val="18"/>
                <w:szCs w:val="18"/>
              </w:rPr>
              <w:t>Comparator</w:t>
            </w:r>
          </w:p>
        </w:tc>
        <w:tc>
          <w:tcPr>
            <w:tcW w:w="2268" w:type="dxa"/>
            <w:tcBorders>
              <w:top w:val="single" w:sz="4" w:space="0" w:color="auto"/>
              <w:bottom w:val="single" w:sz="4" w:space="0" w:color="auto"/>
            </w:tcBorders>
            <w:vAlign w:val="center"/>
          </w:tcPr>
          <w:p w14:paraId="0695E338" w14:textId="77777777" w:rsidR="00E729A6" w:rsidRPr="00D44EE6" w:rsidRDefault="00E729A6" w:rsidP="00F85B4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D44EE6">
              <w:rPr>
                <w:rFonts w:ascii="Arial" w:hAnsi="Arial" w:cs="Arial"/>
                <w:sz w:val="18"/>
                <w:szCs w:val="18"/>
              </w:rPr>
              <w:t>Values</w:t>
            </w:r>
          </w:p>
        </w:tc>
        <w:tc>
          <w:tcPr>
            <w:tcW w:w="3969" w:type="dxa"/>
            <w:tcBorders>
              <w:top w:val="single" w:sz="4" w:space="0" w:color="auto"/>
              <w:bottom w:val="single" w:sz="4" w:space="0" w:color="auto"/>
            </w:tcBorders>
            <w:vAlign w:val="center"/>
          </w:tcPr>
          <w:p w14:paraId="3F3A981C" w14:textId="77777777" w:rsidR="00E729A6" w:rsidRPr="00D44EE6" w:rsidRDefault="00E729A6" w:rsidP="00340FD9">
            <w:pPr>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rPr>
              <w:t>Explanation</w:t>
            </w:r>
          </w:p>
        </w:tc>
      </w:tr>
      <w:tr w:rsidR="00D44EE6" w:rsidRPr="00D44EE6" w14:paraId="15BF8DDB" w14:textId="77777777" w:rsidTr="005C2264">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800" w:type="dxa"/>
            <w:vMerge w:val="restart"/>
            <w:tcBorders>
              <w:top w:val="single" w:sz="4" w:space="0" w:color="auto"/>
            </w:tcBorders>
          </w:tcPr>
          <w:p w14:paraId="49090433" w14:textId="77777777" w:rsidR="00E729A6" w:rsidRPr="00D44EE6" w:rsidRDefault="00E729A6" w:rsidP="00340FD9">
            <w:pPr>
              <w:rPr>
                <w:rFonts w:ascii="Arial" w:hAnsi="Arial" w:cs="Arial"/>
                <w:b w:val="0"/>
                <w:bCs w:val="0"/>
                <w:sz w:val="18"/>
                <w:szCs w:val="18"/>
              </w:rPr>
            </w:pPr>
            <w:r w:rsidRPr="00D44EE6">
              <w:rPr>
                <w:rFonts w:ascii="Arial" w:hAnsi="Arial" w:cs="Arial"/>
                <w:b w:val="0"/>
                <w:bCs w:val="0"/>
                <w:sz w:val="18"/>
                <w:szCs w:val="18"/>
              </w:rPr>
              <w:t>Pre-recurrence</w:t>
            </w:r>
          </w:p>
        </w:tc>
        <w:tc>
          <w:tcPr>
            <w:tcW w:w="1744" w:type="dxa"/>
            <w:tcBorders>
              <w:top w:val="single" w:sz="4" w:space="0" w:color="auto"/>
            </w:tcBorders>
          </w:tcPr>
          <w:p w14:paraId="79F2EED7" w14:textId="77777777" w:rsidR="00E729A6" w:rsidRPr="00D44EE6" w:rsidRDefault="00E729A6" w:rsidP="00F85B4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44EE6">
              <w:rPr>
                <w:rFonts w:ascii="Arial" w:hAnsi="Arial" w:cs="Arial"/>
                <w:sz w:val="18"/>
                <w:szCs w:val="18"/>
              </w:rPr>
              <w:t>Observation</w:t>
            </w:r>
          </w:p>
        </w:tc>
        <w:tc>
          <w:tcPr>
            <w:tcW w:w="2268" w:type="dxa"/>
            <w:tcBorders>
              <w:top w:val="single" w:sz="4" w:space="0" w:color="auto"/>
            </w:tcBorders>
          </w:tcPr>
          <w:p w14:paraId="77C1B7E5" w14:textId="77777777" w:rsidR="00E729A6" w:rsidRPr="00D44EE6" w:rsidRDefault="00E729A6" w:rsidP="00F85B4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44EE6">
              <w:rPr>
                <w:rFonts w:ascii="Arial" w:hAnsi="Arial" w:cs="Arial"/>
                <w:sz w:val="18"/>
                <w:szCs w:val="18"/>
              </w:rPr>
              <w:t>0.836</w:t>
            </w:r>
          </w:p>
        </w:tc>
        <w:tc>
          <w:tcPr>
            <w:tcW w:w="3969" w:type="dxa"/>
            <w:tcBorders>
              <w:top w:val="single" w:sz="4" w:space="0" w:color="auto"/>
            </w:tcBorders>
          </w:tcPr>
          <w:p w14:paraId="5DB8CDE4" w14:textId="77777777" w:rsidR="00E729A6" w:rsidRPr="00D44EE6" w:rsidRDefault="00E729A6" w:rsidP="00340FD9">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Baseline utility derived from CheckMate 238</w:t>
            </w:r>
          </w:p>
        </w:tc>
      </w:tr>
      <w:tr w:rsidR="00D44EE6" w:rsidRPr="00D44EE6" w14:paraId="79B89DDD" w14:textId="77777777" w:rsidTr="005C2264">
        <w:trPr>
          <w:trHeight w:val="552"/>
        </w:trPr>
        <w:tc>
          <w:tcPr>
            <w:cnfStyle w:val="001000000000" w:firstRow="0" w:lastRow="0" w:firstColumn="1" w:lastColumn="0" w:oddVBand="0" w:evenVBand="0" w:oddHBand="0" w:evenHBand="0" w:firstRowFirstColumn="0" w:firstRowLastColumn="0" w:lastRowFirstColumn="0" w:lastRowLastColumn="0"/>
            <w:tcW w:w="1800" w:type="dxa"/>
            <w:vMerge/>
          </w:tcPr>
          <w:p w14:paraId="70B1BEDB" w14:textId="77777777" w:rsidR="00E729A6" w:rsidRPr="00D44EE6" w:rsidRDefault="00E729A6" w:rsidP="00340FD9">
            <w:pPr>
              <w:rPr>
                <w:rFonts w:ascii="Arial" w:hAnsi="Arial" w:cs="Arial"/>
                <w:b w:val="0"/>
                <w:bCs w:val="0"/>
                <w:sz w:val="18"/>
                <w:szCs w:val="18"/>
                <w:lang w:val="en-GB"/>
              </w:rPr>
            </w:pPr>
          </w:p>
        </w:tc>
        <w:tc>
          <w:tcPr>
            <w:tcW w:w="1744" w:type="dxa"/>
          </w:tcPr>
          <w:p w14:paraId="6DF3CF84" w14:textId="77777777" w:rsidR="00E729A6" w:rsidRPr="00D44EE6" w:rsidRDefault="00E729A6" w:rsidP="00F85B4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44EE6">
              <w:rPr>
                <w:rFonts w:ascii="Arial" w:hAnsi="Arial" w:cs="Arial"/>
                <w:sz w:val="18"/>
                <w:szCs w:val="18"/>
              </w:rPr>
              <w:t>Nivolumab</w:t>
            </w:r>
          </w:p>
        </w:tc>
        <w:tc>
          <w:tcPr>
            <w:tcW w:w="2268" w:type="dxa"/>
          </w:tcPr>
          <w:p w14:paraId="3D6CF3D0" w14:textId="77777777" w:rsidR="00E729A6" w:rsidRPr="00D44EE6" w:rsidRDefault="00E729A6" w:rsidP="00F85B4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44EE6">
              <w:rPr>
                <w:rFonts w:ascii="Arial" w:hAnsi="Arial" w:cs="Arial"/>
                <w:sz w:val="18"/>
                <w:szCs w:val="18"/>
              </w:rPr>
              <w:t>0.831</w:t>
            </w:r>
          </w:p>
        </w:tc>
        <w:tc>
          <w:tcPr>
            <w:tcW w:w="3969" w:type="dxa"/>
          </w:tcPr>
          <w:p w14:paraId="17D24BF4" w14:textId="77777777" w:rsidR="00E729A6" w:rsidRPr="00D44EE6" w:rsidRDefault="00E729A6" w:rsidP="00340FD9">
            <w:pPr>
              <w:suppressAutoHyphen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Specific utility of pre-recurrence state, derived from CheckMate 238</w:t>
            </w:r>
          </w:p>
        </w:tc>
      </w:tr>
      <w:tr w:rsidR="00D44EE6" w:rsidRPr="00D44EE6" w14:paraId="43C2FDA8" w14:textId="77777777" w:rsidTr="005C2264">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1800" w:type="dxa"/>
            <w:vMerge/>
          </w:tcPr>
          <w:p w14:paraId="3A8D1967" w14:textId="77777777" w:rsidR="00E729A6" w:rsidRPr="00D44EE6" w:rsidRDefault="00E729A6" w:rsidP="00340FD9">
            <w:pPr>
              <w:rPr>
                <w:rFonts w:ascii="Arial" w:hAnsi="Arial" w:cs="Arial"/>
                <w:b w:val="0"/>
                <w:bCs w:val="0"/>
                <w:sz w:val="18"/>
                <w:szCs w:val="18"/>
                <w:lang w:val="en-GB"/>
              </w:rPr>
            </w:pPr>
          </w:p>
        </w:tc>
        <w:tc>
          <w:tcPr>
            <w:tcW w:w="1744" w:type="dxa"/>
          </w:tcPr>
          <w:p w14:paraId="52145078" w14:textId="77777777" w:rsidR="00E729A6" w:rsidRPr="00D44EE6" w:rsidRDefault="00E729A6" w:rsidP="00F85B49">
            <w:pPr>
              <w:ind w:left="465" w:hanging="427"/>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44EE6">
              <w:rPr>
                <w:rFonts w:ascii="Arial" w:hAnsi="Arial" w:cs="Arial"/>
                <w:sz w:val="18"/>
                <w:szCs w:val="18"/>
              </w:rPr>
              <w:t>Interferon</w:t>
            </w:r>
          </w:p>
        </w:tc>
        <w:tc>
          <w:tcPr>
            <w:tcW w:w="2268" w:type="dxa"/>
          </w:tcPr>
          <w:p w14:paraId="705FF371" w14:textId="77777777" w:rsidR="00E729A6" w:rsidRPr="00D44EE6" w:rsidRDefault="00E729A6" w:rsidP="00F85B4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44EE6">
              <w:rPr>
                <w:rFonts w:ascii="Arial" w:hAnsi="Arial" w:cs="Arial"/>
                <w:sz w:val="18"/>
                <w:szCs w:val="18"/>
              </w:rPr>
              <w:t>&lt; 0.836</w:t>
            </w:r>
          </w:p>
        </w:tc>
        <w:tc>
          <w:tcPr>
            <w:tcW w:w="3969" w:type="dxa"/>
          </w:tcPr>
          <w:p w14:paraId="19EA6064" w14:textId="795F8655" w:rsidR="00E729A6" w:rsidRPr="00D44EE6" w:rsidRDefault="00E729A6" w:rsidP="00340FD9">
            <w:pPr>
              <w:suppressAutoHyphens/>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Baseline utility derived from CheckMate 238 plus disutilities related to grade 3</w:t>
            </w:r>
            <w:r w:rsidR="00245AAD" w:rsidRPr="00D44EE6">
              <w:rPr>
                <w:rFonts w:ascii="Arial" w:hAnsi="Arial" w:cs="Arial"/>
                <w:sz w:val="18"/>
                <w:szCs w:val="18"/>
                <w:lang w:val="en-GB"/>
              </w:rPr>
              <w:t>‒</w:t>
            </w:r>
            <w:r w:rsidRPr="00D44EE6">
              <w:rPr>
                <w:rFonts w:ascii="Arial" w:hAnsi="Arial" w:cs="Arial"/>
                <w:sz w:val="18"/>
                <w:szCs w:val="18"/>
                <w:lang w:val="en-GB"/>
              </w:rPr>
              <w:t xml:space="preserve">4 </w:t>
            </w:r>
            <w:r w:rsidR="004E1D2A" w:rsidRPr="00D44EE6">
              <w:rPr>
                <w:rFonts w:ascii="Arial" w:hAnsi="Arial" w:cs="Arial"/>
                <w:sz w:val="18"/>
                <w:szCs w:val="18"/>
                <w:lang w:val="en-GB"/>
              </w:rPr>
              <w:t>AEs</w:t>
            </w:r>
          </w:p>
          <w:p w14:paraId="2C0B2CD0" w14:textId="39AC1690" w:rsidR="00F85B49" w:rsidRPr="00D44EE6" w:rsidRDefault="00F85B49" w:rsidP="00340FD9">
            <w:pPr>
              <w:suppressAutoHyphens/>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r>
      <w:tr w:rsidR="00D44EE6" w:rsidRPr="00D44EE6" w14:paraId="44F4D40A" w14:textId="77777777" w:rsidTr="005C2264">
        <w:trPr>
          <w:trHeight w:val="541"/>
        </w:trPr>
        <w:tc>
          <w:tcPr>
            <w:cnfStyle w:val="001000000000" w:firstRow="0" w:lastRow="0" w:firstColumn="1" w:lastColumn="0" w:oddVBand="0" w:evenVBand="0" w:oddHBand="0" w:evenHBand="0" w:firstRowFirstColumn="0" w:firstRowLastColumn="0" w:lastRowFirstColumn="0" w:lastRowLastColumn="0"/>
            <w:tcW w:w="1800" w:type="dxa"/>
            <w:tcBorders>
              <w:bottom w:val="single" w:sz="4" w:space="0" w:color="auto"/>
            </w:tcBorders>
          </w:tcPr>
          <w:p w14:paraId="2A89E48F" w14:textId="77777777" w:rsidR="00E729A6" w:rsidRPr="00D44EE6" w:rsidRDefault="00E729A6" w:rsidP="00340FD9">
            <w:pPr>
              <w:rPr>
                <w:rFonts w:ascii="Arial" w:hAnsi="Arial" w:cs="Arial"/>
                <w:b w:val="0"/>
                <w:bCs w:val="0"/>
                <w:sz w:val="18"/>
                <w:szCs w:val="18"/>
              </w:rPr>
            </w:pPr>
            <w:r w:rsidRPr="00D44EE6">
              <w:rPr>
                <w:rFonts w:ascii="Arial" w:hAnsi="Arial" w:cs="Arial"/>
                <w:b w:val="0"/>
                <w:bCs w:val="0"/>
                <w:sz w:val="18"/>
                <w:szCs w:val="18"/>
              </w:rPr>
              <w:t>Post-recurrence</w:t>
            </w:r>
          </w:p>
        </w:tc>
        <w:tc>
          <w:tcPr>
            <w:tcW w:w="1744" w:type="dxa"/>
            <w:tcBorders>
              <w:bottom w:val="single" w:sz="4" w:space="0" w:color="auto"/>
            </w:tcBorders>
          </w:tcPr>
          <w:p w14:paraId="07120337" w14:textId="77777777" w:rsidR="00E729A6" w:rsidRPr="00D44EE6" w:rsidRDefault="00E729A6" w:rsidP="00F85B4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44EE6">
              <w:rPr>
                <w:rFonts w:ascii="Arial" w:hAnsi="Arial" w:cs="Arial"/>
                <w:sz w:val="18"/>
                <w:szCs w:val="18"/>
              </w:rPr>
              <w:t>All</w:t>
            </w:r>
          </w:p>
        </w:tc>
        <w:tc>
          <w:tcPr>
            <w:tcW w:w="2268" w:type="dxa"/>
            <w:tcBorders>
              <w:bottom w:val="single" w:sz="4" w:space="0" w:color="auto"/>
            </w:tcBorders>
          </w:tcPr>
          <w:p w14:paraId="59121079" w14:textId="465A6702" w:rsidR="00E729A6" w:rsidRPr="00D44EE6" w:rsidRDefault="00E729A6" w:rsidP="00F85B4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44EE6">
              <w:rPr>
                <w:rFonts w:ascii="Arial" w:hAnsi="Arial" w:cs="Arial"/>
                <w:sz w:val="18"/>
                <w:szCs w:val="18"/>
              </w:rPr>
              <w:t>0.737</w:t>
            </w:r>
          </w:p>
        </w:tc>
        <w:tc>
          <w:tcPr>
            <w:tcW w:w="3969" w:type="dxa"/>
            <w:tcBorders>
              <w:bottom w:val="single" w:sz="4" w:space="0" w:color="auto"/>
            </w:tcBorders>
          </w:tcPr>
          <w:p w14:paraId="250ED457" w14:textId="77777777" w:rsidR="00E729A6" w:rsidRPr="00D44EE6" w:rsidRDefault="00E729A6" w:rsidP="005C2264">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Identical utility for all comparators, derived from CheckMate 238</w:t>
            </w:r>
          </w:p>
        </w:tc>
      </w:tr>
    </w:tbl>
    <w:p w14:paraId="7F775394" w14:textId="60B15D25" w:rsidR="00E729A6" w:rsidRPr="00D44EE6" w:rsidRDefault="00E729A6" w:rsidP="00E729A6">
      <w:pPr>
        <w:rPr>
          <w:rFonts w:ascii="Arial" w:hAnsi="Arial" w:cs="Arial"/>
          <w:sz w:val="18"/>
          <w:szCs w:val="18"/>
          <w:lang w:val="en-GB"/>
        </w:rPr>
      </w:pPr>
      <w:r w:rsidRPr="00D44EE6">
        <w:rPr>
          <w:rFonts w:ascii="Arial" w:hAnsi="Arial" w:cs="Arial"/>
          <w:sz w:val="18"/>
          <w:szCs w:val="18"/>
          <w:lang w:val="en-GB"/>
        </w:rPr>
        <w:t xml:space="preserve">Pre-recurrence utilities for pembrolizumab and dabrafenib plus trametinib are </w:t>
      </w:r>
      <w:r w:rsidR="007E4009" w:rsidRPr="00D44EE6">
        <w:rPr>
          <w:rFonts w:ascii="Arial" w:hAnsi="Arial" w:cs="Arial"/>
          <w:sz w:val="18"/>
          <w:szCs w:val="18"/>
          <w:lang w:val="en-GB"/>
        </w:rPr>
        <w:t xml:space="preserve">the </w:t>
      </w:r>
      <w:r w:rsidRPr="00D44EE6">
        <w:rPr>
          <w:rFonts w:ascii="Arial" w:hAnsi="Arial" w:cs="Arial"/>
          <w:sz w:val="18"/>
          <w:szCs w:val="18"/>
          <w:lang w:val="en-GB"/>
        </w:rPr>
        <w:t>same as nivolumab</w:t>
      </w:r>
    </w:p>
    <w:p w14:paraId="0F4F2E6F" w14:textId="3F9711A0" w:rsidR="004E1D2A" w:rsidRPr="00D44EE6" w:rsidRDefault="004E1D2A" w:rsidP="00E729A6">
      <w:pPr>
        <w:rPr>
          <w:rFonts w:ascii="Arial" w:hAnsi="Arial" w:cs="Arial"/>
          <w:sz w:val="18"/>
          <w:szCs w:val="18"/>
          <w:lang w:val="en-GB"/>
        </w:rPr>
      </w:pPr>
      <w:r w:rsidRPr="00D44EE6">
        <w:rPr>
          <w:rFonts w:ascii="Arial" w:hAnsi="Arial" w:cs="Arial"/>
          <w:i/>
          <w:iCs/>
          <w:sz w:val="18"/>
          <w:szCs w:val="18"/>
          <w:lang w:val="en-GB"/>
        </w:rPr>
        <w:t xml:space="preserve">AE </w:t>
      </w:r>
      <w:r w:rsidRPr="00D44EE6">
        <w:rPr>
          <w:rFonts w:ascii="Arial" w:hAnsi="Arial" w:cs="Arial"/>
          <w:sz w:val="18"/>
          <w:szCs w:val="18"/>
          <w:lang w:val="en-GB"/>
        </w:rPr>
        <w:t>adverse event</w:t>
      </w:r>
    </w:p>
    <w:p w14:paraId="03C2B897" w14:textId="0D167946" w:rsidR="00EC4AE5" w:rsidRPr="00D44EE6" w:rsidRDefault="00EC4AE5">
      <w:pPr>
        <w:rPr>
          <w:lang w:val="en-GB"/>
        </w:rPr>
      </w:pPr>
      <w:r w:rsidRPr="00D44EE6">
        <w:rPr>
          <w:lang w:val="en-GB"/>
        </w:rPr>
        <w:br w:type="page"/>
      </w:r>
    </w:p>
    <w:p w14:paraId="0B6AC7CA" w14:textId="1EB912EB" w:rsidR="00EC4AE5" w:rsidRPr="00D44EE6" w:rsidRDefault="00EC4AE5" w:rsidP="00EC4AE5">
      <w:pPr>
        <w:pStyle w:val="Caption"/>
        <w:rPr>
          <w:rFonts w:ascii="Arial" w:hAnsi="Arial" w:cs="Arial"/>
          <w:b/>
          <w:i w:val="0"/>
          <w:color w:val="auto"/>
          <w:sz w:val="22"/>
          <w:szCs w:val="22"/>
          <w:lang w:val="en-GB"/>
        </w:rPr>
      </w:pPr>
      <w:r w:rsidRPr="00D44EE6">
        <w:rPr>
          <w:rFonts w:ascii="Arial" w:hAnsi="Arial" w:cs="Arial"/>
          <w:b/>
          <w:i w:val="0"/>
          <w:color w:val="auto"/>
          <w:sz w:val="22"/>
          <w:szCs w:val="22"/>
          <w:lang w:val="en-GB"/>
        </w:rPr>
        <w:t xml:space="preserve">Table 2 </w:t>
      </w:r>
      <w:r w:rsidRPr="00D44EE6">
        <w:rPr>
          <w:rFonts w:ascii="Arial" w:hAnsi="Arial" w:cs="Arial"/>
          <w:bCs/>
          <w:i w:val="0"/>
          <w:color w:val="auto"/>
          <w:sz w:val="22"/>
          <w:szCs w:val="22"/>
          <w:lang w:val="en-GB"/>
        </w:rPr>
        <w:t xml:space="preserve">Disutilities due to </w:t>
      </w:r>
      <w:r w:rsidR="00045AC5" w:rsidRPr="00D44EE6">
        <w:rPr>
          <w:rFonts w:ascii="Arial" w:hAnsi="Arial" w:cs="Arial"/>
          <w:bCs/>
          <w:i w:val="0"/>
          <w:color w:val="auto"/>
          <w:sz w:val="22"/>
          <w:szCs w:val="22"/>
          <w:lang w:val="en-GB"/>
        </w:rPr>
        <w:t>AEs</w:t>
      </w:r>
    </w:p>
    <w:tbl>
      <w:tblPr>
        <w:tblStyle w:val="PlainTable2"/>
        <w:tblW w:w="9639" w:type="dxa"/>
        <w:tblBorders>
          <w:top w:val="none" w:sz="0" w:space="0" w:color="auto"/>
          <w:bottom w:val="none" w:sz="0" w:space="0" w:color="auto"/>
        </w:tblBorders>
        <w:tblLook w:val="04A0" w:firstRow="1" w:lastRow="0" w:firstColumn="1" w:lastColumn="0" w:noHBand="0" w:noVBand="1"/>
      </w:tblPr>
      <w:tblGrid>
        <w:gridCol w:w="2268"/>
        <w:gridCol w:w="2552"/>
        <w:gridCol w:w="4819"/>
      </w:tblGrid>
      <w:tr w:rsidR="00D44EE6" w:rsidRPr="00D44EE6" w14:paraId="2E35693D" w14:textId="77777777" w:rsidTr="00670B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bottom w:val="single" w:sz="4" w:space="0" w:color="auto"/>
            </w:tcBorders>
            <w:vAlign w:val="center"/>
            <w:hideMark/>
          </w:tcPr>
          <w:p w14:paraId="1A7F47AF" w14:textId="65297690" w:rsidR="00EC4AE5" w:rsidRPr="00D44EE6" w:rsidRDefault="004E1D2A" w:rsidP="007C5950">
            <w:pPr>
              <w:spacing w:before="120" w:after="120" w:line="276" w:lineRule="auto"/>
              <w:rPr>
                <w:rFonts w:ascii="Arial" w:hAnsi="Arial" w:cs="Arial"/>
                <w:bCs w:val="0"/>
                <w:sz w:val="18"/>
                <w:szCs w:val="18"/>
                <w:lang w:val="en-GB"/>
              </w:rPr>
            </w:pPr>
            <w:r w:rsidRPr="00D44EE6">
              <w:rPr>
                <w:rFonts w:ascii="Arial" w:hAnsi="Arial" w:cs="Arial"/>
                <w:bCs w:val="0"/>
                <w:sz w:val="18"/>
                <w:szCs w:val="18"/>
                <w:lang w:val="en-GB"/>
              </w:rPr>
              <w:t>AE</w:t>
            </w:r>
          </w:p>
        </w:tc>
        <w:tc>
          <w:tcPr>
            <w:tcW w:w="2552" w:type="dxa"/>
            <w:tcBorders>
              <w:top w:val="single" w:sz="4" w:space="0" w:color="auto"/>
              <w:bottom w:val="single" w:sz="4" w:space="0" w:color="auto"/>
            </w:tcBorders>
            <w:vAlign w:val="center"/>
            <w:hideMark/>
          </w:tcPr>
          <w:p w14:paraId="1FEDBA00" w14:textId="333508AB" w:rsidR="00EC4AE5" w:rsidRPr="00D44EE6" w:rsidRDefault="00EC4AE5" w:rsidP="00045AC5">
            <w:pPr>
              <w:spacing w:before="120" w:after="120" w:line="276" w:lineRule="auto"/>
              <w:cnfStyle w:val="100000000000" w:firstRow="1" w:lastRow="0" w:firstColumn="0" w:lastColumn="0" w:oddVBand="0" w:evenVBand="0" w:oddHBand="0" w:evenHBand="0" w:firstRowFirstColumn="0" w:firstRowLastColumn="0" w:lastRowFirstColumn="0" w:lastRowLastColumn="0"/>
              <w:rPr>
                <w:rFonts w:ascii="Arial" w:hAnsi="Arial" w:cs="Arial"/>
                <w:bCs w:val="0"/>
                <w:sz w:val="18"/>
                <w:szCs w:val="18"/>
                <w:lang w:val="en-GB"/>
              </w:rPr>
            </w:pPr>
            <w:r w:rsidRPr="00D44EE6">
              <w:rPr>
                <w:rFonts w:ascii="Arial" w:hAnsi="Arial" w:cs="Arial"/>
                <w:bCs w:val="0"/>
                <w:sz w:val="18"/>
                <w:szCs w:val="18"/>
                <w:lang w:val="en-GB"/>
              </w:rPr>
              <w:t>Disutility due to grade 3</w:t>
            </w:r>
            <w:r w:rsidR="007C5950" w:rsidRPr="00D44EE6">
              <w:rPr>
                <w:rFonts w:ascii="Arial" w:hAnsi="Arial" w:cs="Arial"/>
                <w:bCs w:val="0"/>
                <w:sz w:val="18"/>
                <w:szCs w:val="18"/>
                <w:lang w:val="en-GB"/>
              </w:rPr>
              <w:t>–</w:t>
            </w:r>
            <w:r w:rsidRPr="00D44EE6">
              <w:rPr>
                <w:rFonts w:ascii="Arial" w:hAnsi="Arial" w:cs="Arial"/>
                <w:bCs w:val="0"/>
                <w:sz w:val="18"/>
                <w:szCs w:val="18"/>
                <w:lang w:val="en-GB"/>
              </w:rPr>
              <w:t xml:space="preserve">4 </w:t>
            </w:r>
            <w:r w:rsidR="00045AC5" w:rsidRPr="00D44EE6">
              <w:rPr>
                <w:rFonts w:ascii="Arial" w:hAnsi="Arial" w:cs="Arial"/>
                <w:bCs w:val="0"/>
                <w:sz w:val="18"/>
                <w:szCs w:val="18"/>
                <w:lang w:val="en-GB"/>
              </w:rPr>
              <w:t>AEs</w:t>
            </w:r>
          </w:p>
        </w:tc>
        <w:tc>
          <w:tcPr>
            <w:tcW w:w="4819" w:type="dxa"/>
            <w:tcBorders>
              <w:top w:val="single" w:sz="4" w:space="0" w:color="auto"/>
              <w:bottom w:val="single" w:sz="4" w:space="0" w:color="auto"/>
            </w:tcBorders>
            <w:vAlign w:val="center"/>
            <w:hideMark/>
          </w:tcPr>
          <w:p w14:paraId="7E055907" w14:textId="77777777" w:rsidR="00EC4AE5" w:rsidRPr="00D44EE6" w:rsidRDefault="00EC4AE5" w:rsidP="007C5950">
            <w:pPr>
              <w:spacing w:before="120" w:after="120" w:line="276" w:lineRule="auto"/>
              <w:cnfStyle w:val="100000000000" w:firstRow="1" w:lastRow="0" w:firstColumn="0" w:lastColumn="0" w:oddVBand="0" w:evenVBand="0" w:oddHBand="0" w:evenHBand="0" w:firstRowFirstColumn="0" w:firstRowLastColumn="0" w:lastRowFirstColumn="0" w:lastRowLastColumn="0"/>
              <w:rPr>
                <w:rFonts w:ascii="Arial" w:hAnsi="Arial" w:cs="Arial"/>
                <w:bCs w:val="0"/>
                <w:sz w:val="18"/>
                <w:szCs w:val="18"/>
                <w:lang w:val="en-GB"/>
              </w:rPr>
            </w:pPr>
            <w:r w:rsidRPr="00D44EE6">
              <w:rPr>
                <w:rFonts w:ascii="Arial" w:hAnsi="Arial" w:cs="Arial"/>
                <w:bCs w:val="0"/>
                <w:sz w:val="18"/>
                <w:szCs w:val="18"/>
                <w:lang w:val="en-GB"/>
              </w:rPr>
              <w:t>Source</w:t>
            </w:r>
          </w:p>
        </w:tc>
      </w:tr>
      <w:tr w:rsidR="00D44EE6" w:rsidRPr="00D44EE6" w14:paraId="6DBD65BB" w14:textId="77777777" w:rsidTr="00670B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tcBorders>
            <w:vAlign w:val="center"/>
            <w:hideMark/>
          </w:tcPr>
          <w:p w14:paraId="52132133" w14:textId="77777777" w:rsidR="00EC4AE5" w:rsidRPr="00D44EE6" w:rsidRDefault="00EC4AE5" w:rsidP="00670BAD">
            <w:pPr>
              <w:spacing w:before="120" w:after="120" w:line="276" w:lineRule="auto"/>
              <w:rPr>
                <w:rFonts w:ascii="Arial" w:hAnsi="Arial" w:cs="Arial"/>
                <w:b w:val="0"/>
                <w:bCs w:val="0"/>
                <w:sz w:val="18"/>
                <w:szCs w:val="18"/>
                <w:lang w:val="en-GB"/>
              </w:rPr>
            </w:pPr>
            <w:r w:rsidRPr="00D44EE6">
              <w:rPr>
                <w:rFonts w:ascii="Arial" w:hAnsi="Arial" w:cs="Arial"/>
                <w:b w:val="0"/>
                <w:bCs w:val="0"/>
                <w:sz w:val="18"/>
                <w:szCs w:val="18"/>
                <w:lang w:val="en-GB"/>
              </w:rPr>
              <w:t>Fatigue</w:t>
            </w:r>
          </w:p>
        </w:tc>
        <w:tc>
          <w:tcPr>
            <w:tcW w:w="2552" w:type="dxa"/>
            <w:tcBorders>
              <w:top w:val="single" w:sz="4" w:space="0" w:color="auto"/>
            </w:tcBorders>
            <w:vAlign w:val="center"/>
            <w:hideMark/>
          </w:tcPr>
          <w:p w14:paraId="42ED8BC7" w14:textId="1ECD2B12" w:rsidR="00EC4AE5" w:rsidRPr="00D44EE6" w:rsidRDefault="00EC4AE5" w:rsidP="00670BAD">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–0.110</w:t>
            </w:r>
          </w:p>
        </w:tc>
        <w:tc>
          <w:tcPr>
            <w:tcW w:w="4819" w:type="dxa"/>
            <w:tcBorders>
              <w:top w:val="single" w:sz="4" w:space="0" w:color="auto"/>
            </w:tcBorders>
            <w:vAlign w:val="center"/>
            <w:hideMark/>
          </w:tcPr>
          <w:p w14:paraId="2E181A80" w14:textId="5B08880E" w:rsidR="00EC4AE5" w:rsidRPr="00D44EE6" w:rsidRDefault="00EC4AE5" w:rsidP="00670BAD">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 xml:space="preserve">Beusterien et al (2009) </w:t>
            </w:r>
            <w:r w:rsidRPr="00D44EE6">
              <w:rPr>
                <w:rFonts w:ascii="Arial" w:hAnsi="Arial" w:cs="Arial"/>
                <w:noProof/>
                <w:sz w:val="18"/>
                <w:szCs w:val="18"/>
                <w:lang w:val="en-GB"/>
              </w:rPr>
              <w:t>[8]</w:t>
            </w:r>
            <w:r w:rsidRPr="00D44EE6">
              <w:rPr>
                <w:rFonts w:ascii="Arial" w:hAnsi="Arial" w:cs="Arial"/>
                <w:sz w:val="18"/>
                <w:szCs w:val="18"/>
                <w:lang w:val="en-GB"/>
              </w:rPr>
              <w:t xml:space="preserve"> </w:t>
            </w:r>
          </w:p>
        </w:tc>
      </w:tr>
      <w:tr w:rsidR="00D44EE6" w:rsidRPr="00D44EE6" w14:paraId="621D4024" w14:textId="77777777" w:rsidTr="00670BAD">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15F4B0D8" w14:textId="23D2BA11" w:rsidR="00EC4AE5" w:rsidRPr="00D44EE6" w:rsidRDefault="00EC4AE5" w:rsidP="00670BAD">
            <w:pPr>
              <w:spacing w:before="120" w:after="120" w:line="276" w:lineRule="auto"/>
              <w:rPr>
                <w:rFonts w:ascii="Arial" w:hAnsi="Arial" w:cs="Arial"/>
                <w:b w:val="0"/>
                <w:bCs w:val="0"/>
                <w:sz w:val="18"/>
                <w:szCs w:val="18"/>
                <w:lang w:val="en-GB"/>
              </w:rPr>
            </w:pPr>
            <w:r w:rsidRPr="00D44EE6">
              <w:rPr>
                <w:rFonts w:ascii="Arial" w:hAnsi="Arial" w:cs="Arial"/>
                <w:b w:val="0"/>
                <w:bCs w:val="0"/>
                <w:sz w:val="18"/>
                <w:szCs w:val="18"/>
                <w:lang w:val="en-GB"/>
              </w:rPr>
              <w:t>Anaemia</w:t>
            </w:r>
          </w:p>
        </w:tc>
        <w:tc>
          <w:tcPr>
            <w:tcW w:w="2552" w:type="dxa"/>
            <w:vAlign w:val="center"/>
            <w:hideMark/>
          </w:tcPr>
          <w:p w14:paraId="67311653" w14:textId="3FFA09CF" w:rsidR="00EC4AE5" w:rsidRPr="00D44EE6" w:rsidRDefault="00EC4AE5" w:rsidP="00670BAD">
            <w:pPr>
              <w:spacing w:before="120" w:after="12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–0.110</w:t>
            </w:r>
          </w:p>
        </w:tc>
        <w:tc>
          <w:tcPr>
            <w:tcW w:w="4819" w:type="dxa"/>
            <w:vAlign w:val="center"/>
            <w:hideMark/>
          </w:tcPr>
          <w:p w14:paraId="61324F68" w14:textId="059FD014" w:rsidR="00EC4AE5" w:rsidRPr="00D44EE6" w:rsidRDefault="00EC4AE5" w:rsidP="00670BAD">
            <w:pPr>
              <w:spacing w:before="120" w:after="12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 xml:space="preserve">Beusterien et al (2009) </w:t>
            </w:r>
            <w:r w:rsidRPr="00D44EE6">
              <w:rPr>
                <w:rFonts w:ascii="Arial" w:hAnsi="Arial" w:cs="Arial"/>
                <w:noProof/>
                <w:sz w:val="18"/>
                <w:szCs w:val="18"/>
                <w:lang w:val="en-GB"/>
              </w:rPr>
              <w:t>[8]</w:t>
            </w:r>
          </w:p>
        </w:tc>
      </w:tr>
      <w:tr w:rsidR="00D44EE6" w:rsidRPr="00D44EE6" w14:paraId="6C36BF57" w14:textId="77777777" w:rsidTr="00AC14AF">
        <w:trPr>
          <w:cnfStyle w:val="000000100000" w:firstRow="0" w:lastRow="0" w:firstColumn="0" w:lastColumn="0" w:oddVBand="0" w:evenVBand="0" w:oddHBand="1" w:evenHBand="0" w:firstRowFirstColumn="0" w:firstRowLastColumn="0" w:lastRowFirstColumn="0" w:lastRowLastColumn="0"/>
          <w:trHeight w:val="975"/>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17328C7B" w14:textId="6638E85A" w:rsidR="00EC4AE5" w:rsidRPr="00D44EE6" w:rsidRDefault="00EC4AE5" w:rsidP="00670BAD">
            <w:pPr>
              <w:spacing w:before="120" w:after="120" w:line="276" w:lineRule="auto"/>
              <w:rPr>
                <w:rFonts w:ascii="Arial" w:hAnsi="Arial" w:cs="Arial"/>
                <w:b w:val="0"/>
                <w:bCs w:val="0"/>
                <w:sz w:val="18"/>
                <w:szCs w:val="18"/>
                <w:lang w:val="en-GB"/>
              </w:rPr>
            </w:pPr>
            <w:r w:rsidRPr="00D44EE6">
              <w:rPr>
                <w:rFonts w:ascii="Arial" w:hAnsi="Arial" w:cs="Arial"/>
                <w:b w:val="0"/>
                <w:bCs w:val="0"/>
                <w:sz w:val="18"/>
                <w:szCs w:val="18"/>
                <w:lang w:val="en-GB"/>
              </w:rPr>
              <w:t>Leucopoenia</w:t>
            </w:r>
          </w:p>
        </w:tc>
        <w:tc>
          <w:tcPr>
            <w:tcW w:w="2552" w:type="dxa"/>
            <w:vAlign w:val="center"/>
            <w:hideMark/>
          </w:tcPr>
          <w:p w14:paraId="094417A3" w14:textId="765733D8" w:rsidR="00EC4AE5" w:rsidRPr="00D44EE6" w:rsidRDefault="00EC4AE5" w:rsidP="00670BAD">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–0.110</w:t>
            </w:r>
          </w:p>
        </w:tc>
        <w:tc>
          <w:tcPr>
            <w:tcW w:w="4819" w:type="dxa"/>
            <w:vAlign w:val="center"/>
            <w:hideMark/>
          </w:tcPr>
          <w:p w14:paraId="144B9099" w14:textId="3B5E0FAF" w:rsidR="00EC4AE5" w:rsidRPr="00D44EE6" w:rsidRDefault="00EC4AE5" w:rsidP="00670BAD">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 xml:space="preserve">Beusterien et al (2009] </w:t>
            </w:r>
            <w:r w:rsidRPr="00D44EE6">
              <w:rPr>
                <w:rFonts w:ascii="Arial" w:hAnsi="Arial" w:cs="Arial"/>
                <w:noProof/>
                <w:sz w:val="18"/>
                <w:szCs w:val="18"/>
                <w:lang w:val="en-GB"/>
              </w:rPr>
              <w:t>[8]</w:t>
            </w:r>
          </w:p>
          <w:p w14:paraId="31F702E4" w14:textId="77777777" w:rsidR="00EC4AE5" w:rsidRPr="00D44EE6" w:rsidRDefault="00EC4AE5" w:rsidP="00670BAD">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 xml:space="preserve">Absence of value, but same disutility estimated as for neutropenia </w:t>
            </w:r>
          </w:p>
        </w:tc>
      </w:tr>
      <w:tr w:rsidR="00D44EE6" w:rsidRPr="00D44EE6" w14:paraId="522EB7AD" w14:textId="77777777" w:rsidTr="00670BAD">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0B5756A2" w14:textId="77777777" w:rsidR="00EC4AE5" w:rsidRPr="00D44EE6" w:rsidRDefault="00EC4AE5" w:rsidP="00670BAD">
            <w:pPr>
              <w:spacing w:before="120" w:after="120" w:line="276" w:lineRule="auto"/>
              <w:rPr>
                <w:rFonts w:ascii="Arial" w:hAnsi="Arial" w:cs="Arial"/>
                <w:b w:val="0"/>
                <w:bCs w:val="0"/>
                <w:sz w:val="18"/>
                <w:szCs w:val="18"/>
                <w:lang w:val="en-GB"/>
              </w:rPr>
            </w:pPr>
            <w:r w:rsidRPr="00D44EE6">
              <w:rPr>
                <w:rFonts w:ascii="Arial" w:hAnsi="Arial" w:cs="Arial"/>
                <w:b w:val="0"/>
                <w:bCs w:val="0"/>
                <w:sz w:val="18"/>
                <w:szCs w:val="18"/>
                <w:lang w:val="en-GB"/>
              </w:rPr>
              <w:t>Anorexia</w:t>
            </w:r>
          </w:p>
        </w:tc>
        <w:tc>
          <w:tcPr>
            <w:tcW w:w="2552" w:type="dxa"/>
            <w:vAlign w:val="center"/>
            <w:hideMark/>
          </w:tcPr>
          <w:p w14:paraId="30A3393A" w14:textId="0A6CEA05" w:rsidR="00EC4AE5" w:rsidRPr="00D44EE6" w:rsidRDefault="00EC4AE5" w:rsidP="00670BAD">
            <w:pPr>
              <w:spacing w:before="120" w:after="12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–0.048</w:t>
            </w:r>
          </w:p>
        </w:tc>
        <w:tc>
          <w:tcPr>
            <w:tcW w:w="4819" w:type="dxa"/>
            <w:vAlign w:val="center"/>
            <w:hideMark/>
          </w:tcPr>
          <w:p w14:paraId="00D73EA4" w14:textId="76F01D9F" w:rsidR="00EC4AE5" w:rsidRPr="00D44EE6" w:rsidRDefault="00EC4AE5" w:rsidP="00670BAD">
            <w:pPr>
              <w:spacing w:before="120" w:after="12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 xml:space="preserve">Nafees et al (2008) </w:t>
            </w:r>
            <w:r w:rsidRPr="00D44EE6">
              <w:rPr>
                <w:rFonts w:ascii="Arial" w:hAnsi="Arial" w:cs="Arial"/>
                <w:noProof/>
                <w:sz w:val="18"/>
                <w:szCs w:val="18"/>
                <w:lang w:val="en-GB"/>
              </w:rPr>
              <w:t>[10]</w:t>
            </w:r>
          </w:p>
          <w:p w14:paraId="5C8AC183" w14:textId="7FC6C6ED" w:rsidR="00EC4AE5" w:rsidRPr="00D44EE6" w:rsidRDefault="00EC4AE5" w:rsidP="00670BAD">
            <w:pPr>
              <w:spacing w:before="120" w:after="12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 xml:space="preserve">Absence of value but same proxy used in </w:t>
            </w:r>
            <w:r w:rsidR="008172E8" w:rsidRPr="00D44EE6">
              <w:rPr>
                <w:rFonts w:ascii="Arial" w:hAnsi="Arial" w:cs="Arial"/>
                <w:i/>
                <w:sz w:val="18"/>
                <w:szCs w:val="18"/>
                <w:lang w:val="en-GB"/>
              </w:rPr>
              <w:t>H</w:t>
            </w:r>
            <w:r w:rsidR="002B766C" w:rsidRPr="00D44EE6">
              <w:rPr>
                <w:rFonts w:ascii="Arial" w:hAnsi="Arial" w:cs="Arial"/>
                <w:i/>
                <w:sz w:val="18"/>
                <w:szCs w:val="18"/>
                <w:lang w:val="en-GB"/>
              </w:rPr>
              <w:t>AS</w:t>
            </w:r>
            <w:r w:rsidR="008172E8" w:rsidRPr="00D44EE6">
              <w:rPr>
                <w:rFonts w:ascii="Arial" w:hAnsi="Arial" w:cs="Arial"/>
                <w:iCs/>
                <w:sz w:val="18"/>
                <w:szCs w:val="18"/>
                <w:lang w:val="en-GB"/>
              </w:rPr>
              <w:t xml:space="preserve"> </w:t>
            </w:r>
            <w:r w:rsidRPr="00D44EE6">
              <w:rPr>
                <w:rFonts w:ascii="Arial" w:hAnsi="Arial" w:cs="Arial"/>
                <w:sz w:val="18"/>
                <w:szCs w:val="18"/>
                <w:lang w:val="en-GB"/>
              </w:rPr>
              <w:t>efficiency opinion for nivolumab in non-squamous non-small cell lung cancer</w:t>
            </w:r>
          </w:p>
        </w:tc>
      </w:tr>
      <w:tr w:rsidR="00D44EE6" w:rsidRPr="00D44EE6" w14:paraId="510DC265" w14:textId="77777777" w:rsidTr="00670B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65493B2A" w14:textId="07105341" w:rsidR="00EC4AE5" w:rsidRPr="00D44EE6" w:rsidRDefault="00EC4AE5" w:rsidP="00670BAD">
            <w:pPr>
              <w:spacing w:before="120" w:after="120" w:line="276" w:lineRule="auto"/>
              <w:rPr>
                <w:rFonts w:ascii="Arial" w:hAnsi="Arial" w:cs="Arial"/>
                <w:b w:val="0"/>
                <w:bCs w:val="0"/>
                <w:sz w:val="18"/>
                <w:szCs w:val="18"/>
                <w:lang w:val="en-GB"/>
              </w:rPr>
            </w:pPr>
            <w:r w:rsidRPr="00D44EE6">
              <w:rPr>
                <w:rFonts w:ascii="Arial" w:hAnsi="Arial" w:cs="Arial"/>
                <w:b w:val="0"/>
                <w:bCs w:val="0"/>
                <w:sz w:val="18"/>
                <w:szCs w:val="18"/>
                <w:lang w:val="en-GB"/>
              </w:rPr>
              <w:t>Fever/</w:t>
            </w:r>
            <w:r w:rsidR="00EA7799" w:rsidRPr="00D44EE6">
              <w:rPr>
                <w:rFonts w:ascii="Arial" w:hAnsi="Arial" w:cs="Arial"/>
                <w:b w:val="0"/>
                <w:bCs w:val="0"/>
                <w:sz w:val="18"/>
                <w:szCs w:val="18"/>
                <w:lang w:val="en-GB"/>
              </w:rPr>
              <w:t>p</w:t>
            </w:r>
            <w:r w:rsidRPr="00D44EE6">
              <w:rPr>
                <w:rFonts w:ascii="Arial" w:hAnsi="Arial" w:cs="Arial"/>
                <w:b w:val="0"/>
                <w:bCs w:val="0"/>
                <w:sz w:val="18"/>
                <w:szCs w:val="18"/>
                <w:lang w:val="en-GB"/>
              </w:rPr>
              <w:t>yrexia</w:t>
            </w:r>
          </w:p>
        </w:tc>
        <w:tc>
          <w:tcPr>
            <w:tcW w:w="2552" w:type="dxa"/>
            <w:vAlign w:val="center"/>
            <w:hideMark/>
          </w:tcPr>
          <w:p w14:paraId="456FB9DC" w14:textId="0F5A81BC" w:rsidR="00EC4AE5" w:rsidRPr="00D44EE6" w:rsidRDefault="00EC4AE5" w:rsidP="00670BAD">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–0.110</w:t>
            </w:r>
          </w:p>
        </w:tc>
        <w:tc>
          <w:tcPr>
            <w:tcW w:w="4819" w:type="dxa"/>
            <w:vAlign w:val="center"/>
            <w:hideMark/>
          </w:tcPr>
          <w:p w14:paraId="6A3A1392" w14:textId="5BF1563A" w:rsidR="00EC4AE5" w:rsidRPr="00D44EE6" w:rsidRDefault="00EC4AE5" w:rsidP="00670BAD">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 xml:space="preserve">Beusterien et al (2010) </w:t>
            </w:r>
            <w:r w:rsidRPr="00D44EE6">
              <w:rPr>
                <w:rFonts w:ascii="Arial" w:hAnsi="Arial" w:cs="Arial"/>
                <w:noProof/>
                <w:sz w:val="18"/>
                <w:szCs w:val="18"/>
                <w:lang w:val="en-GB"/>
              </w:rPr>
              <w:t>[9]</w:t>
            </w:r>
            <w:r w:rsidRPr="00D44EE6">
              <w:rPr>
                <w:rFonts w:ascii="Arial" w:hAnsi="Arial" w:cs="Arial"/>
                <w:sz w:val="18"/>
                <w:szCs w:val="18"/>
                <w:lang w:val="en-GB"/>
              </w:rPr>
              <w:t xml:space="preserve"> </w:t>
            </w:r>
          </w:p>
        </w:tc>
      </w:tr>
      <w:tr w:rsidR="00D44EE6" w:rsidRPr="00D44EE6" w14:paraId="49E41C88" w14:textId="77777777" w:rsidTr="00670BAD">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17E78E49" w14:textId="77777777" w:rsidR="00EC4AE5" w:rsidRPr="00D44EE6" w:rsidRDefault="00EC4AE5" w:rsidP="00670BAD">
            <w:pPr>
              <w:spacing w:before="120" w:after="120" w:line="276" w:lineRule="auto"/>
              <w:rPr>
                <w:rFonts w:ascii="Arial" w:hAnsi="Arial" w:cs="Arial"/>
                <w:b w:val="0"/>
                <w:bCs w:val="0"/>
                <w:sz w:val="18"/>
                <w:szCs w:val="18"/>
                <w:lang w:val="en-GB"/>
              </w:rPr>
            </w:pPr>
            <w:r w:rsidRPr="00D44EE6">
              <w:rPr>
                <w:rFonts w:ascii="Arial" w:hAnsi="Arial" w:cs="Arial"/>
                <w:b w:val="0"/>
                <w:bCs w:val="0"/>
                <w:sz w:val="18"/>
                <w:szCs w:val="18"/>
                <w:lang w:val="en-GB"/>
              </w:rPr>
              <w:t>Infection</w:t>
            </w:r>
          </w:p>
        </w:tc>
        <w:tc>
          <w:tcPr>
            <w:tcW w:w="2552" w:type="dxa"/>
            <w:vAlign w:val="center"/>
            <w:hideMark/>
          </w:tcPr>
          <w:p w14:paraId="294A4815" w14:textId="1E2FBA74" w:rsidR="00EC4AE5" w:rsidRPr="00D44EE6" w:rsidRDefault="00EC4AE5" w:rsidP="00670BAD">
            <w:pPr>
              <w:spacing w:before="120" w:after="12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–0.110</w:t>
            </w:r>
          </w:p>
        </w:tc>
        <w:tc>
          <w:tcPr>
            <w:tcW w:w="4819" w:type="dxa"/>
            <w:vAlign w:val="center"/>
            <w:hideMark/>
          </w:tcPr>
          <w:p w14:paraId="21BC24FF" w14:textId="38C15EE2" w:rsidR="00EC4AE5" w:rsidRPr="00D44EE6" w:rsidRDefault="00EC4AE5" w:rsidP="00670BAD">
            <w:pPr>
              <w:spacing w:before="120" w:after="12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 xml:space="preserve">Beusterien et al (2010) </w:t>
            </w:r>
            <w:r w:rsidRPr="00D44EE6">
              <w:rPr>
                <w:rFonts w:ascii="Arial" w:hAnsi="Arial" w:cs="Arial"/>
                <w:noProof/>
                <w:sz w:val="18"/>
                <w:szCs w:val="18"/>
                <w:lang w:val="en-GB"/>
              </w:rPr>
              <w:t>[9]</w:t>
            </w:r>
          </w:p>
        </w:tc>
      </w:tr>
      <w:tr w:rsidR="00D44EE6" w:rsidRPr="00D44EE6" w14:paraId="3BE9FF30" w14:textId="77777777" w:rsidTr="00670B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4F277BB3" w14:textId="77777777" w:rsidR="00EC4AE5" w:rsidRPr="00D44EE6" w:rsidRDefault="00EC4AE5" w:rsidP="00670BAD">
            <w:pPr>
              <w:spacing w:before="120" w:after="120" w:line="276" w:lineRule="auto"/>
              <w:rPr>
                <w:rFonts w:ascii="Arial" w:hAnsi="Arial" w:cs="Arial"/>
                <w:b w:val="0"/>
                <w:bCs w:val="0"/>
                <w:sz w:val="18"/>
                <w:szCs w:val="18"/>
                <w:lang w:val="en-GB"/>
              </w:rPr>
            </w:pPr>
            <w:r w:rsidRPr="00D44EE6">
              <w:rPr>
                <w:rFonts w:ascii="Arial" w:hAnsi="Arial" w:cs="Arial"/>
                <w:b w:val="0"/>
                <w:bCs w:val="0"/>
                <w:sz w:val="18"/>
                <w:szCs w:val="18"/>
                <w:lang w:val="en-GB"/>
              </w:rPr>
              <w:t>Headache</w:t>
            </w:r>
          </w:p>
        </w:tc>
        <w:tc>
          <w:tcPr>
            <w:tcW w:w="2552" w:type="dxa"/>
            <w:vAlign w:val="center"/>
            <w:hideMark/>
          </w:tcPr>
          <w:p w14:paraId="38C16A41" w14:textId="2810AD9D" w:rsidR="00EC4AE5" w:rsidRPr="00D44EE6" w:rsidRDefault="00EC4AE5" w:rsidP="00670BAD">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–0.110</w:t>
            </w:r>
          </w:p>
        </w:tc>
        <w:tc>
          <w:tcPr>
            <w:tcW w:w="4819" w:type="dxa"/>
            <w:vAlign w:val="center"/>
            <w:hideMark/>
          </w:tcPr>
          <w:p w14:paraId="6F160C7D" w14:textId="1FCB8E62" w:rsidR="00EC4AE5" w:rsidRPr="00D44EE6" w:rsidRDefault="00EC4AE5" w:rsidP="00670BAD">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 xml:space="preserve">Gallop et al (2015) </w:t>
            </w:r>
            <w:r w:rsidRPr="00D44EE6">
              <w:rPr>
                <w:rFonts w:ascii="Arial" w:hAnsi="Arial" w:cs="Arial"/>
                <w:noProof/>
                <w:sz w:val="18"/>
                <w:szCs w:val="18"/>
                <w:lang w:val="en-GB"/>
              </w:rPr>
              <w:t>[11]</w:t>
            </w:r>
          </w:p>
        </w:tc>
      </w:tr>
      <w:tr w:rsidR="00D44EE6" w:rsidRPr="00D44EE6" w14:paraId="468BCEDC" w14:textId="77777777" w:rsidTr="00670BAD">
        <w:trPr>
          <w:trHeight w:val="420"/>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1AEF9DF2" w14:textId="3036BE28" w:rsidR="00EC4AE5" w:rsidRPr="00D44EE6" w:rsidRDefault="00EC4AE5" w:rsidP="00670BAD">
            <w:pPr>
              <w:spacing w:before="120" w:after="120" w:line="276" w:lineRule="auto"/>
              <w:rPr>
                <w:rFonts w:ascii="Arial" w:hAnsi="Arial" w:cs="Arial"/>
                <w:b w:val="0"/>
                <w:bCs w:val="0"/>
                <w:sz w:val="18"/>
                <w:szCs w:val="18"/>
                <w:lang w:val="en-GB"/>
              </w:rPr>
            </w:pPr>
            <w:r w:rsidRPr="00D44EE6">
              <w:rPr>
                <w:rFonts w:ascii="Arial" w:hAnsi="Arial" w:cs="Arial"/>
                <w:b w:val="0"/>
                <w:bCs w:val="0"/>
                <w:sz w:val="18"/>
                <w:szCs w:val="18"/>
                <w:lang w:val="en-GB"/>
              </w:rPr>
              <w:t>Diarrhoea</w:t>
            </w:r>
          </w:p>
        </w:tc>
        <w:tc>
          <w:tcPr>
            <w:tcW w:w="2552" w:type="dxa"/>
            <w:vAlign w:val="center"/>
            <w:hideMark/>
          </w:tcPr>
          <w:p w14:paraId="758B07A8" w14:textId="22E11FBA" w:rsidR="00EC4AE5" w:rsidRPr="00D44EE6" w:rsidRDefault="00EC4AE5" w:rsidP="00670BAD">
            <w:pPr>
              <w:spacing w:before="120" w:after="12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–0.060</w:t>
            </w:r>
          </w:p>
        </w:tc>
        <w:tc>
          <w:tcPr>
            <w:tcW w:w="4819" w:type="dxa"/>
            <w:vAlign w:val="center"/>
            <w:hideMark/>
          </w:tcPr>
          <w:p w14:paraId="71B1A174" w14:textId="22F42A0B" w:rsidR="00EC4AE5" w:rsidRPr="00D44EE6" w:rsidRDefault="00EC4AE5" w:rsidP="00670BAD">
            <w:pPr>
              <w:suppressAutoHyphen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 xml:space="preserve">Beusterien et al (2009) </w:t>
            </w:r>
            <w:r w:rsidRPr="00D44EE6">
              <w:rPr>
                <w:rFonts w:ascii="Arial" w:hAnsi="Arial" w:cs="Arial"/>
                <w:noProof/>
                <w:sz w:val="18"/>
                <w:szCs w:val="18"/>
                <w:lang w:val="en-GB"/>
              </w:rPr>
              <w:t>[8]</w:t>
            </w:r>
          </w:p>
        </w:tc>
      </w:tr>
      <w:tr w:rsidR="00D44EE6" w:rsidRPr="00D44EE6" w14:paraId="277B084F" w14:textId="77777777" w:rsidTr="00670B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7C8BA12A" w14:textId="77777777" w:rsidR="00EC4AE5" w:rsidRPr="00D44EE6" w:rsidRDefault="00EC4AE5" w:rsidP="00670BAD">
            <w:pPr>
              <w:spacing w:before="120" w:after="120" w:line="276" w:lineRule="auto"/>
              <w:rPr>
                <w:rFonts w:ascii="Arial" w:hAnsi="Arial" w:cs="Arial"/>
                <w:b w:val="0"/>
                <w:bCs w:val="0"/>
                <w:sz w:val="18"/>
                <w:szCs w:val="18"/>
                <w:lang w:val="en-GB"/>
              </w:rPr>
            </w:pPr>
            <w:r w:rsidRPr="00D44EE6">
              <w:rPr>
                <w:rFonts w:ascii="Arial" w:hAnsi="Arial" w:cs="Arial"/>
                <w:b w:val="0"/>
                <w:bCs w:val="0"/>
                <w:sz w:val="18"/>
                <w:szCs w:val="18"/>
                <w:lang w:val="en-GB"/>
              </w:rPr>
              <w:t>Nausea</w:t>
            </w:r>
          </w:p>
        </w:tc>
        <w:tc>
          <w:tcPr>
            <w:tcW w:w="2552" w:type="dxa"/>
            <w:vAlign w:val="center"/>
            <w:hideMark/>
          </w:tcPr>
          <w:p w14:paraId="13B2C0E5" w14:textId="318AE52F" w:rsidR="00EC4AE5" w:rsidRPr="00D44EE6" w:rsidRDefault="00EC4AE5" w:rsidP="00670BAD">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–0.070</w:t>
            </w:r>
          </w:p>
        </w:tc>
        <w:tc>
          <w:tcPr>
            <w:tcW w:w="4819" w:type="dxa"/>
            <w:vAlign w:val="center"/>
            <w:hideMark/>
          </w:tcPr>
          <w:p w14:paraId="4B9ED5C0" w14:textId="45B2CB1B" w:rsidR="00EC4AE5" w:rsidRPr="00D44EE6" w:rsidRDefault="00EC4AE5" w:rsidP="00670BAD">
            <w:pPr>
              <w:suppressAutoHyphens/>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 xml:space="preserve">Beusterien et al (2009) </w:t>
            </w:r>
            <w:r w:rsidRPr="00D44EE6">
              <w:rPr>
                <w:rFonts w:ascii="Arial" w:hAnsi="Arial" w:cs="Arial"/>
                <w:noProof/>
                <w:sz w:val="18"/>
                <w:szCs w:val="18"/>
                <w:lang w:val="en-GB"/>
              </w:rPr>
              <w:t>[8]</w:t>
            </w:r>
          </w:p>
        </w:tc>
      </w:tr>
      <w:tr w:rsidR="00D44EE6" w:rsidRPr="00D44EE6" w14:paraId="0A1331FC" w14:textId="77777777" w:rsidTr="00670BAD">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35FA8535" w14:textId="77777777" w:rsidR="00EC4AE5" w:rsidRPr="00D44EE6" w:rsidRDefault="00EC4AE5" w:rsidP="00670BAD">
            <w:pPr>
              <w:spacing w:before="120" w:after="120" w:line="276" w:lineRule="auto"/>
              <w:rPr>
                <w:rFonts w:ascii="Arial" w:hAnsi="Arial" w:cs="Arial"/>
                <w:b w:val="0"/>
                <w:bCs w:val="0"/>
                <w:sz w:val="18"/>
                <w:szCs w:val="18"/>
                <w:lang w:val="en-GB"/>
              </w:rPr>
            </w:pPr>
            <w:r w:rsidRPr="00D44EE6">
              <w:rPr>
                <w:rFonts w:ascii="Arial" w:hAnsi="Arial" w:cs="Arial"/>
                <w:b w:val="0"/>
                <w:bCs w:val="0"/>
                <w:sz w:val="18"/>
                <w:szCs w:val="18"/>
                <w:lang w:val="en-GB"/>
              </w:rPr>
              <w:t>Vomiting</w:t>
            </w:r>
          </w:p>
        </w:tc>
        <w:tc>
          <w:tcPr>
            <w:tcW w:w="2552" w:type="dxa"/>
            <w:vAlign w:val="center"/>
            <w:hideMark/>
          </w:tcPr>
          <w:p w14:paraId="66D5192B" w14:textId="388701E8" w:rsidR="00EC4AE5" w:rsidRPr="00D44EE6" w:rsidRDefault="00EC4AE5" w:rsidP="00670BAD">
            <w:pPr>
              <w:spacing w:before="120" w:after="12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–0.070</w:t>
            </w:r>
          </w:p>
        </w:tc>
        <w:tc>
          <w:tcPr>
            <w:tcW w:w="4819" w:type="dxa"/>
            <w:vAlign w:val="center"/>
            <w:hideMark/>
          </w:tcPr>
          <w:p w14:paraId="18337B70" w14:textId="48ADD03C" w:rsidR="00EC4AE5" w:rsidRPr="00D44EE6" w:rsidRDefault="00EC4AE5" w:rsidP="00670BAD">
            <w:pPr>
              <w:suppressAutoHyphens/>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 xml:space="preserve">Beusterien et al (2009) </w:t>
            </w:r>
            <w:r w:rsidRPr="00D44EE6">
              <w:rPr>
                <w:rFonts w:ascii="Arial" w:hAnsi="Arial" w:cs="Arial"/>
                <w:noProof/>
                <w:sz w:val="18"/>
                <w:szCs w:val="18"/>
                <w:lang w:val="en-GB"/>
              </w:rPr>
              <w:t>[8]</w:t>
            </w:r>
          </w:p>
        </w:tc>
      </w:tr>
      <w:tr w:rsidR="00D44EE6" w:rsidRPr="00D44EE6" w14:paraId="55C50091" w14:textId="77777777" w:rsidTr="00670B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1D71502A" w14:textId="77777777" w:rsidR="00EC4AE5" w:rsidRPr="00D44EE6" w:rsidRDefault="00EC4AE5" w:rsidP="00670BAD">
            <w:pPr>
              <w:spacing w:before="120" w:after="120" w:line="276" w:lineRule="auto"/>
              <w:rPr>
                <w:rFonts w:ascii="Arial" w:hAnsi="Arial" w:cs="Arial"/>
                <w:b w:val="0"/>
                <w:bCs w:val="0"/>
                <w:sz w:val="18"/>
                <w:szCs w:val="18"/>
                <w:lang w:val="en-GB"/>
              </w:rPr>
            </w:pPr>
            <w:r w:rsidRPr="00D44EE6">
              <w:rPr>
                <w:rFonts w:ascii="Arial" w:hAnsi="Arial" w:cs="Arial"/>
                <w:b w:val="0"/>
                <w:bCs w:val="0"/>
                <w:sz w:val="18"/>
                <w:szCs w:val="18"/>
                <w:lang w:val="en-GB"/>
              </w:rPr>
              <w:t>Rash</w:t>
            </w:r>
          </w:p>
        </w:tc>
        <w:tc>
          <w:tcPr>
            <w:tcW w:w="2552" w:type="dxa"/>
            <w:vAlign w:val="center"/>
            <w:hideMark/>
          </w:tcPr>
          <w:p w14:paraId="1F1D16E7" w14:textId="2E610636" w:rsidR="00EC4AE5" w:rsidRPr="00D44EE6" w:rsidRDefault="00EC4AE5" w:rsidP="00670BAD">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–0.030</w:t>
            </w:r>
          </w:p>
        </w:tc>
        <w:tc>
          <w:tcPr>
            <w:tcW w:w="4819" w:type="dxa"/>
            <w:vAlign w:val="center"/>
            <w:hideMark/>
          </w:tcPr>
          <w:p w14:paraId="3A0465DF" w14:textId="46924388" w:rsidR="00EC4AE5" w:rsidRPr="00D44EE6" w:rsidRDefault="00EC4AE5" w:rsidP="00670BAD">
            <w:pPr>
              <w:suppressAutoHyphens/>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 xml:space="preserve">Beusterien et al (2009) </w:t>
            </w:r>
            <w:r w:rsidRPr="00D44EE6">
              <w:rPr>
                <w:rFonts w:ascii="Arial" w:hAnsi="Arial" w:cs="Arial"/>
                <w:noProof/>
                <w:sz w:val="18"/>
                <w:szCs w:val="18"/>
                <w:lang w:val="en-GB"/>
              </w:rPr>
              <w:t>[8]</w:t>
            </w:r>
          </w:p>
        </w:tc>
      </w:tr>
      <w:tr w:rsidR="00D44EE6" w:rsidRPr="00D44EE6" w14:paraId="31242072" w14:textId="77777777" w:rsidTr="00670BAD">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01B38B61" w14:textId="77777777" w:rsidR="00EC4AE5" w:rsidRPr="00D44EE6" w:rsidRDefault="00EC4AE5" w:rsidP="00670BAD">
            <w:pPr>
              <w:spacing w:before="120" w:after="120" w:line="276" w:lineRule="auto"/>
              <w:rPr>
                <w:rFonts w:ascii="Arial" w:hAnsi="Arial" w:cs="Arial"/>
                <w:b w:val="0"/>
                <w:bCs w:val="0"/>
                <w:sz w:val="18"/>
                <w:szCs w:val="18"/>
                <w:lang w:val="en-GB"/>
              </w:rPr>
            </w:pPr>
            <w:r w:rsidRPr="00D44EE6">
              <w:rPr>
                <w:rFonts w:ascii="Arial" w:hAnsi="Arial" w:cs="Arial"/>
                <w:b w:val="0"/>
                <w:bCs w:val="0"/>
                <w:sz w:val="18"/>
                <w:szCs w:val="18"/>
                <w:lang w:val="en-GB"/>
              </w:rPr>
              <w:t>Depression</w:t>
            </w:r>
          </w:p>
        </w:tc>
        <w:tc>
          <w:tcPr>
            <w:tcW w:w="2552" w:type="dxa"/>
            <w:vAlign w:val="center"/>
            <w:hideMark/>
          </w:tcPr>
          <w:p w14:paraId="5FF6AD67" w14:textId="5B3812CB" w:rsidR="00EC4AE5" w:rsidRPr="00D44EE6" w:rsidRDefault="00EC4AE5" w:rsidP="00670BAD">
            <w:pPr>
              <w:spacing w:before="120" w:after="12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–0.370</w:t>
            </w:r>
          </w:p>
        </w:tc>
        <w:tc>
          <w:tcPr>
            <w:tcW w:w="4819" w:type="dxa"/>
            <w:vAlign w:val="center"/>
            <w:hideMark/>
          </w:tcPr>
          <w:p w14:paraId="156725DC" w14:textId="748EE023" w:rsidR="00EC4AE5" w:rsidRPr="00D44EE6" w:rsidRDefault="00EC4AE5" w:rsidP="00670BAD">
            <w:pPr>
              <w:spacing w:before="120" w:after="12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 xml:space="preserve">Gallop et al (2015) </w:t>
            </w:r>
            <w:r w:rsidRPr="00D44EE6">
              <w:rPr>
                <w:rFonts w:ascii="Arial" w:hAnsi="Arial" w:cs="Arial"/>
                <w:noProof/>
                <w:sz w:val="18"/>
                <w:szCs w:val="18"/>
                <w:lang w:val="en-GB"/>
              </w:rPr>
              <w:t>[11]</w:t>
            </w:r>
          </w:p>
        </w:tc>
      </w:tr>
      <w:tr w:rsidR="00D44EE6" w:rsidRPr="00D44EE6" w14:paraId="7BE9F5E5" w14:textId="77777777" w:rsidTr="00670B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51FD7FBE" w14:textId="77777777" w:rsidR="00EC4AE5" w:rsidRPr="00D44EE6" w:rsidRDefault="00EC4AE5" w:rsidP="00670BAD">
            <w:pPr>
              <w:spacing w:before="120" w:after="120" w:line="276" w:lineRule="auto"/>
              <w:rPr>
                <w:rFonts w:ascii="Arial" w:hAnsi="Arial" w:cs="Arial"/>
                <w:b w:val="0"/>
                <w:bCs w:val="0"/>
                <w:sz w:val="18"/>
                <w:szCs w:val="18"/>
                <w:lang w:val="en-GB"/>
              </w:rPr>
            </w:pPr>
            <w:r w:rsidRPr="00D44EE6">
              <w:rPr>
                <w:rFonts w:ascii="Arial" w:hAnsi="Arial" w:cs="Arial"/>
                <w:b w:val="0"/>
                <w:bCs w:val="0"/>
                <w:sz w:val="18"/>
                <w:szCs w:val="18"/>
                <w:lang w:val="en-GB"/>
              </w:rPr>
              <w:t>Myalgia</w:t>
            </w:r>
          </w:p>
        </w:tc>
        <w:tc>
          <w:tcPr>
            <w:tcW w:w="2552" w:type="dxa"/>
            <w:vAlign w:val="center"/>
            <w:hideMark/>
          </w:tcPr>
          <w:p w14:paraId="051A7D0F" w14:textId="1135D309" w:rsidR="00EC4AE5" w:rsidRPr="00D44EE6" w:rsidRDefault="00EC4AE5" w:rsidP="00670BAD">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–0.123</w:t>
            </w:r>
          </w:p>
        </w:tc>
        <w:tc>
          <w:tcPr>
            <w:tcW w:w="4819" w:type="dxa"/>
            <w:vAlign w:val="center"/>
            <w:hideMark/>
          </w:tcPr>
          <w:p w14:paraId="643C648A" w14:textId="5A9EDFD5" w:rsidR="00EC4AE5" w:rsidRPr="00D44EE6" w:rsidRDefault="00EC4AE5" w:rsidP="00670BAD">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 xml:space="preserve">Hagiwara et al (2018) </w:t>
            </w:r>
            <w:r w:rsidRPr="00D44EE6">
              <w:rPr>
                <w:rFonts w:ascii="Arial" w:hAnsi="Arial" w:cs="Arial"/>
                <w:noProof/>
                <w:sz w:val="18"/>
                <w:szCs w:val="18"/>
                <w:lang w:val="en-GB"/>
              </w:rPr>
              <w:t>[12]</w:t>
            </w:r>
          </w:p>
        </w:tc>
      </w:tr>
      <w:tr w:rsidR="00D44EE6" w:rsidRPr="00D44EE6" w14:paraId="2AC529A8" w14:textId="77777777" w:rsidTr="00670BAD">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598B4462" w14:textId="089411F0" w:rsidR="00EC4AE5" w:rsidRPr="00D44EE6" w:rsidRDefault="00EC4AE5" w:rsidP="00670BAD">
            <w:pPr>
              <w:spacing w:before="120" w:after="120" w:line="276" w:lineRule="auto"/>
              <w:rPr>
                <w:rFonts w:ascii="Arial" w:hAnsi="Arial" w:cs="Arial"/>
                <w:b w:val="0"/>
                <w:bCs w:val="0"/>
                <w:sz w:val="18"/>
                <w:szCs w:val="18"/>
                <w:lang w:val="en-GB"/>
              </w:rPr>
            </w:pPr>
            <w:r w:rsidRPr="00D44EE6">
              <w:rPr>
                <w:rFonts w:ascii="Arial" w:hAnsi="Arial" w:cs="Arial"/>
                <w:b w:val="0"/>
                <w:bCs w:val="0"/>
                <w:sz w:val="18"/>
                <w:szCs w:val="18"/>
                <w:lang w:val="en-GB"/>
              </w:rPr>
              <w:t>A</w:t>
            </w:r>
            <w:r w:rsidR="005D366B" w:rsidRPr="00D44EE6">
              <w:rPr>
                <w:rFonts w:ascii="Arial" w:hAnsi="Arial" w:cs="Arial"/>
                <w:b w:val="0"/>
                <w:bCs w:val="0"/>
                <w:sz w:val="18"/>
                <w:szCs w:val="18"/>
                <w:lang w:val="en-GB"/>
              </w:rPr>
              <w:t>SAT</w:t>
            </w:r>
            <w:r w:rsidRPr="00D44EE6">
              <w:rPr>
                <w:rFonts w:ascii="Arial" w:hAnsi="Arial" w:cs="Arial"/>
                <w:b w:val="0"/>
                <w:bCs w:val="0"/>
                <w:sz w:val="18"/>
                <w:szCs w:val="18"/>
                <w:lang w:val="en-GB"/>
              </w:rPr>
              <w:t xml:space="preserve"> increased</w:t>
            </w:r>
          </w:p>
        </w:tc>
        <w:tc>
          <w:tcPr>
            <w:tcW w:w="2552" w:type="dxa"/>
            <w:vAlign w:val="center"/>
            <w:hideMark/>
          </w:tcPr>
          <w:p w14:paraId="4ECB368C" w14:textId="77777777" w:rsidR="00EC4AE5" w:rsidRPr="00D44EE6" w:rsidRDefault="00EC4AE5" w:rsidP="00670BAD">
            <w:pPr>
              <w:spacing w:before="120" w:after="120"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0.000</w:t>
            </w:r>
          </w:p>
        </w:tc>
        <w:tc>
          <w:tcPr>
            <w:tcW w:w="4819" w:type="dxa"/>
            <w:vAlign w:val="center"/>
            <w:hideMark/>
          </w:tcPr>
          <w:p w14:paraId="64F8759E" w14:textId="77777777" w:rsidR="00EC4AE5" w:rsidRPr="00D44EE6" w:rsidRDefault="00EC4AE5" w:rsidP="00670BAD">
            <w:pPr>
              <w:spacing w:line="276" w:lineRule="auto"/>
              <w:ind w:right="4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Assumption</w:t>
            </w:r>
          </w:p>
        </w:tc>
      </w:tr>
      <w:tr w:rsidR="00D44EE6" w:rsidRPr="00D44EE6" w14:paraId="3BD7CA12" w14:textId="77777777" w:rsidTr="00670B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bottom w:val="single" w:sz="4" w:space="0" w:color="auto"/>
            </w:tcBorders>
            <w:vAlign w:val="center"/>
            <w:hideMark/>
          </w:tcPr>
          <w:p w14:paraId="68DBE427" w14:textId="494FFD84" w:rsidR="00EC4AE5" w:rsidRPr="00D44EE6" w:rsidRDefault="00EC4AE5" w:rsidP="00670BAD">
            <w:pPr>
              <w:spacing w:before="120" w:after="120" w:line="276" w:lineRule="auto"/>
              <w:rPr>
                <w:rFonts w:ascii="Arial" w:hAnsi="Arial" w:cs="Arial"/>
                <w:b w:val="0"/>
                <w:bCs w:val="0"/>
                <w:sz w:val="18"/>
                <w:szCs w:val="18"/>
                <w:lang w:val="en-GB"/>
              </w:rPr>
            </w:pPr>
            <w:r w:rsidRPr="00D44EE6">
              <w:rPr>
                <w:rFonts w:ascii="Arial" w:hAnsi="Arial" w:cs="Arial"/>
                <w:b w:val="0"/>
                <w:bCs w:val="0"/>
                <w:sz w:val="18"/>
                <w:szCs w:val="18"/>
                <w:lang w:val="en-GB"/>
              </w:rPr>
              <w:t>A</w:t>
            </w:r>
            <w:r w:rsidR="002B766C" w:rsidRPr="00D44EE6">
              <w:rPr>
                <w:rFonts w:ascii="Arial" w:hAnsi="Arial" w:cs="Arial"/>
                <w:b w:val="0"/>
                <w:bCs w:val="0"/>
                <w:sz w:val="18"/>
                <w:szCs w:val="18"/>
                <w:lang w:val="en-GB"/>
              </w:rPr>
              <w:t>LAT</w:t>
            </w:r>
            <w:r w:rsidR="00423FB3" w:rsidRPr="00D44EE6">
              <w:rPr>
                <w:rFonts w:ascii="Arial" w:hAnsi="Arial" w:cs="Arial"/>
                <w:b w:val="0"/>
                <w:bCs w:val="0"/>
                <w:sz w:val="18"/>
                <w:szCs w:val="18"/>
                <w:lang w:val="en-GB"/>
              </w:rPr>
              <w:t xml:space="preserve"> </w:t>
            </w:r>
            <w:r w:rsidRPr="00D44EE6">
              <w:rPr>
                <w:rFonts w:ascii="Arial" w:hAnsi="Arial" w:cs="Arial"/>
                <w:b w:val="0"/>
                <w:bCs w:val="0"/>
                <w:sz w:val="18"/>
                <w:szCs w:val="18"/>
                <w:lang w:val="en-GB"/>
              </w:rPr>
              <w:t>increased</w:t>
            </w:r>
          </w:p>
        </w:tc>
        <w:tc>
          <w:tcPr>
            <w:tcW w:w="2552" w:type="dxa"/>
            <w:tcBorders>
              <w:bottom w:val="single" w:sz="4" w:space="0" w:color="auto"/>
            </w:tcBorders>
            <w:vAlign w:val="center"/>
            <w:hideMark/>
          </w:tcPr>
          <w:p w14:paraId="56CC8901" w14:textId="77777777" w:rsidR="00EC4AE5" w:rsidRPr="00D44EE6" w:rsidRDefault="00EC4AE5" w:rsidP="00670BAD">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0.000</w:t>
            </w:r>
          </w:p>
        </w:tc>
        <w:tc>
          <w:tcPr>
            <w:tcW w:w="4819" w:type="dxa"/>
            <w:tcBorders>
              <w:bottom w:val="single" w:sz="4" w:space="0" w:color="auto"/>
            </w:tcBorders>
            <w:vAlign w:val="center"/>
            <w:hideMark/>
          </w:tcPr>
          <w:p w14:paraId="7FB0C739" w14:textId="77777777" w:rsidR="00EC4AE5" w:rsidRPr="00D44EE6" w:rsidRDefault="00EC4AE5" w:rsidP="00670BAD">
            <w:pPr>
              <w:suppressAutoHyphens/>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Assumption</w:t>
            </w:r>
          </w:p>
        </w:tc>
      </w:tr>
    </w:tbl>
    <w:p w14:paraId="606FF1D3" w14:textId="720C518D" w:rsidR="00EC4AE5" w:rsidRPr="00D44EE6" w:rsidRDefault="00045AC5" w:rsidP="00EC4AE5">
      <w:pPr>
        <w:rPr>
          <w:rFonts w:ascii="Arial" w:hAnsi="Arial" w:cs="Arial"/>
          <w:sz w:val="18"/>
          <w:szCs w:val="18"/>
          <w:lang w:val="fr-FR"/>
        </w:rPr>
      </w:pPr>
      <w:r w:rsidRPr="00D44EE6">
        <w:rPr>
          <w:rFonts w:ascii="Arial" w:hAnsi="Arial" w:cs="Arial"/>
          <w:i/>
          <w:iCs/>
          <w:sz w:val="18"/>
          <w:szCs w:val="18"/>
          <w:lang w:val="fr-FR"/>
        </w:rPr>
        <w:t xml:space="preserve">AE </w:t>
      </w:r>
      <w:r w:rsidRPr="00D44EE6">
        <w:rPr>
          <w:rFonts w:ascii="Arial" w:hAnsi="Arial" w:cs="Arial"/>
          <w:sz w:val="18"/>
          <w:szCs w:val="18"/>
          <w:lang w:val="fr-FR"/>
        </w:rPr>
        <w:t xml:space="preserve">adverse event, </w:t>
      </w:r>
      <w:r w:rsidR="006B60B2" w:rsidRPr="00D44EE6">
        <w:rPr>
          <w:rFonts w:ascii="Arial" w:hAnsi="Arial" w:cs="Arial"/>
          <w:i/>
          <w:iCs/>
          <w:sz w:val="18"/>
          <w:szCs w:val="18"/>
          <w:lang w:val="fr-FR"/>
        </w:rPr>
        <w:t>ALAT</w:t>
      </w:r>
      <w:r w:rsidR="006B60B2" w:rsidRPr="00D44EE6">
        <w:rPr>
          <w:rFonts w:ascii="Arial" w:hAnsi="Arial" w:cs="Arial"/>
          <w:sz w:val="18"/>
          <w:szCs w:val="18"/>
          <w:lang w:val="fr-FR"/>
        </w:rPr>
        <w:t xml:space="preserve"> </w:t>
      </w:r>
      <w:r w:rsidR="00863AE6" w:rsidRPr="00D44EE6">
        <w:rPr>
          <w:rFonts w:ascii="Arial" w:hAnsi="Arial" w:cs="Arial"/>
          <w:sz w:val="18"/>
          <w:szCs w:val="18"/>
          <w:lang w:val="fr-FR"/>
        </w:rPr>
        <w:t>a</w:t>
      </w:r>
      <w:r w:rsidR="006B60B2" w:rsidRPr="00D44EE6">
        <w:rPr>
          <w:rFonts w:ascii="Arial" w:hAnsi="Arial" w:cs="Arial"/>
          <w:sz w:val="18"/>
          <w:szCs w:val="18"/>
          <w:lang w:val="fr-FR"/>
        </w:rPr>
        <w:t>lanine aminotransferase</w:t>
      </w:r>
      <w:r w:rsidR="00600C2D" w:rsidRPr="00D44EE6">
        <w:rPr>
          <w:rFonts w:ascii="Arial" w:hAnsi="Arial" w:cs="Arial"/>
          <w:sz w:val="18"/>
          <w:szCs w:val="18"/>
          <w:lang w:val="fr-FR"/>
        </w:rPr>
        <w:t>,</w:t>
      </w:r>
      <w:r w:rsidR="006B60B2" w:rsidRPr="00D44EE6">
        <w:rPr>
          <w:rFonts w:ascii="Arial" w:hAnsi="Arial" w:cs="Arial"/>
          <w:sz w:val="18"/>
          <w:szCs w:val="18"/>
          <w:lang w:val="fr-FR"/>
        </w:rPr>
        <w:t xml:space="preserve"> </w:t>
      </w:r>
      <w:r w:rsidR="006B60B2" w:rsidRPr="00D44EE6">
        <w:rPr>
          <w:rFonts w:ascii="Arial" w:hAnsi="Arial" w:cs="Arial"/>
          <w:i/>
          <w:iCs/>
          <w:sz w:val="18"/>
          <w:szCs w:val="18"/>
          <w:lang w:val="fr-FR"/>
        </w:rPr>
        <w:t>ASAT</w:t>
      </w:r>
      <w:r w:rsidR="006B60B2" w:rsidRPr="00D44EE6">
        <w:rPr>
          <w:rFonts w:ascii="Arial" w:hAnsi="Arial" w:cs="Arial"/>
          <w:sz w:val="18"/>
          <w:szCs w:val="18"/>
          <w:lang w:val="fr-FR"/>
        </w:rPr>
        <w:t xml:space="preserve"> </w:t>
      </w:r>
      <w:r w:rsidR="00863AE6" w:rsidRPr="00D44EE6">
        <w:rPr>
          <w:rFonts w:ascii="Arial" w:hAnsi="Arial" w:cs="Arial"/>
          <w:sz w:val="18"/>
          <w:szCs w:val="18"/>
          <w:lang w:val="fr-FR"/>
        </w:rPr>
        <w:t>a</w:t>
      </w:r>
      <w:r w:rsidR="006B60B2" w:rsidRPr="00D44EE6">
        <w:rPr>
          <w:rFonts w:ascii="Arial" w:hAnsi="Arial" w:cs="Arial"/>
          <w:sz w:val="18"/>
          <w:szCs w:val="18"/>
          <w:lang w:val="fr-FR"/>
        </w:rPr>
        <w:t>spartate aminotransferase</w:t>
      </w:r>
      <w:r w:rsidR="00600C2D" w:rsidRPr="00D44EE6">
        <w:rPr>
          <w:rFonts w:ascii="Arial" w:hAnsi="Arial" w:cs="Arial"/>
          <w:sz w:val="18"/>
          <w:szCs w:val="18"/>
          <w:lang w:val="fr-FR"/>
        </w:rPr>
        <w:t>,</w:t>
      </w:r>
      <w:r w:rsidR="006B60B2" w:rsidRPr="00D44EE6">
        <w:rPr>
          <w:rFonts w:ascii="Arial" w:hAnsi="Arial" w:cs="Arial"/>
          <w:sz w:val="18"/>
          <w:szCs w:val="18"/>
          <w:lang w:val="fr-FR"/>
        </w:rPr>
        <w:t xml:space="preserve"> </w:t>
      </w:r>
      <w:r w:rsidR="006B60B2" w:rsidRPr="00D44EE6">
        <w:rPr>
          <w:rFonts w:ascii="Arial" w:hAnsi="Arial" w:cs="Arial"/>
          <w:i/>
          <w:iCs/>
          <w:sz w:val="18"/>
          <w:szCs w:val="18"/>
          <w:lang w:val="fr-FR"/>
        </w:rPr>
        <w:t xml:space="preserve">HAS </w:t>
      </w:r>
      <w:r w:rsidR="004654BF" w:rsidRPr="00D44EE6">
        <w:rPr>
          <w:rFonts w:ascii="Arial" w:hAnsi="Arial" w:cs="Arial"/>
          <w:i/>
          <w:sz w:val="18"/>
          <w:szCs w:val="18"/>
          <w:lang w:val="fr-FR"/>
        </w:rPr>
        <w:t>Haute Autorité de Santé</w:t>
      </w:r>
    </w:p>
    <w:p w14:paraId="419D0AF6" w14:textId="77777777" w:rsidR="00EC4AE5" w:rsidRPr="00D44EE6" w:rsidRDefault="00EC4AE5" w:rsidP="00EC4AE5">
      <w:pPr>
        <w:rPr>
          <w:rFonts w:ascii="Arial" w:hAnsi="Arial" w:cs="Arial"/>
          <w:lang w:val="fr-FR"/>
        </w:rPr>
      </w:pPr>
      <w:r w:rsidRPr="00D44EE6">
        <w:rPr>
          <w:rFonts w:ascii="Arial" w:hAnsi="Arial" w:cs="Arial"/>
          <w:lang w:val="fr-FR"/>
        </w:rPr>
        <w:br w:type="page"/>
      </w:r>
    </w:p>
    <w:p w14:paraId="27D59D9F" w14:textId="0DD7F68A" w:rsidR="00BA2539" w:rsidRPr="00D44EE6" w:rsidRDefault="00BA2539" w:rsidP="00BA2539">
      <w:pPr>
        <w:pStyle w:val="Caption"/>
        <w:rPr>
          <w:rFonts w:ascii="Arial" w:hAnsi="Arial" w:cs="Arial"/>
          <w:b/>
          <w:i w:val="0"/>
          <w:color w:val="auto"/>
          <w:sz w:val="22"/>
          <w:szCs w:val="22"/>
          <w:lang w:val="en-GB"/>
        </w:rPr>
      </w:pPr>
      <w:r w:rsidRPr="00D44EE6">
        <w:rPr>
          <w:rFonts w:ascii="Arial" w:hAnsi="Arial" w:cs="Arial"/>
          <w:b/>
          <w:i w:val="0"/>
          <w:color w:val="auto"/>
          <w:sz w:val="22"/>
          <w:szCs w:val="22"/>
          <w:lang w:val="en-GB"/>
        </w:rPr>
        <w:t xml:space="preserve">Table 3 </w:t>
      </w:r>
      <w:r w:rsidRPr="00D44EE6">
        <w:rPr>
          <w:rFonts w:ascii="Arial" w:hAnsi="Arial" w:cs="Arial"/>
          <w:bCs/>
          <w:i w:val="0"/>
          <w:color w:val="auto"/>
          <w:sz w:val="22"/>
          <w:szCs w:val="22"/>
          <w:lang w:val="en-GB"/>
        </w:rPr>
        <w:t>Posology and public price of comparators used as adjuvant therapy</w:t>
      </w:r>
    </w:p>
    <w:tbl>
      <w:tblPr>
        <w:tblStyle w:val="TableGrid"/>
        <w:tblW w:w="99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559"/>
        <w:gridCol w:w="1985"/>
        <w:gridCol w:w="1413"/>
        <w:gridCol w:w="1559"/>
        <w:gridCol w:w="1417"/>
        <w:gridCol w:w="2037"/>
      </w:tblGrid>
      <w:tr w:rsidR="00D44EE6" w:rsidRPr="00D44EE6" w14:paraId="2CFFA13A" w14:textId="77777777" w:rsidTr="00D72094">
        <w:trPr>
          <w:cnfStyle w:val="100000000000" w:firstRow="1" w:lastRow="0" w:firstColumn="0" w:lastColumn="0" w:oddVBand="0" w:evenVBand="0" w:oddHBand="0" w:evenHBand="0" w:firstRowFirstColumn="0" w:firstRowLastColumn="0" w:lastRowFirstColumn="0" w:lastRowLastColumn="0"/>
          <w:trHeight w:val="637"/>
        </w:trPr>
        <w:tc>
          <w:tcPr>
            <w:tcW w:w="1559" w:type="dxa"/>
            <w:tcBorders>
              <w:top w:val="single" w:sz="4" w:space="0" w:color="auto"/>
              <w:bottom w:val="single" w:sz="4" w:space="0" w:color="auto"/>
            </w:tcBorders>
          </w:tcPr>
          <w:p w14:paraId="490C9987" w14:textId="77777777" w:rsidR="00BA2539" w:rsidRPr="00D44EE6" w:rsidRDefault="00BA2539" w:rsidP="00575FD6">
            <w:pPr>
              <w:pStyle w:val="TableParagraph"/>
              <w:ind w:right="101"/>
              <w:rPr>
                <w:rFonts w:ascii="Arial" w:hAnsi="Arial" w:cs="Arial"/>
                <w:b/>
                <w:bCs/>
                <w:sz w:val="18"/>
                <w:szCs w:val="18"/>
                <w:lang w:val="en-GB"/>
              </w:rPr>
            </w:pPr>
            <w:r w:rsidRPr="00D44EE6">
              <w:rPr>
                <w:rFonts w:ascii="Arial" w:hAnsi="Arial" w:cs="Arial"/>
                <w:b/>
                <w:bCs/>
                <w:sz w:val="18"/>
                <w:szCs w:val="18"/>
                <w:bdr w:val="nil"/>
                <w:lang w:val="en-GB" w:bidi="en-US"/>
              </w:rPr>
              <w:t>Treatment</w:t>
            </w:r>
          </w:p>
        </w:tc>
        <w:tc>
          <w:tcPr>
            <w:tcW w:w="1985" w:type="dxa"/>
            <w:tcBorders>
              <w:top w:val="single" w:sz="4" w:space="0" w:color="auto"/>
              <w:bottom w:val="single" w:sz="4" w:space="0" w:color="auto"/>
            </w:tcBorders>
          </w:tcPr>
          <w:p w14:paraId="036AB5CD" w14:textId="77777777" w:rsidR="00BA2539" w:rsidRPr="00D44EE6" w:rsidRDefault="00BA2539" w:rsidP="00575FD6">
            <w:pPr>
              <w:pStyle w:val="TableParagraph"/>
              <w:ind w:right="72"/>
              <w:rPr>
                <w:rFonts w:ascii="Arial" w:hAnsi="Arial" w:cs="Arial"/>
                <w:b/>
                <w:bCs/>
                <w:sz w:val="18"/>
                <w:szCs w:val="18"/>
                <w:lang w:val="en-GB" w:bidi="en-US"/>
              </w:rPr>
            </w:pPr>
            <w:r w:rsidRPr="00D44EE6">
              <w:rPr>
                <w:rFonts w:ascii="Arial" w:hAnsi="Arial" w:cs="Arial"/>
                <w:b/>
                <w:bCs/>
                <w:sz w:val="18"/>
                <w:szCs w:val="18"/>
                <w:bdr w:val="nil"/>
                <w:lang w:val="en-GB" w:bidi="en-US"/>
              </w:rPr>
              <w:t>Posology</w:t>
            </w:r>
          </w:p>
        </w:tc>
        <w:tc>
          <w:tcPr>
            <w:tcW w:w="1413" w:type="dxa"/>
            <w:tcBorders>
              <w:top w:val="single" w:sz="4" w:space="0" w:color="auto"/>
              <w:bottom w:val="single" w:sz="4" w:space="0" w:color="auto"/>
            </w:tcBorders>
          </w:tcPr>
          <w:p w14:paraId="2FCD2036" w14:textId="77777777" w:rsidR="00BA2539" w:rsidRPr="00D44EE6" w:rsidRDefault="00BA2539" w:rsidP="00575FD6">
            <w:pPr>
              <w:pStyle w:val="TableParagraph"/>
              <w:ind w:right="72"/>
              <w:rPr>
                <w:rFonts w:ascii="Arial" w:hAnsi="Arial" w:cs="Arial"/>
                <w:b/>
                <w:bCs/>
                <w:sz w:val="18"/>
                <w:szCs w:val="18"/>
                <w:lang w:val="en-GB" w:bidi="en-US"/>
              </w:rPr>
            </w:pPr>
            <w:r w:rsidRPr="00D44EE6">
              <w:rPr>
                <w:rFonts w:ascii="Arial" w:hAnsi="Arial" w:cs="Arial"/>
                <w:b/>
                <w:bCs/>
                <w:sz w:val="18"/>
                <w:szCs w:val="18"/>
                <w:bdr w:val="nil"/>
                <w:lang w:val="en-GB" w:bidi="en-US"/>
              </w:rPr>
              <w:t>Bottle size</w:t>
            </w:r>
          </w:p>
        </w:tc>
        <w:tc>
          <w:tcPr>
            <w:tcW w:w="1559" w:type="dxa"/>
            <w:tcBorders>
              <w:top w:val="single" w:sz="4" w:space="0" w:color="auto"/>
              <w:bottom w:val="single" w:sz="4" w:space="0" w:color="auto"/>
            </w:tcBorders>
          </w:tcPr>
          <w:p w14:paraId="6B598DEF" w14:textId="77777777" w:rsidR="00BA2539" w:rsidRPr="00D44EE6" w:rsidRDefault="00BA2539" w:rsidP="00575FD6">
            <w:pPr>
              <w:pStyle w:val="TableParagraph"/>
              <w:ind w:right="72"/>
              <w:rPr>
                <w:rFonts w:ascii="Arial" w:hAnsi="Arial" w:cs="Arial"/>
                <w:b/>
                <w:bCs/>
                <w:sz w:val="18"/>
                <w:szCs w:val="18"/>
                <w:bdr w:val="nil"/>
                <w:lang w:val="en-GB" w:bidi="en-US"/>
              </w:rPr>
            </w:pPr>
            <w:r w:rsidRPr="00D44EE6">
              <w:rPr>
                <w:rFonts w:ascii="Arial" w:hAnsi="Arial" w:cs="Arial"/>
                <w:b/>
                <w:bCs/>
                <w:sz w:val="18"/>
                <w:szCs w:val="18"/>
                <w:bdr w:val="nil"/>
                <w:lang w:val="en-GB" w:bidi="en-US"/>
              </w:rPr>
              <w:t>Cost per bottle (</w:t>
            </w:r>
            <w:r w:rsidRPr="00D44EE6">
              <w:rPr>
                <w:rFonts w:ascii="Arial" w:hAnsi="Arial" w:cs="Arial"/>
                <w:b/>
                <w:bCs/>
                <w:sz w:val="18"/>
                <w:szCs w:val="18"/>
                <w:bdr w:val="nil"/>
                <w:lang w:val="en-GB"/>
              </w:rPr>
              <w:t>€)</w:t>
            </w:r>
            <w:r w:rsidRPr="00D44EE6">
              <w:rPr>
                <w:rFonts w:ascii="Arial" w:hAnsi="Arial" w:cs="Arial"/>
                <w:b/>
                <w:bCs/>
                <w:sz w:val="18"/>
                <w:szCs w:val="18"/>
                <w:bdr w:val="nil"/>
                <w:lang w:val="en-GB" w:bidi="en-US"/>
              </w:rPr>
              <w:t xml:space="preserve"> </w:t>
            </w:r>
          </w:p>
        </w:tc>
        <w:tc>
          <w:tcPr>
            <w:tcW w:w="1417" w:type="dxa"/>
            <w:tcBorders>
              <w:top w:val="single" w:sz="4" w:space="0" w:color="auto"/>
              <w:bottom w:val="single" w:sz="4" w:space="0" w:color="auto"/>
            </w:tcBorders>
          </w:tcPr>
          <w:p w14:paraId="65A6ED41" w14:textId="77777777" w:rsidR="00BA2539" w:rsidRPr="00D44EE6" w:rsidRDefault="00BA2539" w:rsidP="00575FD6">
            <w:pPr>
              <w:pStyle w:val="TableParagraph"/>
              <w:ind w:right="72"/>
              <w:rPr>
                <w:rFonts w:ascii="Arial" w:hAnsi="Arial" w:cs="Arial"/>
                <w:b/>
                <w:bCs/>
                <w:sz w:val="18"/>
                <w:szCs w:val="18"/>
                <w:bdr w:val="nil"/>
                <w:lang w:val="en-GB" w:bidi="en-US"/>
              </w:rPr>
            </w:pPr>
            <w:r w:rsidRPr="00D44EE6">
              <w:rPr>
                <w:rFonts w:ascii="Arial" w:hAnsi="Arial" w:cs="Arial"/>
                <w:b/>
                <w:bCs/>
                <w:sz w:val="18"/>
                <w:szCs w:val="18"/>
                <w:bdr w:val="nil"/>
                <w:lang w:val="en-GB" w:bidi="en-US"/>
              </w:rPr>
              <w:t>Cost per dose (</w:t>
            </w:r>
            <w:r w:rsidRPr="00D44EE6">
              <w:rPr>
                <w:rFonts w:ascii="Arial" w:hAnsi="Arial" w:cs="Arial"/>
                <w:b/>
                <w:bCs/>
                <w:sz w:val="18"/>
                <w:szCs w:val="18"/>
                <w:bdr w:val="nil"/>
                <w:lang w:val="en-GB"/>
              </w:rPr>
              <w:t>€)</w:t>
            </w:r>
          </w:p>
        </w:tc>
        <w:tc>
          <w:tcPr>
            <w:tcW w:w="2037" w:type="dxa"/>
            <w:tcBorders>
              <w:top w:val="single" w:sz="4" w:space="0" w:color="auto"/>
              <w:bottom w:val="single" w:sz="4" w:space="0" w:color="auto"/>
            </w:tcBorders>
          </w:tcPr>
          <w:p w14:paraId="4FE8B1F3" w14:textId="77777777" w:rsidR="00BA2539" w:rsidRPr="00D44EE6" w:rsidRDefault="00BA2539" w:rsidP="00575FD6">
            <w:pPr>
              <w:pStyle w:val="TableParagraph"/>
              <w:ind w:right="72"/>
              <w:rPr>
                <w:rFonts w:ascii="Arial" w:hAnsi="Arial" w:cs="Arial"/>
                <w:b/>
                <w:bCs/>
                <w:sz w:val="18"/>
                <w:szCs w:val="18"/>
                <w:bdr w:val="nil"/>
                <w:lang w:val="en-GB" w:bidi="en-US"/>
              </w:rPr>
            </w:pPr>
            <w:r w:rsidRPr="00D44EE6">
              <w:rPr>
                <w:rFonts w:ascii="Arial" w:hAnsi="Arial" w:cs="Arial"/>
                <w:b/>
                <w:bCs/>
                <w:sz w:val="18"/>
                <w:szCs w:val="18"/>
                <w:bdr w:val="nil"/>
                <w:lang w:val="en-GB" w:bidi="en-US"/>
              </w:rPr>
              <w:t>Source</w:t>
            </w:r>
          </w:p>
        </w:tc>
      </w:tr>
      <w:tr w:rsidR="00D44EE6" w:rsidRPr="00D44EE6" w14:paraId="580F31E6" w14:textId="77777777" w:rsidTr="00D72094">
        <w:trPr>
          <w:trHeight w:val="738"/>
        </w:trPr>
        <w:tc>
          <w:tcPr>
            <w:tcW w:w="1559" w:type="dxa"/>
            <w:tcBorders>
              <w:top w:val="single" w:sz="4" w:space="0" w:color="auto"/>
            </w:tcBorders>
          </w:tcPr>
          <w:p w14:paraId="65D901C3" w14:textId="77777777" w:rsidR="00BA2539" w:rsidRPr="00D44EE6" w:rsidRDefault="00BA2539" w:rsidP="00D72094">
            <w:pPr>
              <w:spacing w:line="240" w:lineRule="auto"/>
              <w:rPr>
                <w:rFonts w:ascii="Arial" w:hAnsi="Arial" w:cs="Arial"/>
                <w:sz w:val="18"/>
                <w:szCs w:val="18"/>
                <w:lang w:val="en-GB"/>
              </w:rPr>
            </w:pPr>
            <w:r w:rsidRPr="00D44EE6">
              <w:rPr>
                <w:rFonts w:ascii="Arial" w:hAnsi="Arial" w:cs="Arial"/>
                <w:sz w:val="18"/>
                <w:szCs w:val="18"/>
                <w:bdr w:val="nil"/>
                <w:lang w:val="en-GB"/>
              </w:rPr>
              <w:t>Nivolumab</w:t>
            </w:r>
          </w:p>
        </w:tc>
        <w:tc>
          <w:tcPr>
            <w:tcW w:w="1985" w:type="dxa"/>
            <w:tcBorders>
              <w:top w:val="single" w:sz="4" w:space="0" w:color="auto"/>
            </w:tcBorders>
          </w:tcPr>
          <w:p w14:paraId="512591EC" w14:textId="77777777" w:rsidR="00BA2539" w:rsidRPr="00D44EE6" w:rsidRDefault="00BA2539" w:rsidP="00D72094">
            <w:pPr>
              <w:spacing w:line="240" w:lineRule="auto"/>
              <w:rPr>
                <w:rFonts w:ascii="Arial" w:hAnsi="Arial" w:cs="Arial"/>
                <w:sz w:val="18"/>
                <w:szCs w:val="18"/>
                <w:lang w:val="en-GB"/>
              </w:rPr>
            </w:pPr>
            <w:r w:rsidRPr="00D44EE6">
              <w:rPr>
                <w:rFonts w:ascii="Arial" w:hAnsi="Arial" w:cs="Arial"/>
                <w:sz w:val="18"/>
                <w:szCs w:val="18"/>
                <w:bdr w:val="nil"/>
                <w:lang w:val="en-GB"/>
              </w:rPr>
              <w:t>240 mg (fixed dose)</w:t>
            </w:r>
          </w:p>
        </w:tc>
        <w:tc>
          <w:tcPr>
            <w:tcW w:w="1413" w:type="dxa"/>
            <w:tcBorders>
              <w:top w:val="single" w:sz="4" w:space="0" w:color="auto"/>
            </w:tcBorders>
          </w:tcPr>
          <w:p w14:paraId="295BDCC8" w14:textId="4C77274C" w:rsidR="00BA2539" w:rsidRPr="00D44EE6" w:rsidRDefault="00BA2539" w:rsidP="00D72094">
            <w:pPr>
              <w:spacing w:line="240" w:lineRule="auto"/>
              <w:rPr>
                <w:rFonts w:ascii="Arial" w:hAnsi="Arial" w:cs="Arial"/>
                <w:sz w:val="18"/>
                <w:szCs w:val="18"/>
                <w:lang w:val="en-GB"/>
              </w:rPr>
            </w:pPr>
            <w:r w:rsidRPr="00D44EE6">
              <w:rPr>
                <w:rFonts w:ascii="Arial" w:hAnsi="Arial" w:cs="Arial"/>
                <w:sz w:val="18"/>
                <w:szCs w:val="18"/>
                <w:bdr w:val="nil"/>
                <w:lang w:val="en-GB"/>
              </w:rPr>
              <w:t>10</w:t>
            </w:r>
            <w:r w:rsidR="008178C1" w:rsidRPr="00D44EE6">
              <w:rPr>
                <w:rFonts w:ascii="Arial" w:hAnsi="Arial" w:cs="Arial"/>
                <w:sz w:val="18"/>
                <w:szCs w:val="18"/>
                <w:bdr w:val="nil"/>
                <w:lang w:val="en-GB"/>
              </w:rPr>
              <w:t xml:space="preserve"> </w:t>
            </w:r>
            <w:r w:rsidRPr="00D44EE6">
              <w:rPr>
                <w:rFonts w:ascii="Arial" w:hAnsi="Arial" w:cs="Arial"/>
                <w:sz w:val="18"/>
                <w:szCs w:val="18"/>
                <w:bdr w:val="nil"/>
                <w:lang w:val="en-GB"/>
              </w:rPr>
              <w:t>mg/ml in 24 ml bottle</w:t>
            </w:r>
          </w:p>
        </w:tc>
        <w:tc>
          <w:tcPr>
            <w:tcW w:w="1559" w:type="dxa"/>
            <w:tcBorders>
              <w:top w:val="single" w:sz="4" w:space="0" w:color="auto"/>
            </w:tcBorders>
          </w:tcPr>
          <w:p w14:paraId="4431BA86" w14:textId="77777777" w:rsidR="00BA2539" w:rsidRPr="00D44EE6" w:rsidRDefault="00BA2539" w:rsidP="00D72094">
            <w:pPr>
              <w:spacing w:line="240" w:lineRule="auto"/>
              <w:rPr>
                <w:rFonts w:ascii="Arial" w:hAnsi="Arial" w:cs="Arial"/>
                <w:sz w:val="18"/>
                <w:szCs w:val="18"/>
                <w:bdr w:val="nil"/>
                <w:lang w:val="en-GB"/>
              </w:rPr>
            </w:pPr>
          </w:p>
          <w:p w14:paraId="42CD86AA" w14:textId="6EBFE2DB" w:rsidR="00BA2539" w:rsidRPr="00D44EE6" w:rsidRDefault="00BA2539" w:rsidP="00D72094">
            <w:pPr>
              <w:spacing w:line="240" w:lineRule="auto"/>
              <w:rPr>
                <w:rFonts w:ascii="Arial" w:hAnsi="Arial" w:cs="Arial"/>
                <w:sz w:val="18"/>
                <w:szCs w:val="18"/>
                <w:highlight w:val="yellow"/>
                <w:lang w:val="en-GB"/>
              </w:rPr>
            </w:pPr>
            <w:r w:rsidRPr="00D44EE6">
              <w:rPr>
                <w:rFonts w:ascii="Arial" w:hAnsi="Arial" w:cs="Arial"/>
                <w:sz w:val="18"/>
                <w:szCs w:val="18"/>
                <w:bdr w:val="nil"/>
                <w:lang w:val="en-GB"/>
              </w:rPr>
              <w:t>2481.18</w:t>
            </w:r>
          </w:p>
          <w:p w14:paraId="61B3F562" w14:textId="77777777" w:rsidR="00BA2539" w:rsidRPr="00D44EE6" w:rsidRDefault="00BA2539" w:rsidP="00D72094">
            <w:pPr>
              <w:spacing w:line="240" w:lineRule="auto"/>
              <w:rPr>
                <w:rFonts w:ascii="Arial" w:hAnsi="Arial" w:cs="Arial"/>
                <w:sz w:val="18"/>
                <w:szCs w:val="18"/>
                <w:highlight w:val="yellow"/>
                <w:lang w:val="en-GB"/>
              </w:rPr>
            </w:pPr>
          </w:p>
        </w:tc>
        <w:tc>
          <w:tcPr>
            <w:tcW w:w="1417" w:type="dxa"/>
            <w:tcBorders>
              <w:top w:val="single" w:sz="4" w:space="0" w:color="auto"/>
            </w:tcBorders>
          </w:tcPr>
          <w:p w14:paraId="4FD99155" w14:textId="77777777" w:rsidR="00BA2539" w:rsidRPr="00D44EE6" w:rsidRDefault="00BA2539" w:rsidP="00D72094">
            <w:pPr>
              <w:spacing w:line="240" w:lineRule="auto"/>
              <w:rPr>
                <w:rFonts w:ascii="Arial" w:hAnsi="Arial" w:cs="Arial"/>
                <w:sz w:val="18"/>
                <w:szCs w:val="18"/>
                <w:lang w:val="en-GB"/>
              </w:rPr>
            </w:pPr>
          </w:p>
          <w:p w14:paraId="68A956D3" w14:textId="116994DF" w:rsidR="00BA2539" w:rsidRPr="00D44EE6" w:rsidRDefault="00BA2539" w:rsidP="00D72094">
            <w:pPr>
              <w:spacing w:line="240" w:lineRule="auto"/>
              <w:rPr>
                <w:rFonts w:ascii="Arial" w:hAnsi="Arial" w:cs="Arial"/>
                <w:sz w:val="18"/>
                <w:szCs w:val="18"/>
                <w:lang w:val="en-GB"/>
              </w:rPr>
            </w:pPr>
            <w:r w:rsidRPr="00D44EE6">
              <w:rPr>
                <w:rFonts w:ascii="Arial" w:hAnsi="Arial" w:cs="Arial"/>
                <w:sz w:val="18"/>
                <w:szCs w:val="18"/>
                <w:lang w:val="en-GB"/>
              </w:rPr>
              <w:t>2481.18</w:t>
            </w:r>
          </w:p>
          <w:p w14:paraId="4374BA8A" w14:textId="77777777" w:rsidR="00BA2539" w:rsidRPr="00D44EE6" w:rsidRDefault="00BA2539" w:rsidP="00D72094">
            <w:pPr>
              <w:spacing w:line="240" w:lineRule="auto"/>
              <w:rPr>
                <w:rFonts w:ascii="Arial" w:hAnsi="Arial" w:cs="Arial"/>
                <w:sz w:val="18"/>
                <w:szCs w:val="18"/>
                <w:lang w:val="en-GB"/>
              </w:rPr>
            </w:pPr>
          </w:p>
        </w:tc>
        <w:tc>
          <w:tcPr>
            <w:tcW w:w="2037" w:type="dxa"/>
            <w:tcBorders>
              <w:top w:val="single" w:sz="4" w:space="0" w:color="auto"/>
            </w:tcBorders>
          </w:tcPr>
          <w:p w14:paraId="70250A76" w14:textId="77777777" w:rsidR="00BA2539" w:rsidRPr="00D44EE6" w:rsidRDefault="00BA2539" w:rsidP="00D72094">
            <w:pPr>
              <w:spacing w:line="240" w:lineRule="auto"/>
              <w:rPr>
                <w:rFonts w:ascii="Arial" w:hAnsi="Arial" w:cs="Arial"/>
                <w:sz w:val="18"/>
                <w:szCs w:val="18"/>
                <w:lang w:val="en-GB"/>
              </w:rPr>
            </w:pPr>
            <w:r w:rsidRPr="00D44EE6">
              <w:rPr>
                <w:rFonts w:ascii="Arial" w:hAnsi="Arial" w:cs="Arial"/>
                <w:sz w:val="18"/>
                <w:szCs w:val="18"/>
                <w:lang w:val="en-GB"/>
              </w:rPr>
              <w:t>Official Journal of the French Republic, 30</w:t>
            </w:r>
            <w:r w:rsidRPr="00D44EE6">
              <w:rPr>
                <w:rFonts w:ascii="Arial" w:hAnsi="Arial" w:cs="Arial"/>
                <w:sz w:val="18"/>
                <w:szCs w:val="18"/>
                <w:vertAlign w:val="superscript"/>
                <w:lang w:val="en-GB"/>
              </w:rPr>
              <w:t>th</w:t>
            </w:r>
            <w:r w:rsidRPr="00D44EE6">
              <w:rPr>
                <w:rFonts w:ascii="Arial" w:hAnsi="Arial" w:cs="Arial"/>
                <w:sz w:val="18"/>
                <w:szCs w:val="18"/>
                <w:lang w:val="en-GB"/>
              </w:rPr>
              <w:t xml:space="preserve"> April 2019</w:t>
            </w:r>
          </w:p>
        </w:tc>
      </w:tr>
      <w:tr w:rsidR="00D44EE6" w:rsidRPr="00D44EE6" w14:paraId="7C5FA2E5" w14:textId="77777777" w:rsidTr="00D72094">
        <w:trPr>
          <w:trHeight w:val="637"/>
        </w:trPr>
        <w:tc>
          <w:tcPr>
            <w:tcW w:w="1559" w:type="dxa"/>
          </w:tcPr>
          <w:p w14:paraId="59FA2716" w14:textId="2F516077" w:rsidR="00BA2539" w:rsidRPr="00D44EE6" w:rsidRDefault="00BA2539" w:rsidP="00D72094">
            <w:pPr>
              <w:spacing w:line="240" w:lineRule="auto"/>
              <w:rPr>
                <w:rFonts w:ascii="Arial" w:hAnsi="Arial" w:cs="Arial"/>
                <w:sz w:val="18"/>
                <w:szCs w:val="18"/>
                <w:bdr w:val="nil"/>
                <w:lang w:val="en-GB"/>
              </w:rPr>
            </w:pPr>
            <w:r w:rsidRPr="00D44EE6">
              <w:rPr>
                <w:rFonts w:ascii="Arial" w:hAnsi="Arial" w:cs="Arial"/>
                <w:sz w:val="18"/>
                <w:szCs w:val="18"/>
                <w:lang w:val="en-GB"/>
              </w:rPr>
              <w:t>Interferon alpha -2a, low dose</w:t>
            </w:r>
          </w:p>
        </w:tc>
        <w:tc>
          <w:tcPr>
            <w:tcW w:w="1985" w:type="dxa"/>
          </w:tcPr>
          <w:p w14:paraId="6CBA4B5C" w14:textId="77777777" w:rsidR="00BA2539" w:rsidRPr="00D44EE6" w:rsidRDefault="00BA2539" w:rsidP="00D72094">
            <w:pPr>
              <w:spacing w:line="240" w:lineRule="auto"/>
              <w:ind w:right="138"/>
              <w:rPr>
                <w:rFonts w:ascii="Arial" w:hAnsi="Arial" w:cs="Arial"/>
                <w:sz w:val="18"/>
                <w:szCs w:val="18"/>
                <w:lang w:val="en-GB"/>
              </w:rPr>
            </w:pPr>
            <w:r w:rsidRPr="00D44EE6">
              <w:rPr>
                <w:rFonts w:ascii="Arial" w:hAnsi="Arial" w:cs="Arial"/>
                <w:sz w:val="18"/>
                <w:szCs w:val="18"/>
                <w:lang w:val="en-GB"/>
              </w:rPr>
              <w:t>3 MIU sub-cutaneous for 18 months starting 6 weeks after surgery at the latest</w:t>
            </w:r>
          </w:p>
        </w:tc>
        <w:tc>
          <w:tcPr>
            <w:tcW w:w="1413" w:type="dxa"/>
          </w:tcPr>
          <w:p w14:paraId="47A2132B" w14:textId="44BF539E" w:rsidR="00BA2539" w:rsidRPr="00D44EE6" w:rsidRDefault="00BA2539" w:rsidP="00D72094">
            <w:pPr>
              <w:spacing w:line="240" w:lineRule="auto"/>
              <w:rPr>
                <w:rFonts w:ascii="Arial" w:hAnsi="Arial" w:cs="Arial"/>
                <w:sz w:val="18"/>
                <w:szCs w:val="18"/>
                <w:bdr w:val="nil"/>
                <w:lang w:val="en-GB"/>
              </w:rPr>
            </w:pPr>
            <w:r w:rsidRPr="00D44EE6">
              <w:rPr>
                <w:rFonts w:ascii="Arial" w:hAnsi="Arial" w:cs="Arial"/>
                <w:sz w:val="18"/>
                <w:szCs w:val="18"/>
                <w:bdr w:val="nil"/>
                <w:lang w:val="en-GB"/>
              </w:rPr>
              <w:t>3</w:t>
            </w:r>
            <w:r w:rsidR="008178C1" w:rsidRPr="00D44EE6">
              <w:rPr>
                <w:rFonts w:ascii="Arial" w:hAnsi="Arial" w:cs="Arial"/>
                <w:sz w:val="18"/>
                <w:szCs w:val="18"/>
                <w:bdr w:val="nil"/>
                <w:lang w:val="en-GB"/>
              </w:rPr>
              <w:t xml:space="preserve"> </w:t>
            </w:r>
            <w:r w:rsidR="007C5950" w:rsidRPr="00D44EE6">
              <w:rPr>
                <w:rFonts w:ascii="Arial" w:hAnsi="Arial" w:cs="Arial"/>
                <w:sz w:val="18"/>
                <w:szCs w:val="18"/>
                <w:bdr w:val="nil"/>
                <w:lang w:val="en-GB"/>
              </w:rPr>
              <w:t>M</w:t>
            </w:r>
            <w:r w:rsidRPr="00D44EE6">
              <w:rPr>
                <w:rFonts w:ascii="Arial" w:hAnsi="Arial" w:cs="Arial"/>
                <w:sz w:val="18"/>
                <w:szCs w:val="18"/>
                <w:bdr w:val="nil"/>
                <w:lang w:val="en-GB"/>
              </w:rPr>
              <w:t>I</w:t>
            </w:r>
            <w:r w:rsidR="007C5950" w:rsidRPr="00D44EE6">
              <w:rPr>
                <w:rFonts w:ascii="Arial" w:hAnsi="Arial" w:cs="Arial"/>
                <w:sz w:val="18"/>
                <w:szCs w:val="18"/>
                <w:bdr w:val="nil"/>
                <w:lang w:val="en-GB"/>
              </w:rPr>
              <w:t>U</w:t>
            </w:r>
            <w:r w:rsidRPr="00D44EE6">
              <w:rPr>
                <w:rFonts w:ascii="Arial" w:hAnsi="Arial" w:cs="Arial"/>
                <w:sz w:val="18"/>
                <w:szCs w:val="18"/>
                <w:bdr w:val="nil"/>
                <w:lang w:val="en-GB"/>
              </w:rPr>
              <w:t>/0.5</w:t>
            </w:r>
            <w:r w:rsidR="008178C1" w:rsidRPr="00D44EE6">
              <w:rPr>
                <w:rFonts w:ascii="Arial" w:hAnsi="Arial" w:cs="Arial"/>
                <w:sz w:val="18"/>
                <w:szCs w:val="18"/>
                <w:bdr w:val="nil"/>
                <w:lang w:val="en-GB"/>
              </w:rPr>
              <w:t xml:space="preserve"> ml</w:t>
            </w:r>
          </w:p>
          <w:p w14:paraId="2FC638D5" w14:textId="77777777" w:rsidR="00BA2539" w:rsidRPr="00D44EE6" w:rsidRDefault="00BA2539" w:rsidP="00D72094">
            <w:pPr>
              <w:spacing w:line="240" w:lineRule="auto"/>
              <w:rPr>
                <w:rFonts w:ascii="Arial" w:hAnsi="Arial" w:cs="Arial"/>
                <w:sz w:val="18"/>
                <w:szCs w:val="18"/>
                <w:bdr w:val="nil"/>
                <w:lang w:val="en-GB"/>
              </w:rPr>
            </w:pPr>
          </w:p>
        </w:tc>
        <w:tc>
          <w:tcPr>
            <w:tcW w:w="1559" w:type="dxa"/>
          </w:tcPr>
          <w:p w14:paraId="627EFF8B" w14:textId="0470924F" w:rsidR="00BA2539" w:rsidRPr="00D44EE6" w:rsidRDefault="00BA2539" w:rsidP="00D72094">
            <w:pPr>
              <w:spacing w:line="240" w:lineRule="auto"/>
              <w:rPr>
                <w:rFonts w:ascii="Arial" w:hAnsi="Arial" w:cs="Arial"/>
                <w:sz w:val="18"/>
                <w:szCs w:val="18"/>
                <w:lang w:val="en-GB"/>
              </w:rPr>
            </w:pPr>
            <w:r w:rsidRPr="00D44EE6">
              <w:rPr>
                <w:rFonts w:ascii="Arial" w:hAnsi="Arial" w:cs="Arial"/>
                <w:sz w:val="18"/>
                <w:szCs w:val="18"/>
                <w:lang w:val="en-GB"/>
              </w:rPr>
              <w:t>260.01</w:t>
            </w:r>
          </w:p>
          <w:p w14:paraId="3D1E723B" w14:textId="77777777" w:rsidR="00BA2539" w:rsidRPr="00D44EE6" w:rsidRDefault="00BA2539" w:rsidP="00D72094">
            <w:pPr>
              <w:spacing w:line="240" w:lineRule="auto"/>
              <w:rPr>
                <w:rFonts w:ascii="Arial" w:hAnsi="Arial" w:cs="Arial"/>
                <w:sz w:val="18"/>
                <w:szCs w:val="18"/>
                <w:lang w:val="en-GB"/>
              </w:rPr>
            </w:pPr>
          </w:p>
        </w:tc>
        <w:tc>
          <w:tcPr>
            <w:tcW w:w="1417" w:type="dxa"/>
          </w:tcPr>
          <w:p w14:paraId="54110924" w14:textId="1D24F9D7" w:rsidR="00BA2539" w:rsidRPr="00D44EE6" w:rsidRDefault="00BA2539" w:rsidP="00D72094">
            <w:pPr>
              <w:spacing w:line="240" w:lineRule="auto"/>
              <w:rPr>
                <w:rFonts w:ascii="Arial" w:hAnsi="Arial" w:cs="Arial"/>
                <w:sz w:val="18"/>
                <w:szCs w:val="18"/>
                <w:bdr w:val="nil"/>
                <w:lang w:val="en-GB"/>
              </w:rPr>
            </w:pPr>
            <w:r w:rsidRPr="00D44EE6">
              <w:rPr>
                <w:rFonts w:ascii="Arial" w:hAnsi="Arial" w:cs="Arial"/>
                <w:sz w:val="18"/>
                <w:szCs w:val="18"/>
                <w:bdr w:val="nil"/>
                <w:lang w:val="en-GB"/>
              </w:rPr>
              <w:t>21.67</w:t>
            </w:r>
          </w:p>
        </w:tc>
        <w:tc>
          <w:tcPr>
            <w:tcW w:w="2037" w:type="dxa"/>
          </w:tcPr>
          <w:p w14:paraId="710F8B4B" w14:textId="7A84F0B8" w:rsidR="00BA2539" w:rsidRPr="00D44EE6" w:rsidRDefault="00BA2539" w:rsidP="00D72094">
            <w:pPr>
              <w:spacing w:line="240" w:lineRule="auto"/>
              <w:rPr>
                <w:rFonts w:ascii="Arial" w:hAnsi="Arial" w:cs="Arial"/>
                <w:sz w:val="18"/>
                <w:szCs w:val="18"/>
                <w:highlight w:val="yellow"/>
                <w:bdr w:val="nil"/>
                <w:lang w:val="en-GB"/>
              </w:rPr>
            </w:pPr>
            <w:r w:rsidRPr="00D44EE6">
              <w:rPr>
                <w:rFonts w:ascii="Arial" w:hAnsi="Arial" w:cs="Arial"/>
                <w:i/>
                <w:iCs/>
                <w:sz w:val="18"/>
                <w:szCs w:val="18"/>
                <w:bdr w:val="nil"/>
                <w:lang w:val="en-GB"/>
              </w:rPr>
              <w:t>BDM-IT</w:t>
            </w:r>
            <w:r w:rsidRPr="00D44EE6">
              <w:rPr>
                <w:rFonts w:ascii="Arial" w:hAnsi="Arial" w:cs="Arial"/>
                <w:sz w:val="18"/>
                <w:szCs w:val="18"/>
                <w:bdr w:val="nil"/>
                <w:lang w:val="en-GB"/>
              </w:rPr>
              <w:t xml:space="preserve"> + dispensation fee</w:t>
            </w:r>
          </w:p>
        </w:tc>
      </w:tr>
      <w:tr w:rsidR="00D44EE6" w:rsidRPr="00D44EE6" w14:paraId="06C163A6" w14:textId="77777777" w:rsidTr="00D72094">
        <w:trPr>
          <w:trHeight w:val="263"/>
        </w:trPr>
        <w:tc>
          <w:tcPr>
            <w:tcW w:w="1559" w:type="dxa"/>
            <w:vMerge w:val="restart"/>
          </w:tcPr>
          <w:p w14:paraId="7BF925B2" w14:textId="77777777" w:rsidR="00BA2539" w:rsidRPr="00D44EE6" w:rsidRDefault="00BA2539" w:rsidP="00D72094">
            <w:pPr>
              <w:spacing w:line="240" w:lineRule="auto"/>
              <w:rPr>
                <w:rFonts w:ascii="Arial" w:hAnsi="Arial" w:cs="Arial"/>
                <w:sz w:val="18"/>
                <w:szCs w:val="18"/>
                <w:lang w:val="en-GB"/>
              </w:rPr>
            </w:pPr>
            <w:r w:rsidRPr="00D44EE6">
              <w:rPr>
                <w:rFonts w:ascii="Arial" w:hAnsi="Arial" w:cs="Arial"/>
                <w:sz w:val="18"/>
                <w:szCs w:val="18"/>
                <w:lang w:val="en-GB"/>
              </w:rPr>
              <w:t>Pembrolizumab</w:t>
            </w:r>
          </w:p>
        </w:tc>
        <w:tc>
          <w:tcPr>
            <w:tcW w:w="1985" w:type="dxa"/>
            <w:vMerge w:val="restart"/>
          </w:tcPr>
          <w:p w14:paraId="20281D45" w14:textId="77777777" w:rsidR="00BA2539" w:rsidRPr="00D44EE6" w:rsidRDefault="00BA2539" w:rsidP="00D72094">
            <w:pPr>
              <w:spacing w:line="240" w:lineRule="auto"/>
              <w:rPr>
                <w:rFonts w:ascii="Arial" w:hAnsi="Arial" w:cs="Arial"/>
                <w:sz w:val="18"/>
                <w:szCs w:val="18"/>
                <w:lang w:val="en-GB"/>
              </w:rPr>
            </w:pPr>
            <w:r w:rsidRPr="00D44EE6">
              <w:rPr>
                <w:rFonts w:ascii="Arial" w:hAnsi="Arial" w:cs="Arial"/>
                <w:sz w:val="18"/>
                <w:szCs w:val="18"/>
                <w:lang w:val="en-GB"/>
              </w:rPr>
              <w:t>200 mg (fixed dose)</w:t>
            </w:r>
          </w:p>
        </w:tc>
        <w:tc>
          <w:tcPr>
            <w:tcW w:w="1413" w:type="dxa"/>
          </w:tcPr>
          <w:p w14:paraId="3DF7A06E" w14:textId="77777777" w:rsidR="00BA2539" w:rsidRPr="00D44EE6" w:rsidRDefault="00BA2539" w:rsidP="00D72094">
            <w:pPr>
              <w:spacing w:line="240" w:lineRule="auto"/>
              <w:rPr>
                <w:rFonts w:ascii="Arial" w:hAnsi="Arial" w:cs="Arial"/>
                <w:sz w:val="18"/>
                <w:szCs w:val="18"/>
                <w:bdr w:val="nil"/>
                <w:lang w:val="en-GB"/>
              </w:rPr>
            </w:pPr>
            <w:r w:rsidRPr="00D44EE6">
              <w:rPr>
                <w:rFonts w:ascii="Arial" w:hAnsi="Arial" w:cs="Arial"/>
                <w:sz w:val="18"/>
                <w:szCs w:val="18"/>
                <w:bdr w:val="nil"/>
                <w:lang w:val="en-GB"/>
              </w:rPr>
              <w:t>50 mg</w:t>
            </w:r>
          </w:p>
        </w:tc>
        <w:tc>
          <w:tcPr>
            <w:tcW w:w="1559" w:type="dxa"/>
          </w:tcPr>
          <w:p w14:paraId="5FD276EC" w14:textId="65232135" w:rsidR="00BA2539" w:rsidRPr="00D44EE6" w:rsidRDefault="00BA2539" w:rsidP="00D72094">
            <w:pPr>
              <w:spacing w:line="240" w:lineRule="auto"/>
              <w:rPr>
                <w:rFonts w:ascii="Arial" w:hAnsi="Arial" w:cs="Arial"/>
                <w:sz w:val="18"/>
                <w:szCs w:val="18"/>
                <w:lang w:val="en-GB"/>
              </w:rPr>
            </w:pPr>
            <w:r w:rsidRPr="00D44EE6">
              <w:rPr>
                <w:rFonts w:ascii="Arial" w:hAnsi="Arial" w:cs="Arial"/>
                <w:sz w:val="18"/>
                <w:szCs w:val="18"/>
                <w:lang w:val="en-GB"/>
              </w:rPr>
              <w:t>1323.52</w:t>
            </w:r>
          </w:p>
        </w:tc>
        <w:tc>
          <w:tcPr>
            <w:tcW w:w="1417" w:type="dxa"/>
            <w:vMerge w:val="restart"/>
          </w:tcPr>
          <w:p w14:paraId="28292935" w14:textId="00A91BC3" w:rsidR="00BA2539" w:rsidRPr="00D44EE6" w:rsidRDefault="00BA2539" w:rsidP="00D72094">
            <w:pPr>
              <w:spacing w:line="240" w:lineRule="auto"/>
              <w:rPr>
                <w:rFonts w:ascii="Arial" w:hAnsi="Arial" w:cs="Arial"/>
                <w:sz w:val="18"/>
                <w:szCs w:val="18"/>
                <w:bdr w:val="nil"/>
                <w:lang w:val="en-GB"/>
              </w:rPr>
            </w:pPr>
            <w:r w:rsidRPr="00D44EE6">
              <w:rPr>
                <w:rFonts w:ascii="Arial" w:hAnsi="Arial" w:cs="Arial"/>
                <w:sz w:val="18"/>
                <w:szCs w:val="18"/>
                <w:bdr w:val="nil"/>
                <w:lang w:val="en-GB"/>
              </w:rPr>
              <w:t>5294.08</w:t>
            </w:r>
          </w:p>
        </w:tc>
        <w:tc>
          <w:tcPr>
            <w:tcW w:w="2037" w:type="dxa"/>
            <w:vMerge w:val="restart"/>
          </w:tcPr>
          <w:p w14:paraId="4E1E9831" w14:textId="77777777" w:rsidR="00BA2539" w:rsidRPr="00D44EE6" w:rsidRDefault="00BA2539" w:rsidP="00D72094">
            <w:pPr>
              <w:spacing w:line="240" w:lineRule="auto"/>
              <w:rPr>
                <w:rFonts w:ascii="Arial" w:hAnsi="Arial" w:cs="Arial"/>
                <w:sz w:val="18"/>
                <w:szCs w:val="18"/>
                <w:bdr w:val="nil"/>
                <w:lang w:val="en-GB"/>
              </w:rPr>
            </w:pPr>
            <w:r w:rsidRPr="00D44EE6">
              <w:rPr>
                <w:rFonts w:ascii="Arial" w:hAnsi="Arial" w:cs="Arial"/>
                <w:sz w:val="18"/>
                <w:szCs w:val="18"/>
                <w:lang w:val="en-GB"/>
              </w:rPr>
              <w:t>Official Journal of the French Republic, 22</w:t>
            </w:r>
            <w:r w:rsidRPr="00D44EE6">
              <w:rPr>
                <w:rFonts w:ascii="Arial" w:hAnsi="Arial" w:cs="Arial"/>
                <w:sz w:val="18"/>
                <w:szCs w:val="18"/>
                <w:vertAlign w:val="superscript"/>
                <w:lang w:val="en-GB"/>
              </w:rPr>
              <w:t>nd</w:t>
            </w:r>
            <w:r w:rsidRPr="00D44EE6">
              <w:rPr>
                <w:rFonts w:ascii="Arial" w:hAnsi="Arial" w:cs="Arial"/>
                <w:sz w:val="18"/>
                <w:szCs w:val="18"/>
                <w:lang w:val="en-GB"/>
              </w:rPr>
              <w:t xml:space="preserve"> November 2019</w:t>
            </w:r>
          </w:p>
        </w:tc>
      </w:tr>
      <w:tr w:rsidR="00D44EE6" w:rsidRPr="00D44EE6" w14:paraId="38816A16" w14:textId="77777777" w:rsidTr="00D72094">
        <w:trPr>
          <w:trHeight w:val="263"/>
        </w:trPr>
        <w:tc>
          <w:tcPr>
            <w:tcW w:w="1559" w:type="dxa"/>
            <w:vMerge/>
          </w:tcPr>
          <w:p w14:paraId="44189499" w14:textId="77777777" w:rsidR="00BA2539" w:rsidRPr="00D44EE6" w:rsidRDefault="00BA2539" w:rsidP="00D72094">
            <w:pPr>
              <w:spacing w:line="240" w:lineRule="auto"/>
              <w:rPr>
                <w:rFonts w:ascii="Arial" w:hAnsi="Arial" w:cs="Arial"/>
                <w:sz w:val="18"/>
                <w:szCs w:val="18"/>
                <w:highlight w:val="yellow"/>
                <w:lang w:val="en-GB"/>
              </w:rPr>
            </w:pPr>
          </w:p>
        </w:tc>
        <w:tc>
          <w:tcPr>
            <w:tcW w:w="1985" w:type="dxa"/>
            <w:vMerge/>
          </w:tcPr>
          <w:p w14:paraId="7E097B62" w14:textId="77777777" w:rsidR="00BA2539" w:rsidRPr="00D44EE6" w:rsidRDefault="00BA2539" w:rsidP="00D72094">
            <w:pPr>
              <w:spacing w:line="240" w:lineRule="auto"/>
              <w:rPr>
                <w:rFonts w:ascii="Arial" w:hAnsi="Arial" w:cs="Arial"/>
                <w:sz w:val="18"/>
                <w:szCs w:val="18"/>
                <w:lang w:val="en-GB"/>
              </w:rPr>
            </w:pPr>
          </w:p>
        </w:tc>
        <w:tc>
          <w:tcPr>
            <w:tcW w:w="1413" w:type="dxa"/>
          </w:tcPr>
          <w:p w14:paraId="4CCF5B95" w14:textId="77777777" w:rsidR="00BA2539" w:rsidRPr="00D44EE6" w:rsidRDefault="00BA2539" w:rsidP="00D72094">
            <w:pPr>
              <w:spacing w:line="240" w:lineRule="auto"/>
              <w:rPr>
                <w:rFonts w:ascii="Arial" w:hAnsi="Arial" w:cs="Arial"/>
                <w:sz w:val="18"/>
                <w:szCs w:val="18"/>
                <w:bdr w:val="nil"/>
                <w:lang w:val="en-GB"/>
              </w:rPr>
            </w:pPr>
            <w:r w:rsidRPr="00D44EE6">
              <w:rPr>
                <w:rFonts w:ascii="Arial" w:hAnsi="Arial" w:cs="Arial"/>
                <w:sz w:val="18"/>
                <w:szCs w:val="18"/>
                <w:bdr w:val="nil"/>
                <w:lang w:val="en-GB"/>
              </w:rPr>
              <w:t>100 mg</w:t>
            </w:r>
          </w:p>
        </w:tc>
        <w:tc>
          <w:tcPr>
            <w:tcW w:w="1559" w:type="dxa"/>
          </w:tcPr>
          <w:p w14:paraId="49F93C12" w14:textId="3627B78E" w:rsidR="00BA2539" w:rsidRPr="00D44EE6" w:rsidRDefault="00BA2539" w:rsidP="00D72094">
            <w:pPr>
              <w:spacing w:line="240" w:lineRule="auto"/>
              <w:rPr>
                <w:rFonts w:ascii="Arial" w:hAnsi="Arial" w:cs="Arial"/>
                <w:sz w:val="18"/>
                <w:szCs w:val="18"/>
                <w:lang w:val="en-GB"/>
              </w:rPr>
            </w:pPr>
            <w:r w:rsidRPr="00D44EE6">
              <w:rPr>
                <w:rFonts w:ascii="Arial" w:hAnsi="Arial" w:cs="Arial"/>
                <w:sz w:val="18"/>
                <w:szCs w:val="18"/>
                <w:lang w:val="en-GB"/>
              </w:rPr>
              <w:t>2647.04</w:t>
            </w:r>
          </w:p>
        </w:tc>
        <w:tc>
          <w:tcPr>
            <w:tcW w:w="1417" w:type="dxa"/>
            <w:vMerge/>
          </w:tcPr>
          <w:p w14:paraId="79824950" w14:textId="77777777" w:rsidR="00BA2539" w:rsidRPr="00D44EE6" w:rsidRDefault="00BA2539" w:rsidP="00D72094">
            <w:pPr>
              <w:spacing w:line="240" w:lineRule="auto"/>
              <w:rPr>
                <w:rFonts w:ascii="Arial" w:hAnsi="Arial" w:cs="Arial"/>
                <w:sz w:val="18"/>
                <w:szCs w:val="18"/>
                <w:bdr w:val="nil"/>
                <w:lang w:val="en-GB"/>
              </w:rPr>
            </w:pPr>
          </w:p>
        </w:tc>
        <w:tc>
          <w:tcPr>
            <w:tcW w:w="2037" w:type="dxa"/>
            <w:vMerge/>
          </w:tcPr>
          <w:p w14:paraId="16438CE8" w14:textId="77777777" w:rsidR="00BA2539" w:rsidRPr="00D44EE6" w:rsidRDefault="00BA2539" w:rsidP="00D72094">
            <w:pPr>
              <w:spacing w:line="240" w:lineRule="auto"/>
              <w:rPr>
                <w:rFonts w:ascii="Arial" w:hAnsi="Arial" w:cs="Arial"/>
                <w:sz w:val="18"/>
                <w:szCs w:val="18"/>
                <w:bdr w:val="nil"/>
                <w:lang w:val="en-GB"/>
              </w:rPr>
            </w:pPr>
          </w:p>
        </w:tc>
      </w:tr>
      <w:tr w:rsidR="00D44EE6" w:rsidRPr="00D44EE6" w14:paraId="26766417" w14:textId="77777777" w:rsidTr="00D72094">
        <w:trPr>
          <w:trHeight w:val="263"/>
        </w:trPr>
        <w:tc>
          <w:tcPr>
            <w:tcW w:w="1559" w:type="dxa"/>
          </w:tcPr>
          <w:p w14:paraId="57CFA49C" w14:textId="77777777" w:rsidR="00BA2539" w:rsidRPr="00D44EE6" w:rsidRDefault="00BA2539" w:rsidP="00D72094">
            <w:pPr>
              <w:spacing w:line="240" w:lineRule="auto"/>
              <w:rPr>
                <w:rFonts w:ascii="Arial" w:hAnsi="Arial" w:cs="Arial"/>
                <w:bCs/>
                <w:sz w:val="18"/>
                <w:szCs w:val="18"/>
                <w:lang w:val="en-GB"/>
              </w:rPr>
            </w:pPr>
            <w:r w:rsidRPr="00D44EE6">
              <w:rPr>
                <w:rFonts w:ascii="Arial" w:hAnsi="Arial" w:cs="Arial"/>
                <w:bCs/>
                <w:sz w:val="18"/>
                <w:szCs w:val="18"/>
                <w:lang w:val="en-GB"/>
              </w:rPr>
              <w:t>Treatment</w:t>
            </w:r>
          </w:p>
        </w:tc>
        <w:tc>
          <w:tcPr>
            <w:tcW w:w="1985" w:type="dxa"/>
          </w:tcPr>
          <w:p w14:paraId="53EACD9C" w14:textId="77777777" w:rsidR="00BA2539" w:rsidRPr="00D44EE6" w:rsidRDefault="00BA2539" w:rsidP="00D72094">
            <w:pPr>
              <w:spacing w:line="240" w:lineRule="auto"/>
              <w:rPr>
                <w:rFonts w:ascii="Arial" w:hAnsi="Arial" w:cs="Arial"/>
                <w:bCs/>
                <w:sz w:val="18"/>
                <w:szCs w:val="18"/>
                <w:lang w:val="en-GB"/>
              </w:rPr>
            </w:pPr>
            <w:r w:rsidRPr="00D44EE6">
              <w:rPr>
                <w:rFonts w:ascii="Arial" w:hAnsi="Arial" w:cs="Arial"/>
                <w:bCs/>
                <w:sz w:val="18"/>
                <w:szCs w:val="18"/>
                <w:lang w:val="en-GB"/>
              </w:rPr>
              <w:t>Posology</w:t>
            </w:r>
          </w:p>
        </w:tc>
        <w:tc>
          <w:tcPr>
            <w:tcW w:w="1413" w:type="dxa"/>
          </w:tcPr>
          <w:p w14:paraId="71DECAD0" w14:textId="77777777" w:rsidR="00BA2539" w:rsidRPr="00D44EE6" w:rsidRDefault="00BA2539" w:rsidP="00D72094">
            <w:pPr>
              <w:spacing w:line="240" w:lineRule="auto"/>
              <w:rPr>
                <w:rFonts w:ascii="Arial" w:hAnsi="Arial" w:cs="Arial"/>
                <w:bCs/>
                <w:sz w:val="18"/>
                <w:szCs w:val="18"/>
                <w:bdr w:val="nil"/>
                <w:lang w:val="en-GB"/>
              </w:rPr>
            </w:pPr>
            <w:r w:rsidRPr="00D44EE6">
              <w:rPr>
                <w:rFonts w:ascii="Arial" w:hAnsi="Arial" w:cs="Arial"/>
                <w:bCs/>
                <w:sz w:val="18"/>
                <w:szCs w:val="18"/>
                <w:bdr w:val="nil"/>
                <w:lang w:val="en-GB"/>
              </w:rPr>
              <w:t>Dose per tablet</w:t>
            </w:r>
          </w:p>
        </w:tc>
        <w:tc>
          <w:tcPr>
            <w:tcW w:w="2976" w:type="dxa"/>
            <w:gridSpan w:val="2"/>
          </w:tcPr>
          <w:p w14:paraId="0B17720B" w14:textId="77777777" w:rsidR="00BA2539" w:rsidRPr="00D44EE6" w:rsidRDefault="00BA2539" w:rsidP="00D72094">
            <w:pPr>
              <w:spacing w:line="240" w:lineRule="auto"/>
              <w:rPr>
                <w:rFonts w:ascii="Arial" w:hAnsi="Arial" w:cs="Arial"/>
                <w:bCs/>
                <w:sz w:val="18"/>
                <w:szCs w:val="18"/>
                <w:bdr w:val="nil"/>
                <w:lang w:val="en-GB"/>
              </w:rPr>
            </w:pPr>
            <w:r w:rsidRPr="00D44EE6">
              <w:rPr>
                <w:rFonts w:ascii="Arial" w:hAnsi="Arial" w:cs="Arial"/>
                <w:bCs/>
                <w:sz w:val="18"/>
                <w:szCs w:val="18"/>
                <w:bdr w:val="nil"/>
                <w:lang w:val="en-GB"/>
              </w:rPr>
              <w:t xml:space="preserve">Cost per dose </w:t>
            </w:r>
            <w:r w:rsidRPr="00D44EE6">
              <w:rPr>
                <w:rFonts w:ascii="Arial" w:hAnsi="Arial" w:cs="Arial"/>
                <w:bCs/>
                <w:sz w:val="18"/>
                <w:szCs w:val="18"/>
                <w:bdr w:val="nil"/>
                <w:lang w:val="en-GB" w:bidi="en-US"/>
              </w:rPr>
              <w:t>(</w:t>
            </w:r>
            <w:r w:rsidRPr="00D44EE6">
              <w:rPr>
                <w:rFonts w:ascii="Arial" w:hAnsi="Arial" w:cs="Arial"/>
                <w:bCs/>
                <w:sz w:val="18"/>
                <w:szCs w:val="18"/>
                <w:bdr w:val="nil"/>
                <w:lang w:val="en-GB"/>
              </w:rPr>
              <w:t xml:space="preserve">€) </w:t>
            </w:r>
          </w:p>
        </w:tc>
        <w:tc>
          <w:tcPr>
            <w:tcW w:w="2037" w:type="dxa"/>
          </w:tcPr>
          <w:p w14:paraId="1D7ED9CE" w14:textId="77777777" w:rsidR="00BA2539" w:rsidRPr="00D44EE6" w:rsidRDefault="00BA2539" w:rsidP="00D72094">
            <w:pPr>
              <w:spacing w:line="240" w:lineRule="auto"/>
              <w:rPr>
                <w:rFonts w:ascii="Arial" w:hAnsi="Arial" w:cs="Arial"/>
                <w:bCs/>
                <w:sz w:val="18"/>
                <w:szCs w:val="18"/>
                <w:bdr w:val="nil"/>
                <w:lang w:val="en-GB"/>
              </w:rPr>
            </w:pPr>
            <w:r w:rsidRPr="00D44EE6">
              <w:rPr>
                <w:rFonts w:ascii="Arial" w:hAnsi="Arial" w:cs="Arial"/>
                <w:bCs/>
                <w:sz w:val="18"/>
                <w:szCs w:val="18"/>
                <w:bdr w:val="nil"/>
                <w:lang w:val="en-GB"/>
              </w:rPr>
              <w:t>Source</w:t>
            </w:r>
          </w:p>
        </w:tc>
      </w:tr>
      <w:tr w:rsidR="00D44EE6" w:rsidRPr="00D44EE6" w14:paraId="53AB8096" w14:textId="77777777" w:rsidTr="00D72094">
        <w:trPr>
          <w:trHeight w:val="263"/>
        </w:trPr>
        <w:tc>
          <w:tcPr>
            <w:tcW w:w="1559" w:type="dxa"/>
            <w:tcBorders>
              <w:bottom w:val="single" w:sz="4" w:space="0" w:color="auto"/>
            </w:tcBorders>
          </w:tcPr>
          <w:p w14:paraId="11EDF164" w14:textId="682CC458" w:rsidR="00BA2539" w:rsidRPr="00D44EE6" w:rsidRDefault="00BA2539" w:rsidP="00D72094">
            <w:pPr>
              <w:spacing w:line="240" w:lineRule="auto"/>
              <w:rPr>
                <w:rFonts w:ascii="Arial" w:hAnsi="Arial" w:cs="Arial"/>
                <w:bCs/>
                <w:sz w:val="18"/>
                <w:szCs w:val="18"/>
                <w:lang w:val="en-GB"/>
              </w:rPr>
            </w:pPr>
            <w:r w:rsidRPr="00D44EE6">
              <w:rPr>
                <w:rFonts w:ascii="Arial" w:hAnsi="Arial" w:cs="Arial"/>
                <w:sz w:val="18"/>
                <w:szCs w:val="18"/>
                <w:lang w:val="en-GB"/>
              </w:rPr>
              <w:t>Dabrafenib plus trametinib</w:t>
            </w:r>
            <w:r w:rsidRPr="00D44EE6">
              <w:rPr>
                <w:rFonts w:ascii="Arial" w:hAnsi="Arial" w:cs="Arial"/>
                <w:bCs/>
                <w:sz w:val="18"/>
                <w:szCs w:val="18"/>
                <w:lang w:val="en-GB"/>
              </w:rPr>
              <w:t xml:space="preserve"> (sub-population with </w:t>
            </w:r>
            <w:r w:rsidRPr="00D44EE6">
              <w:rPr>
                <w:rFonts w:ascii="Arial" w:hAnsi="Arial" w:cs="Arial"/>
                <w:bCs/>
                <w:i/>
                <w:iCs/>
                <w:sz w:val="18"/>
                <w:szCs w:val="18"/>
                <w:lang w:val="en-GB"/>
              </w:rPr>
              <w:t>BRAF</w:t>
            </w:r>
            <w:r w:rsidRPr="00D44EE6">
              <w:rPr>
                <w:rFonts w:ascii="Arial" w:hAnsi="Arial" w:cs="Arial"/>
                <w:bCs/>
                <w:sz w:val="18"/>
                <w:szCs w:val="18"/>
                <w:lang w:val="en-GB"/>
              </w:rPr>
              <w:t xml:space="preserve"> mutation)</w:t>
            </w:r>
          </w:p>
        </w:tc>
        <w:tc>
          <w:tcPr>
            <w:tcW w:w="1985" w:type="dxa"/>
            <w:tcBorders>
              <w:bottom w:val="single" w:sz="4" w:space="0" w:color="auto"/>
            </w:tcBorders>
          </w:tcPr>
          <w:p w14:paraId="70524771" w14:textId="18755856" w:rsidR="00BA2539" w:rsidRPr="00D44EE6" w:rsidRDefault="00BA2539" w:rsidP="00D72094">
            <w:pPr>
              <w:spacing w:line="240" w:lineRule="auto"/>
              <w:rPr>
                <w:rFonts w:ascii="Arial" w:hAnsi="Arial" w:cs="Arial"/>
                <w:sz w:val="18"/>
                <w:szCs w:val="18"/>
                <w:lang w:val="en-GB"/>
              </w:rPr>
            </w:pPr>
            <w:r w:rsidRPr="00D44EE6">
              <w:rPr>
                <w:rFonts w:ascii="Arial" w:hAnsi="Arial" w:cs="Arial"/>
                <w:sz w:val="18"/>
                <w:szCs w:val="18"/>
                <w:lang w:val="en-GB"/>
              </w:rPr>
              <w:t xml:space="preserve">Dabrafenib: </w:t>
            </w:r>
          </w:p>
          <w:p w14:paraId="1F8BAA25" w14:textId="68CA9216" w:rsidR="00BA2539" w:rsidRPr="00D44EE6" w:rsidRDefault="00BA2539" w:rsidP="00D72094">
            <w:pPr>
              <w:spacing w:line="240" w:lineRule="auto"/>
              <w:rPr>
                <w:rFonts w:ascii="Arial" w:hAnsi="Arial" w:cs="Arial"/>
                <w:sz w:val="18"/>
                <w:szCs w:val="18"/>
                <w:lang w:val="en-GB"/>
              </w:rPr>
            </w:pPr>
            <w:r w:rsidRPr="00D44EE6">
              <w:rPr>
                <w:rFonts w:ascii="Arial" w:hAnsi="Arial" w:cs="Arial"/>
                <w:sz w:val="18"/>
                <w:szCs w:val="18"/>
                <w:lang w:val="en-GB"/>
              </w:rPr>
              <w:t xml:space="preserve">Trametinib: </w:t>
            </w:r>
          </w:p>
        </w:tc>
        <w:tc>
          <w:tcPr>
            <w:tcW w:w="1413" w:type="dxa"/>
            <w:tcBorders>
              <w:bottom w:val="single" w:sz="4" w:space="0" w:color="auto"/>
            </w:tcBorders>
          </w:tcPr>
          <w:p w14:paraId="4C0B1D17" w14:textId="5AC6D1C8" w:rsidR="00BA2539" w:rsidRPr="00D44EE6" w:rsidRDefault="00BA2539" w:rsidP="00D72094">
            <w:pPr>
              <w:spacing w:line="240" w:lineRule="auto"/>
              <w:rPr>
                <w:rFonts w:ascii="Arial" w:hAnsi="Arial" w:cs="Arial"/>
                <w:sz w:val="18"/>
                <w:szCs w:val="18"/>
                <w:lang w:val="en-GB"/>
              </w:rPr>
            </w:pPr>
            <w:r w:rsidRPr="00D44EE6">
              <w:rPr>
                <w:rFonts w:ascii="Arial" w:hAnsi="Arial" w:cs="Arial"/>
                <w:sz w:val="18"/>
                <w:szCs w:val="18"/>
                <w:lang w:val="en-GB"/>
              </w:rPr>
              <w:t>75</w:t>
            </w:r>
            <w:r w:rsidR="008178C1" w:rsidRPr="00D44EE6">
              <w:rPr>
                <w:rFonts w:ascii="Arial" w:hAnsi="Arial" w:cs="Arial"/>
                <w:sz w:val="18"/>
                <w:szCs w:val="18"/>
                <w:lang w:val="en-GB"/>
              </w:rPr>
              <w:t xml:space="preserve"> </w:t>
            </w:r>
            <w:r w:rsidRPr="00D44EE6">
              <w:rPr>
                <w:rFonts w:ascii="Arial" w:hAnsi="Arial" w:cs="Arial"/>
                <w:sz w:val="18"/>
                <w:szCs w:val="18"/>
                <w:lang w:val="en-GB"/>
              </w:rPr>
              <w:t>mg/150 mg</w:t>
            </w:r>
          </w:p>
          <w:p w14:paraId="6167D86A" w14:textId="186AC0C6" w:rsidR="00BA2539" w:rsidRPr="00D44EE6" w:rsidRDefault="00BA2539" w:rsidP="00D72094">
            <w:pPr>
              <w:spacing w:line="240" w:lineRule="auto"/>
              <w:rPr>
                <w:rFonts w:ascii="Arial" w:hAnsi="Arial" w:cs="Arial"/>
                <w:sz w:val="18"/>
                <w:szCs w:val="18"/>
                <w:lang w:val="en-GB"/>
              </w:rPr>
            </w:pPr>
            <w:r w:rsidRPr="00D44EE6">
              <w:rPr>
                <w:rFonts w:ascii="Arial" w:hAnsi="Arial" w:cs="Arial"/>
                <w:sz w:val="18"/>
                <w:szCs w:val="18"/>
                <w:lang w:val="en-GB"/>
              </w:rPr>
              <w:t>2</w:t>
            </w:r>
            <w:r w:rsidR="008178C1" w:rsidRPr="00D44EE6">
              <w:rPr>
                <w:rFonts w:ascii="Arial" w:hAnsi="Arial" w:cs="Arial"/>
                <w:sz w:val="18"/>
                <w:szCs w:val="18"/>
                <w:lang w:val="en-GB"/>
              </w:rPr>
              <w:t xml:space="preserve"> </w:t>
            </w:r>
            <w:r w:rsidRPr="00D44EE6">
              <w:rPr>
                <w:rFonts w:ascii="Arial" w:hAnsi="Arial" w:cs="Arial"/>
                <w:sz w:val="18"/>
                <w:szCs w:val="18"/>
                <w:lang w:val="en-GB"/>
              </w:rPr>
              <w:t>mg</w:t>
            </w:r>
          </w:p>
        </w:tc>
        <w:tc>
          <w:tcPr>
            <w:tcW w:w="2976" w:type="dxa"/>
            <w:gridSpan w:val="2"/>
            <w:tcBorders>
              <w:bottom w:val="single" w:sz="4" w:space="0" w:color="auto"/>
            </w:tcBorders>
          </w:tcPr>
          <w:p w14:paraId="08E2A46F" w14:textId="77B3DE51" w:rsidR="00BA2539" w:rsidRPr="00D44EE6" w:rsidRDefault="00BA2539" w:rsidP="00D72094">
            <w:pPr>
              <w:spacing w:line="240" w:lineRule="auto"/>
              <w:rPr>
                <w:rFonts w:ascii="Arial" w:hAnsi="Arial" w:cs="Arial"/>
                <w:sz w:val="18"/>
                <w:szCs w:val="18"/>
                <w:lang w:val="en-GB"/>
              </w:rPr>
            </w:pPr>
            <w:r w:rsidRPr="00D44EE6">
              <w:rPr>
                <w:rFonts w:ascii="Arial" w:hAnsi="Arial" w:cs="Arial"/>
                <w:sz w:val="18"/>
                <w:szCs w:val="18"/>
                <w:lang w:val="en-GB"/>
              </w:rPr>
              <w:t>368.69</w:t>
            </w:r>
          </w:p>
          <w:p w14:paraId="7924A762" w14:textId="7A5A1009" w:rsidR="00BA2539" w:rsidRPr="00D44EE6" w:rsidRDefault="00BA2539" w:rsidP="00D72094">
            <w:pPr>
              <w:spacing w:line="240" w:lineRule="auto"/>
              <w:rPr>
                <w:rFonts w:ascii="Arial" w:hAnsi="Arial" w:cs="Arial"/>
                <w:sz w:val="18"/>
                <w:szCs w:val="18"/>
                <w:lang w:val="en-GB"/>
              </w:rPr>
            </w:pPr>
            <w:r w:rsidRPr="00D44EE6">
              <w:rPr>
                <w:rFonts w:ascii="Arial" w:hAnsi="Arial" w:cs="Arial"/>
                <w:sz w:val="18"/>
                <w:szCs w:val="18"/>
                <w:lang w:val="en-GB"/>
              </w:rPr>
              <w:t>178.94</w:t>
            </w:r>
          </w:p>
        </w:tc>
        <w:tc>
          <w:tcPr>
            <w:tcW w:w="2037" w:type="dxa"/>
            <w:tcBorders>
              <w:bottom w:val="single" w:sz="4" w:space="0" w:color="auto"/>
            </w:tcBorders>
          </w:tcPr>
          <w:p w14:paraId="0E36496D" w14:textId="77777777" w:rsidR="00BA2539" w:rsidRPr="00D44EE6" w:rsidRDefault="00BA2539" w:rsidP="00D72094">
            <w:pPr>
              <w:spacing w:line="240" w:lineRule="auto"/>
              <w:rPr>
                <w:rFonts w:ascii="Arial" w:hAnsi="Arial" w:cs="Arial"/>
                <w:sz w:val="18"/>
                <w:szCs w:val="18"/>
                <w:bdr w:val="nil"/>
                <w:lang w:val="en-GB"/>
              </w:rPr>
            </w:pPr>
            <w:r w:rsidRPr="00D44EE6">
              <w:rPr>
                <w:rFonts w:ascii="Arial" w:hAnsi="Arial" w:cs="Arial"/>
                <w:sz w:val="18"/>
                <w:szCs w:val="18"/>
                <w:lang w:val="en-GB"/>
              </w:rPr>
              <w:t>Official Journal of the French Republic, 11</w:t>
            </w:r>
            <w:r w:rsidRPr="00D44EE6">
              <w:rPr>
                <w:rFonts w:ascii="Arial" w:hAnsi="Arial" w:cs="Arial"/>
                <w:sz w:val="18"/>
                <w:szCs w:val="18"/>
                <w:vertAlign w:val="superscript"/>
                <w:lang w:val="en-GB"/>
              </w:rPr>
              <w:t xml:space="preserve">th </w:t>
            </w:r>
            <w:r w:rsidRPr="00D44EE6">
              <w:rPr>
                <w:rFonts w:ascii="Arial" w:hAnsi="Arial" w:cs="Arial"/>
                <w:sz w:val="18"/>
                <w:szCs w:val="18"/>
                <w:lang w:val="en-GB"/>
              </w:rPr>
              <w:t>December 2019</w:t>
            </w:r>
          </w:p>
        </w:tc>
      </w:tr>
    </w:tbl>
    <w:p w14:paraId="7570D7DA" w14:textId="3D3026CA" w:rsidR="00BA2539" w:rsidRPr="00D44EE6" w:rsidRDefault="00BA2539" w:rsidP="00BA2539">
      <w:pPr>
        <w:rPr>
          <w:rFonts w:ascii="Arial" w:hAnsi="Arial" w:cs="Arial"/>
          <w:kern w:val="24"/>
          <w:sz w:val="18"/>
          <w:szCs w:val="18"/>
          <w:lang w:val="fr-FR"/>
        </w:rPr>
      </w:pPr>
      <w:r w:rsidRPr="00D44EE6">
        <w:rPr>
          <w:rFonts w:ascii="Arial" w:hAnsi="Arial" w:cs="Arial"/>
          <w:sz w:val="18"/>
          <w:lang w:val="fr-FR"/>
        </w:rPr>
        <w:t xml:space="preserve">All costs correspond to 2019 values </w:t>
      </w:r>
    </w:p>
    <w:p w14:paraId="0515AC7A" w14:textId="22C2ACE3" w:rsidR="00BA2539" w:rsidRPr="00D44EE6" w:rsidRDefault="004E1D2A" w:rsidP="00BA2539">
      <w:pPr>
        <w:rPr>
          <w:rFonts w:ascii="Arial" w:hAnsi="Arial" w:cs="Arial"/>
          <w:i/>
          <w:sz w:val="18"/>
          <w:lang w:val="fr-FR"/>
        </w:rPr>
      </w:pPr>
      <w:r w:rsidRPr="00D44EE6">
        <w:rPr>
          <w:rFonts w:ascii="Arial" w:hAnsi="Arial" w:cs="Arial"/>
          <w:i/>
          <w:sz w:val="18"/>
          <w:lang w:val="fr-FR"/>
        </w:rPr>
        <w:t xml:space="preserve">BDM-IT </w:t>
      </w:r>
      <w:r w:rsidRPr="00D44EE6">
        <w:rPr>
          <w:rFonts w:ascii="Arial" w:hAnsi="Arial" w:cs="Arial"/>
          <w:iCs/>
          <w:sz w:val="18"/>
          <w:lang w:val="fr-FR"/>
        </w:rPr>
        <w:t xml:space="preserve">Base de Données des Médicaments – Information tarifaire, </w:t>
      </w:r>
      <w:r w:rsidRPr="00D44EE6">
        <w:rPr>
          <w:rFonts w:ascii="Arial" w:hAnsi="Arial" w:cs="Arial"/>
          <w:i/>
          <w:sz w:val="18"/>
          <w:lang w:val="fr-FR"/>
        </w:rPr>
        <w:t xml:space="preserve">MIU </w:t>
      </w:r>
      <w:r w:rsidRPr="00D44EE6">
        <w:rPr>
          <w:rFonts w:ascii="Arial" w:hAnsi="Arial" w:cs="Arial"/>
          <w:iCs/>
          <w:sz w:val="18"/>
          <w:lang w:val="fr-FR"/>
        </w:rPr>
        <w:t>millions international units</w:t>
      </w:r>
    </w:p>
    <w:p w14:paraId="61EED19D" w14:textId="77777777" w:rsidR="00BF309A" w:rsidRPr="00D44EE6" w:rsidRDefault="00BF309A">
      <w:pPr>
        <w:rPr>
          <w:rFonts w:ascii="Arial" w:hAnsi="Arial" w:cs="Arial"/>
          <w:b/>
          <w:iCs/>
          <w:sz w:val="18"/>
          <w:szCs w:val="18"/>
          <w:lang w:val="fr-FR"/>
        </w:rPr>
      </w:pPr>
      <w:r w:rsidRPr="00D44EE6">
        <w:rPr>
          <w:rFonts w:ascii="Arial" w:hAnsi="Arial" w:cs="Arial"/>
          <w:b/>
          <w:i/>
          <w:lang w:val="fr-FR"/>
        </w:rPr>
        <w:br w:type="page"/>
      </w:r>
    </w:p>
    <w:p w14:paraId="7586EF80" w14:textId="60C3D752" w:rsidR="00BF309A" w:rsidRPr="00D44EE6" w:rsidRDefault="00BF309A" w:rsidP="002D13FB">
      <w:pPr>
        <w:pStyle w:val="Caption"/>
        <w:spacing w:after="0" w:line="480" w:lineRule="auto"/>
        <w:ind w:right="-425"/>
        <w:rPr>
          <w:rFonts w:ascii="Arial" w:hAnsi="Arial" w:cs="Arial"/>
          <w:b/>
          <w:i w:val="0"/>
          <w:color w:val="auto"/>
          <w:sz w:val="22"/>
          <w:szCs w:val="22"/>
          <w:lang w:val="en-GB"/>
        </w:rPr>
      </w:pPr>
      <w:r w:rsidRPr="00D44EE6">
        <w:rPr>
          <w:rFonts w:ascii="Arial" w:hAnsi="Arial" w:cs="Arial"/>
          <w:b/>
          <w:i w:val="0"/>
          <w:color w:val="auto"/>
          <w:sz w:val="22"/>
          <w:szCs w:val="22"/>
          <w:lang w:val="en-GB"/>
        </w:rPr>
        <w:t xml:space="preserve">Table 4 </w:t>
      </w:r>
      <w:r w:rsidRPr="00D44EE6">
        <w:rPr>
          <w:rFonts w:ascii="Arial" w:hAnsi="Arial" w:cs="Arial"/>
          <w:bCs/>
          <w:i w:val="0"/>
          <w:color w:val="auto"/>
          <w:sz w:val="22"/>
          <w:szCs w:val="22"/>
          <w:lang w:val="en-GB"/>
        </w:rPr>
        <w:t>Distribution and costs of therapies used for distal recurrences prescribed in first line of advanced melanoma</w:t>
      </w:r>
    </w:p>
    <w:tbl>
      <w:tblPr>
        <w:tblStyle w:val="PlainTable2"/>
        <w:tblW w:w="9776" w:type="dxa"/>
        <w:tblBorders>
          <w:top w:val="none" w:sz="0" w:space="0" w:color="auto"/>
          <w:bottom w:val="none" w:sz="0" w:space="0" w:color="auto"/>
        </w:tblBorders>
        <w:tblLook w:val="04A0" w:firstRow="1" w:lastRow="0" w:firstColumn="1" w:lastColumn="0" w:noHBand="0" w:noVBand="1"/>
      </w:tblPr>
      <w:tblGrid>
        <w:gridCol w:w="2675"/>
        <w:gridCol w:w="1950"/>
        <w:gridCol w:w="2378"/>
        <w:gridCol w:w="2773"/>
      </w:tblGrid>
      <w:tr w:rsidR="00D44EE6" w:rsidRPr="00D44EE6" w14:paraId="5917F535" w14:textId="77777777" w:rsidTr="00F04A85">
        <w:trPr>
          <w:cnfStyle w:val="100000000000" w:firstRow="1" w:lastRow="0" w:firstColumn="0" w:lastColumn="0" w:oddVBand="0" w:evenVBand="0" w:oddHBand="0"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2675" w:type="dxa"/>
            <w:tcBorders>
              <w:top w:val="single" w:sz="4" w:space="0" w:color="auto"/>
              <w:bottom w:val="single" w:sz="4" w:space="0" w:color="auto"/>
            </w:tcBorders>
            <w:vAlign w:val="center"/>
          </w:tcPr>
          <w:p w14:paraId="549F06A6" w14:textId="77777777" w:rsidR="00BF309A" w:rsidRPr="00D44EE6" w:rsidRDefault="00BF309A" w:rsidP="00575FD6">
            <w:pPr>
              <w:rPr>
                <w:rFonts w:ascii="Arial" w:hAnsi="Arial"/>
                <w:sz w:val="18"/>
                <w:szCs w:val="18"/>
              </w:rPr>
            </w:pPr>
            <w:r w:rsidRPr="00D44EE6">
              <w:rPr>
                <w:rFonts w:ascii="Arial" w:hAnsi="Arial" w:cs="Arial"/>
                <w:sz w:val="18"/>
                <w:szCs w:val="18"/>
              </w:rPr>
              <w:t>Treatment</w:t>
            </w:r>
          </w:p>
        </w:tc>
        <w:tc>
          <w:tcPr>
            <w:tcW w:w="1950" w:type="dxa"/>
            <w:tcBorders>
              <w:top w:val="single" w:sz="4" w:space="0" w:color="auto"/>
              <w:bottom w:val="single" w:sz="4" w:space="0" w:color="auto"/>
            </w:tcBorders>
            <w:vAlign w:val="center"/>
          </w:tcPr>
          <w:p w14:paraId="73CEDF99" w14:textId="77777777" w:rsidR="00BF309A" w:rsidRPr="00D44EE6" w:rsidRDefault="00BF309A" w:rsidP="00F04A85">
            <w:pPr>
              <w:ind w:right="-110"/>
              <w:cnfStyle w:val="100000000000" w:firstRow="1" w:lastRow="0" w:firstColumn="0" w:lastColumn="0" w:oddVBand="0" w:evenVBand="0" w:oddHBand="0" w:evenHBand="0" w:firstRowFirstColumn="0" w:firstRowLastColumn="0" w:lastRowFirstColumn="0" w:lastRowLastColumn="0"/>
              <w:rPr>
                <w:rFonts w:ascii="Arial" w:hAnsi="Arial"/>
                <w:sz w:val="18"/>
                <w:szCs w:val="18"/>
              </w:rPr>
            </w:pPr>
            <w:r w:rsidRPr="00D44EE6">
              <w:rPr>
                <w:rFonts w:ascii="Arial" w:hAnsi="Arial"/>
                <w:sz w:val="18"/>
                <w:szCs w:val="18"/>
              </w:rPr>
              <w:t>Market share (%)</w:t>
            </w:r>
          </w:p>
        </w:tc>
        <w:tc>
          <w:tcPr>
            <w:tcW w:w="2378" w:type="dxa"/>
            <w:tcBorders>
              <w:top w:val="single" w:sz="4" w:space="0" w:color="auto"/>
              <w:bottom w:val="single" w:sz="4" w:space="0" w:color="auto"/>
            </w:tcBorders>
            <w:vAlign w:val="center"/>
          </w:tcPr>
          <w:p w14:paraId="6264F3DB" w14:textId="77777777" w:rsidR="00BF309A" w:rsidRPr="00D44EE6" w:rsidRDefault="00BF309A" w:rsidP="00F04A85">
            <w:pPr>
              <w:ind w:left="42" w:right="-102" w:hanging="142"/>
              <w:cnfStyle w:val="100000000000" w:firstRow="1" w:lastRow="0" w:firstColumn="0" w:lastColumn="0" w:oddVBand="0" w:evenVBand="0" w:oddHBand="0" w:evenHBand="0" w:firstRowFirstColumn="0" w:firstRowLastColumn="0" w:lastRowFirstColumn="0" w:lastRowLastColumn="0"/>
              <w:rPr>
                <w:rFonts w:ascii="Arial" w:hAnsi="Arial"/>
                <w:sz w:val="18"/>
                <w:szCs w:val="18"/>
              </w:rPr>
            </w:pPr>
            <w:r w:rsidRPr="00D44EE6">
              <w:rPr>
                <w:rFonts w:ascii="Arial" w:hAnsi="Arial"/>
                <w:sz w:val="18"/>
                <w:szCs w:val="18"/>
              </w:rPr>
              <w:t>Cost per dose (€)</w:t>
            </w:r>
          </w:p>
        </w:tc>
        <w:tc>
          <w:tcPr>
            <w:tcW w:w="2773" w:type="dxa"/>
            <w:tcBorders>
              <w:top w:val="single" w:sz="4" w:space="0" w:color="auto"/>
              <w:bottom w:val="single" w:sz="4" w:space="0" w:color="auto"/>
            </w:tcBorders>
            <w:vAlign w:val="center"/>
          </w:tcPr>
          <w:p w14:paraId="55EBFB63" w14:textId="77777777" w:rsidR="00BF309A" w:rsidRPr="00D44EE6" w:rsidRDefault="00BF309A" w:rsidP="00575FD6">
            <w:pPr>
              <w:cnfStyle w:val="100000000000" w:firstRow="1" w:lastRow="0" w:firstColumn="0" w:lastColumn="0" w:oddVBand="0" w:evenVBand="0" w:oddHBand="0" w:evenHBand="0" w:firstRowFirstColumn="0" w:firstRowLastColumn="0" w:lastRowFirstColumn="0" w:lastRowLastColumn="0"/>
              <w:rPr>
                <w:rFonts w:ascii="Arial" w:hAnsi="Arial"/>
                <w:sz w:val="18"/>
                <w:szCs w:val="18"/>
              </w:rPr>
            </w:pPr>
            <w:r w:rsidRPr="00D44EE6">
              <w:rPr>
                <w:rFonts w:ascii="Arial" w:hAnsi="Arial"/>
                <w:sz w:val="18"/>
                <w:szCs w:val="18"/>
              </w:rPr>
              <w:t>Source</w:t>
            </w:r>
          </w:p>
        </w:tc>
      </w:tr>
      <w:tr w:rsidR="00D44EE6" w:rsidRPr="00D44EE6" w14:paraId="1A424E84" w14:textId="77777777" w:rsidTr="00F04A85">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2675" w:type="dxa"/>
            <w:tcBorders>
              <w:top w:val="single" w:sz="4" w:space="0" w:color="auto"/>
            </w:tcBorders>
            <w:vAlign w:val="center"/>
          </w:tcPr>
          <w:p w14:paraId="0726CFD8" w14:textId="77777777" w:rsidR="00BF309A" w:rsidRPr="00D44EE6" w:rsidRDefault="00BF309A" w:rsidP="00F04A85">
            <w:pPr>
              <w:rPr>
                <w:rFonts w:ascii="Arial" w:hAnsi="Arial"/>
                <w:b w:val="0"/>
                <w:bCs w:val="0"/>
                <w:sz w:val="18"/>
                <w:szCs w:val="18"/>
              </w:rPr>
            </w:pPr>
          </w:p>
          <w:p w14:paraId="77003FEC" w14:textId="77777777" w:rsidR="00BF309A" w:rsidRPr="00D44EE6" w:rsidRDefault="00BF309A" w:rsidP="00F04A85">
            <w:pPr>
              <w:rPr>
                <w:rFonts w:ascii="Arial" w:hAnsi="Arial"/>
                <w:b w:val="0"/>
                <w:bCs w:val="0"/>
                <w:sz w:val="18"/>
                <w:szCs w:val="18"/>
              </w:rPr>
            </w:pPr>
            <w:r w:rsidRPr="00D44EE6">
              <w:rPr>
                <w:rFonts w:ascii="Arial" w:hAnsi="Arial"/>
                <w:b w:val="0"/>
                <w:bCs w:val="0"/>
                <w:sz w:val="18"/>
                <w:szCs w:val="18"/>
              </w:rPr>
              <w:t>Nivolumab</w:t>
            </w:r>
          </w:p>
        </w:tc>
        <w:tc>
          <w:tcPr>
            <w:tcW w:w="1950" w:type="dxa"/>
            <w:tcBorders>
              <w:top w:val="single" w:sz="4" w:space="0" w:color="auto"/>
            </w:tcBorders>
            <w:vAlign w:val="center"/>
          </w:tcPr>
          <w:p w14:paraId="5FA13240" w14:textId="77777777" w:rsidR="00BF309A" w:rsidRPr="00D44EE6" w:rsidRDefault="00BF309A" w:rsidP="00F04A85">
            <w:pPr>
              <w:cnfStyle w:val="000000100000" w:firstRow="0" w:lastRow="0" w:firstColumn="0" w:lastColumn="0" w:oddVBand="0" w:evenVBand="0" w:oddHBand="1" w:evenHBand="0" w:firstRowFirstColumn="0" w:firstRowLastColumn="0" w:lastRowFirstColumn="0" w:lastRowLastColumn="0"/>
              <w:rPr>
                <w:rFonts w:ascii="Arial" w:hAnsi="Arial"/>
                <w:sz w:val="18"/>
                <w:szCs w:val="18"/>
              </w:rPr>
            </w:pPr>
          </w:p>
          <w:p w14:paraId="4611A248" w14:textId="60130343" w:rsidR="00BF309A" w:rsidRPr="00D44EE6" w:rsidRDefault="00BF309A" w:rsidP="00F04A85">
            <w:pPr>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D44EE6">
              <w:rPr>
                <w:rFonts w:ascii="Arial" w:hAnsi="Arial"/>
                <w:sz w:val="18"/>
                <w:szCs w:val="18"/>
              </w:rPr>
              <w:t>39</w:t>
            </w:r>
          </w:p>
        </w:tc>
        <w:tc>
          <w:tcPr>
            <w:tcW w:w="2378" w:type="dxa"/>
            <w:tcBorders>
              <w:top w:val="single" w:sz="4" w:space="0" w:color="auto"/>
            </w:tcBorders>
            <w:vAlign w:val="center"/>
          </w:tcPr>
          <w:p w14:paraId="2D8B869D" w14:textId="0E0D74A1" w:rsidR="00BF309A" w:rsidRPr="00D44EE6" w:rsidRDefault="00BF309A" w:rsidP="00F04A85">
            <w:pPr>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D44EE6">
              <w:rPr>
                <w:rFonts w:ascii="Arial" w:hAnsi="Arial"/>
                <w:sz w:val="18"/>
                <w:szCs w:val="18"/>
              </w:rPr>
              <w:t>2481.18</w:t>
            </w:r>
          </w:p>
        </w:tc>
        <w:tc>
          <w:tcPr>
            <w:tcW w:w="2773" w:type="dxa"/>
            <w:tcBorders>
              <w:top w:val="single" w:sz="4" w:space="0" w:color="auto"/>
            </w:tcBorders>
            <w:vAlign w:val="center"/>
          </w:tcPr>
          <w:p w14:paraId="5CB8026F" w14:textId="77777777" w:rsidR="00BF309A" w:rsidRPr="00D44EE6" w:rsidRDefault="00BF309A" w:rsidP="00F04A85">
            <w:pPr>
              <w:cnfStyle w:val="000000100000" w:firstRow="0" w:lastRow="0" w:firstColumn="0" w:lastColumn="0" w:oddVBand="0" w:evenVBand="0" w:oddHBand="1" w:evenHBand="0" w:firstRowFirstColumn="0" w:firstRowLastColumn="0" w:lastRowFirstColumn="0" w:lastRowLastColumn="0"/>
              <w:rPr>
                <w:rFonts w:ascii="Arial" w:hAnsi="Arial"/>
                <w:sz w:val="18"/>
                <w:szCs w:val="18"/>
                <w:lang w:val="en-GB"/>
              </w:rPr>
            </w:pPr>
            <w:r w:rsidRPr="00D44EE6">
              <w:rPr>
                <w:rFonts w:ascii="Arial" w:hAnsi="Arial" w:cs="Arial"/>
                <w:sz w:val="18"/>
                <w:szCs w:val="18"/>
              </w:rPr>
              <w:t>Official Journal of the French Republic, 30th April 2019</w:t>
            </w:r>
          </w:p>
        </w:tc>
      </w:tr>
      <w:tr w:rsidR="00D44EE6" w:rsidRPr="00D44EE6" w14:paraId="0D5AB644" w14:textId="77777777" w:rsidTr="00F04A85">
        <w:trPr>
          <w:trHeight w:val="474"/>
        </w:trPr>
        <w:tc>
          <w:tcPr>
            <w:cnfStyle w:val="001000000000" w:firstRow="0" w:lastRow="0" w:firstColumn="1" w:lastColumn="0" w:oddVBand="0" w:evenVBand="0" w:oddHBand="0" w:evenHBand="0" w:firstRowFirstColumn="0" w:firstRowLastColumn="0" w:lastRowFirstColumn="0" w:lastRowLastColumn="0"/>
            <w:tcW w:w="2675" w:type="dxa"/>
            <w:vAlign w:val="center"/>
          </w:tcPr>
          <w:p w14:paraId="7CCAF0E5" w14:textId="77777777" w:rsidR="00BF309A" w:rsidRPr="00D44EE6" w:rsidRDefault="00BF309A" w:rsidP="00F04A85">
            <w:pPr>
              <w:rPr>
                <w:rFonts w:ascii="Arial" w:hAnsi="Arial"/>
                <w:b w:val="0"/>
                <w:bCs w:val="0"/>
                <w:sz w:val="18"/>
                <w:szCs w:val="18"/>
              </w:rPr>
            </w:pPr>
            <w:r w:rsidRPr="00D44EE6">
              <w:rPr>
                <w:rFonts w:ascii="Arial" w:hAnsi="Arial"/>
                <w:b w:val="0"/>
                <w:bCs w:val="0"/>
                <w:sz w:val="18"/>
                <w:szCs w:val="18"/>
              </w:rPr>
              <w:t>Pembrolizumab</w:t>
            </w:r>
          </w:p>
        </w:tc>
        <w:tc>
          <w:tcPr>
            <w:tcW w:w="1950" w:type="dxa"/>
            <w:vAlign w:val="center"/>
          </w:tcPr>
          <w:p w14:paraId="10888452" w14:textId="73DBDC18" w:rsidR="00BF309A" w:rsidRPr="00D44EE6" w:rsidRDefault="00BF309A" w:rsidP="00F04A85">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sidRPr="00D44EE6">
              <w:rPr>
                <w:rFonts w:ascii="Arial" w:hAnsi="Arial"/>
                <w:sz w:val="18"/>
                <w:szCs w:val="18"/>
              </w:rPr>
              <w:t>18.5</w:t>
            </w:r>
          </w:p>
        </w:tc>
        <w:tc>
          <w:tcPr>
            <w:tcW w:w="2378" w:type="dxa"/>
            <w:vAlign w:val="center"/>
          </w:tcPr>
          <w:p w14:paraId="6048EC78" w14:textId="54883B68" w:rsidR="00BF309A" w:rsidRPr="00D44EE6" w:rsidRDefault="00BF309A" w:rsidP="00F04A85">
            <w:pPr>
              <w:cnfStyle w:val="000000000000" w:firstRow="0" w:lastRow="0" w:firstColumn="0" w:lastColumn="0" w:oddVBand="0" w:evenVBand="0" w:oddHBand="0" w:evenHBand="0" w:firstRowFirstColumn="0" w:firstRowLastColumn="0" w:lastRowFirstColumn="0" w:lastRowLastColumn="0"/>
              <w:rPr>
                <w:rFonts w:ascii="Arial" w:hAnsi="Arial"/>
                <w:sz w:val="18"/>
                <w:szCs w:val="18"/>
                <w:lang w:val="en-GB"/>
              </w:rPr>
            </w:pPr>
            <w:r w:rsidRPr="00D44EE6">
              <w:rPr>
                <w:rFonts w:ascii="Arial" w:hAnsi="Arial"/>
                <w:sz w:val="18"/>
                <w:szCs w:val="18"/>
                <w:lang w:val="en-GB"/>
              </w:rPr>
              <w:t>5008.45</w:t>
            </w:r>
          </w:p>
        </w:tc>
        <w:tc>
          <w:tcPr>
            <w:tcW w:w="2773" w:type="dxa"/>
            <w:vAlign w:val="center"/>
          </w:tcPr>
          <w:p w14:paraId="68A497A6" w14:textId="77777777" w:rsidR="00BF309A" w:rsidRPr="00D44EE6" w:rsidRDefault="00BF309A" w:rsidP="00F04A85">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sidRPr="00D44EE6">
              <w:rPr>
                <w:rFonts w:ascii="Arial" w:hAnsi="Arial" w:cs="Arial"/>
                <w:sz w:val="18"/>
                <w:szCs w:val="18"/>
              </w:rPr>
              <w:t>Official Journal of the French Republic, 22</w:t>
            </w:r>
            <w:r w:rsidRPr="00D44EE6">
              <w:rPr>
                <w:rFonts w:ascii="Arial" w:hAnsi="Arial" w:cs="Arial"/>
                <w:sz w:val="18"/>
                <w:szCs w:val="18"/>
                <w:vertAlign w:val="superscript"/>
              </w:rPr>
              <w:t>nd</w:t>
            </w:r>
            <w:r w:rsidRPr="00D44EE6">
              <w:rPr>
                <w:rFonts w:ascii="Arial" w:hAnsi="Arial" w:cs="Arial"/>
                <w:sz w:val="18"/>
                <w:szCs w:val="18"/>
              </w:rPr>
              <w:t xml:space="preserve"> November 2019</w:t>
            </w:r>
          </w:p>
        </w:tc>
      </w:tr>
      <w:tr w:rsidR="00D44EE6" w:rsidRPr="00D44EE6" w14:paraId="08F20964" w14:textId="77777777" w:rsidTr="00F04A85">
        <w:trPr>
          <w:cnfStyle w:val="000000100000" w:firstRow="0" w:lastRow="0" w:firstColumn="0" w:lastColumn="0" w:oddVBand="0" w:evenVBand="0" w:oddHBand="1" w:evenHBand="0" w:firstRowFirstColumn="0" w:firstRowLastColumn="0" w:lastRowFirstColumn="0" w:lastRowLastColumn="0"/>
          <w:trHeight w:val="767"/>
        </w:trPr>
        <w:tc>
          <w:tcPr>
            <w:cnfStyle w:val="001000000000" w:firstRow="0" w:lastRow="0" w:firstColumn="1" w:lastColumn="0" w:oddVBand="0" w:evenVBand="0" w:oddHBand="0" w:evenHBand="0" w:firstRowFirstColumn="0" w:firstRowLastColumn="0" w:lastRowFirstColumn="0" w:lastRowLastColumn="0"/>
            <w:tcW w:w="2675" w:type="dxa"/>
            <w:vAlign w:val="center"/>
          </w:tcPr>
          <w:p w14:paraId="38B88705" w14:textId="77777777" w:rsidR="00BF309A" w:rsidRPr="00D44EE6" w:rsidRDefault="00BF309A" w:rsidP="00F04A85">
            <w:pPr>
              <w:rPr>
                <w:rFonts w:ascii="Arial" w:hAnsi="Arial"/>
                <w:b w:val="0"/>
                <w:bCs w:val="0"/>
                <w:sz w:val="18"/>
                <w:szCs w:val="18"/>
                <w:lang w:val="en-GB"/>
              </w:rPr>
            </w:pPr>
            <w:r w:rsidRPr="00D44EE6">
              <w:rPr>
                <w:rFonts w:ascii="Arial" w:hAnsi="Arial"/>
                <w:b w:val="0"/>
                <w:bCs w:val="0"/>
                <w:sz w:val="18"/>
                <w:szCs w:val="18"/>
                <w:lang w:val="en-GB"/>
              </w:rPr>
              <w:t>Nivolumab plus ipilimumab</w:t>
            </w:r>
          </w:p>
        </w:tc>
        <w:tc>
          <w:tcPr>
            <w:tcW w:w="1950" w:type="dxa"/>
            <w:vAlign w:val="center"/>
          </w:tcPr>
          <w:p w14:paraId="1032BD56" w14:textId="0FD788BF" w:rsidR="00BF309A" w:rsidRPr="00D44EE6" w:rsidRDefault="00BF309A" w:rsidP="00F04A85">
            <w:pPr>
              <w:cnfStyle w:val="000000100000" w:firstRow="0" w:lastRow="0" w:firstColumn="0" w:lastColumn="0" w:oddVBand="0" w:evenVBand="0" w:oddHBand="1" w:evenHBand="0" w:firstRowFirstColumn="0" w:firstRowLastColumn="0" w:lastRowFirstColumn="0" w:lastRowLastColumn="0"/>
              <w:rPr>
                <w:rFonts w:ascii="Arial" w:hAnsi="Arial"/>
                <w:sz w:val="18"/>
                <w:szCs w:val="18"/>
                <w:lang w:val="en-GB"/>
              </w:rPr>
            </w:pPr>
            <w:r w:rsidRPr="00D44EE6">
              <w:rPr>
                <w:rFonts w:ascii="Arial" w:hAnsi="Arial"/>
                <w:sz w:val="18"/>
                <w:szCs w:val="18"/>
                <w:lang w:val="en-GB"/>
              </w:rPr>
              <w:t>2.4</w:t>
            </w:r>
          </w:p>
        </w:tc>
        <w:tc>
          <w:tcPr>
            <w:tcW w:w="2378" w:type="dxa"/>
            <w:vAlign w:val="center"/>
          </w:tcPr>
          <w:p w14:paraId="61D1EA07" w14:textId="236DFCFF" w:rsidR="00BF309A" w:rsidRPr="00D44EE6" w:rsidRDefault="00BF309A" w:rsidP="00F04A85">
            <w:pPr>
              <w:cnfStyle w:val="000000100000" w:firstRow="0" w:lastRow="0" w:firstColumn="0" w:lastColumn="0" w:oddVBand="0" w:evenVBand="0" w:oddHBand="1" w:evenHBand="0" w:firstRowFirstColumn="0" w:firstRowLastColumn="0" w:lastRowFirstColumn="0" w:lastRowLastColumn="0"/>
              <w:rPr>
                <w:rFonts w:ascii="Arial" w:hAnsi="Arial"/>
                <w:sz w:val="18"/>
                <w:szCs w:val="18"/>
                <w:lang w:val="en-GB"/>
              </w:rPr>
            </w:pPr>
            <w:r w:rsidRPr="00D44EE6">
              <w:rPr>
                <w:rFonts w:ascii="Arial" w:hAnsi="Arial"/>
                <w:sz w:val="18"/>
                <w:szCs w:val="18"/>
                <w:lang w:val="en-GB"/>
              </w:rPr>
              <w:t>Initiation: 775.37 + DRG (ipilimumab) maintenance: 2481.18</w:t>
            </w:r>
          </w:p>
          <w:p w14:paraId="4D0BEFB9" w14:textId="77777777" w:rsidR="00BF309A" w:rsidRPr="00D44EE6" w:rsidRDefault="00BF309A" w:rsidP="00F04A85">
            <w:pPr>
              <w:cnfStyle w:val="000000100000" w:firstRow="0" w:lastRow="0" w:firstColumn="0" w:lastColumn="0" w:oddVBand="0" w:evenVBand="0" w:oddHBand="1" w:evenHBand="0" w:firstRowFirstColumn="0" w:firstRowLastColumn="0" w:lastRowFirstColumn="0" w:lastRowLastColumn="0"/>
              <w:rPr>
                <w:rFonts w:ascii="Arial" w:hAnsi="Arial"/>
                <w:sz w:val="18"/>
                <w:szCs w:val="18"/>
                <w:lang w:val="en-GB"/>
              </w:rPr>
            </w:pPr>
          </w:p>
        </w:tc>
        <w:tc>
          <w:tcPr>
            <w:tcW w:w="2773" w:type="dxa"/>
            <w:vAlign w:val="center"/>
          </w:tcPr>
          <w:p w14:paraId="5DF87C99" w14:textId="4D8F7E81" w:rsidR="00BF309A" w:rsidRPr="00D44EE6" w:rsidRDefault="00BF309A" w:rsidP="00F04A85">
            <w:pPr>
              <w:cnfStyle w:val="000000100000" w:firstRow="0" w:lastRow="0" w:firstColumn="0" w:lastColumn="0" w:oddVBand="0" w:evenVBand="0" w:oddHBand="1" w:evenHBand="0" w:firstRowFirstColumn="0" w:firstRowLastColumn="0" w:lastRowFirstColumn="0" w:lastRowLastColumn="0"/>
              <w:rPr>
                <w:rFonts w:ascii="Arial" w:hAnsi="Arial"/>
                <w:sz w:val="18"/>
                <w:szCs w:val="18"/>
                <w:lang w:val="en-GB"/>
              </w:rPr>
            </w:pPr>
            <w:r w:rsidRPr="00D44EE6">
              <w:rPr>
                <w:rFonts w:ascii="Arial" w:hAnsi="Arial" w:cs="Arial"/>
                <w:sz w:val="18"/>
                <w:szCs w:val="18"/>
              </w:rPr>
              <w:t>Official Journal of the French Republic, 30</w:t>
            </w:r>
            <w:r w:rsidRPr="00D44EE6">
              <w:rPr>
                <w:rFonts w:ascii="Arial" w:hAnsi="Arial" w:cs="Arial"/>
                <w:sz w:val="18"/>
                <w:szCs w:val="18"/>
                <w:vertAlign w:val="superscript"/>
              </w:rPr>
              <w:t>th</w:t>
            </w:r>
            <w:r w:rsidRPr="00D44EE6">
              <w:rPr>
                <w:rFonts w:ascii="Arial" w:hAnsi="Arial" w:cs="Arial"/>
                <w:sz w:val="18"/>
                <w:szCs w:val="18"/>
              </w:rPr>
              <w:t xml:space="preserve"> April 2019</w:t>
            </w:r>
          </w:p>
          <w:p w14:paraId="20D0E51B" w14:textId="77777777" w:rsidR="00BF309A" w:rsidRPr="00D44EE6" w:rsidRDefault="00BF309A" w:rsidP="00F04A85">
            <w:pPr>
              <w:cnfStyle w:val="000000100000" w:firstRow="0" w:lastRow="0" w:firstColumn="0" w:lastColumn="0" w:oddVBand="0" w:evenVBand="0" w:oddHBand="1" w:evenHBand="0" w:firstRowFirstColumn="0" w:firstRowLastColumn="0" w:lastRowFirstColumn="0" w:lastRowLastColumn="0"/>
              <w:rPr>
                <w:rFonts w:ascii="Arial" w:hAnsi="Arial"/>
                <w:i/>
                <w:iCs/>
                <w:sz w:val="18"/>
                <w:szCs w:val="18"/>
                <w:lang w:val="en-GB"/>
              </w:rPr>
            </w:pPr>
            <w:r w:rsidRPr="00D44EE6">
              <w:rPr>
                <w:rFonts w:ascii="Arial" w:hAnsi="Arial"/>
                <w:i/>
                <w:iCs/>
                <w:sz w:val="18"/>
                <w:szCs w:val="18"/>
                <w:lang w:val="en-GB"/>
              </w:rPr>
              <w:t>ATIH</w:t>
            </w:r>
          </w:p>
        </w:tc>
      </w:tr>
      <w:tr w:rsidR="00D44EE6" w:rsidRPr="00D44EE6" w14:paraId="5144C394" w14:textId="77777777" w:rsidTr="00F04A85">
        <w:trPr>
          <w:trHeight w:val="354"/>
        </w:trPr>
        <w:tc>
          <w:tcPr>
            <w:cnfStyle w:val="001000000000" w:firstRow="0" w:lastRow="0" w:firstColumn="1" w:lastColumn="0" w:oddVBand="0" w:evenVBand="0" w:oddHBand="0" w:evenHBand="0" w:firstRowFirstColumn="0" w:firstRowLastColumn="0" w:lastRowFirstColumn="0" w:lastRowLastColumn="0"/>
            <w:tcW w:w="2675" w:type="dxa"/>
            <w:vAlign w:val="center"/>
          </w:tcPr>
          <w:p w14:paraId="7BCBAC8F" w14:textId="575CDF5F" w:rsidR="00BF309A" w:rsidRPr="00D44EE6" w:rsidRDefault="00BF309A" w:rsidP="00F04A85">
            <w:pPr>
              <w:suppressAutoHyphens/>
              <w:rPr>
                <w:rFonts w:ascii="Arial" w:hAnsi="Arial"/>
                <w:b w:val="0"/>
                <w:bCs w:val="0"/>
                <w:sz w:val="18"/>
                <w:szCs w:val="18"/>
              </w:rPr>
            </w:pPr>
            <w:r w:rsidRPr="00D44EE6">
              <w:rPr>
                <w:rFonts w:ascii="Arial" w:hAnsi="Arial"/>
                <w:b w:val="0"/>
                <w:bCs w:val="0"/>
                <w:sz w:val="18"/>
                <w:szCs w:val="18"/>
                <w:lang w:val="en-GB"/>
              </w:rPr>
              <w:t>Chemotherapy</w:t>
            </w:r>
            <w:r w:rsidRPr="00D44EE6">
              <w:rPr>
                <w:rFonts w:ascii="Arial" w:hAnsi="Arial"/>
                <w:b w:val="0"/>
                <w:bCs w:val="0"/>
                <w:sz w:val="18"/>
                <w:szCs w:val="18"/>
              </w:rPr>
              <w:t>: dacarbazine</w:t>
            </w:r>
          </w:p>
        </w:tc>
        <w:tc>
          <w:tcPr>
            <w:tcW w:w="1950" w:type="dxa"/>
            <w:vAlign w:val="center"/>
          </w:tcPr>
          <w:p w14:paraId="77A0ADFB" w14:textId="7CA60E04" w:rsidR="00BF309A" w:rsidRPr="00D44EE6" w:rsidRDefault="00BF309A" w:rsidP="00F04A85">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sidRPr="00D44EE6">
              <w:rPr>
                <w:rFonts w:ascii="Arial" w:hAnsi="Arial"/>
                <w:sz w:val="18"/>
                <w:szCs w:val="18"/>
              </w:rPr>
              <w:t>6</w:t>
            </w:r>
          </w:p>
        </w:tc>
        <w:tc>
          <w:tcPr>
            <w:tcW w:w="2378" w:type="dxa"/>
            <w:vAlign w:val="center"/>
          </w:tcPr>
          <w:p w14:paraId="6A3F721D" w14:textId="77777777" w:rsidR="00BF309A" w:rsidRPr="00D44EE6" w:rsidRDefault="00BF309A" w:rsidP="00F04A85">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sidRPr="00D44EE6">
              <w:rPr>
                <w:rFonts w:ascii="Arial" w:hAnsi="Arial"/>
                <w:sz w:val="18"/>
                <w:szCs w:val="18"/>
              </w:rPr>
              <w:t>DRG</w:t>
            </w:r>
          </w:p>
        </w:tc>
        <w:tc>
          <w:tcPr>
            <w:tcW w:w="2773" w:type="dxa"/>
            <w:vAlign w:val="center"/>
          </w:tcPr>
          <w:p w14:paraId="1F09AD29" w14:textId="77777777" w:rsidR="00BF309A" w:rsidRPr="00D44EE6" w:rsidRDefault="00BF309A" w:rsidP="00F04A85">
            <w:pPr>
              <w:cnfStyle w:val="000000000000" w:firstRow="0" w:lastRow="0" w:firstColumn="0" w:lastColumn="0" w:oddVBand="0" w:evenVBand="0" w:oddHBand="0" w:evenHBand="0" w:firstRowFirstColumn="0" w:firstRowLastColumn="0" w:lastRowFirstColumn="0" w:lastRowLastColumn="0"/>
              <w:rPr>
                <w:rFonts w:ascii="Arial" w:hAnsi="Arial"/>
                <w:i/>
                <w:iCs/>
                <w:sz w:val="18"/>
                <w:szCs w:val="18"/>
              </w:rPr>
            </w:pPr>
            <w:r w:rsidRPr="00D44EE6">
              <w:rPr>
                <w:rFonts w:ascii="Arial" w:hAnsi="Arial"/>
                <w:i/>
                <w:iCs/>
                <w:sz w:val="18"/>
                <w:szCs w:val="18"/>
              </w:rPr>
              <w:t>ATIH</w:t>
            </w:r>
          </w:p>
        </w:tc>
      </w:tr>
      <w:tr w:rsidR="00D44EE6" w:rsidRPr="00D44EE6" w14:paraId="1AB2F00F" w14:textId="77777777" w:rsidTr="00F04A85">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2675" w:type="dxa"/>
            <w:vAlign w:val="center"/>
          </w:tcPr>
          <w:p w14:paraId="560FDBC2" w14:textId="0974AE16" w:rsidR="00BF309A" w:rsidRPr="00D44EE6" w:rsidRDefault="00BF309A" w:rsidP="00F04A85">
            <w:pPr>
              <w:rPr>
                <w:rFonts w:ascii="Arial" w:hAnsi="Arial"/>
                <w:b w:val="0"/>
                <w:bCs w:val="0"/>
                <w:sz w:val="18"/>
                <w:szCs w:val="18"/>
              </w:rPr>
            </w:pPr>
            <w:r w:rsidRPr="00D44EE6">
              <w:rPr>
                <w:rFonts w:ascii="Arial" w:hAnsi="Arial"/>
                <w:b w:val="0"/>
                <w:bCs w:val="0"/>
                <w:sz w:val="18"/>
                <w:szCs w:val="18"/>
              </w:rPr>
              <w:t>Dabrafenib plus trametinib</w:t>
            </w:r>
          </w:p>
        </w:tc>
        <w:tc>
          <w:tcPr>
            <w:tcW w:w="1950" w:type="dxa"/>
            <w:vAlign w:val="center"/>
          </w:tcPr>
          <w:p w14:paraId="396E76E5" w14:textId="5C473491" w:rsidR="00BF309A" w:rsidRPr="00D44EE6" w:rsidRDefault="00BF309A" w:rsidP="00F04A85">
            <w:pPr>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D44EE6">
              <w:rPr>
                <w:rFonts w:ascii="Arial" w:hAnsi="Arial"/>
                <w:sz w:val="18"/>
                <w:szCs w:val="18"/>
              </w:rPr>
              <w:t>20</w:t>
            </w:r>
          </w:p>
        </w:tc>
        <w:tc>
          <w:tcPr>
            <w:tcW w:w="2378" w:type="dxa"/>
            <w:vAlign w:val="center"/>
          </w:tcPr>
          <w:p w14:paraId="5DD40BBA" w14:textId="6D722967" w:rsidR="00BF309A" w:rsidRPr="00D44EE6" w:rsidRDefault="00BF309A" w:rsidP="00F04A85">
            <w:pPr>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D44EE6">
              <w:rPr>
                <w:rFonts w:ascii="Arial" w:hAnsi="Arial"/>
                <w:sz w:val="18"/>
                <w:szCs w:val="18"/>
              </w:rPr>
              <w:t>Dabrafenib: 368.69</w:t>
            </w:r>
          </w:p>
          <w:p w14:paraId="2AD2C4ED" w14:textId="7870253C" w:rsidR="00BF309A" w:rsidRPr="00D44EE6" w:rsidRDefault="00BF309A" w:rsidP="00F04A85">
            <w:pPr>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D44EE6">
              <w:rPr>
                <w:rFonts w:ascii="Arial" w:hAnsi="Arial"/>
                <w:sz w:val="18"/>
                <w:szCs w:val="18"/>
              </w:rPr>
              <w:t>Trametinib: 178.94</w:t>
            </w:r>
          </w:p>
        </w:tc>
        <w:tc>
          <w:tcPr>
            <w:tcW w:w="2773" w:type="dxa"/>
            <w:vAlign w:val="center"/>
          </w:tcPr>
          <w:p w14:paraId="72D97037" w14:textId="77777777" w:rsidR="00BF309A" w:rsidRPr="00D44EE6" w:rsidRDefault="00BF309A" w:rsidP="00F04A85">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44EE6">
              <w:rPr>
                <w:rFonts w:ascii="Arial" w:hAnsi="Arial" w:cs="Arial"/>
                <w:sz w:val="18"/>
                <w:szCs w:val="18"/>
              </w:rPr>
              <w:t>Official Journal of the French Republic, 11</w:t>
            </w:r>
            <w:r w:rsidRPr="00D44EE6">
              <w:rPr>
                <w:rFonts w:ascii="Arial" w:hAnsi="Arial" w:cs="Arial"/>
                <w:sz w:val="18"/>
                <w:szCs w:val="18"/>
                <w:vertAlign w:val="superscript"/>
              </w:rPr>
              <w:t xml:space="preserve">th </w:t>
            </w:r>
            <w:r w:rsidRPr="00D44EE6">
              <w:rPr>
                <w:rFonts w:ascii="Arial" w:hAnsi="Arial" w:cs="Arial"/>
                <w:sz w:val="18"/>
                <w:szCs w:val="18"/>
              </w:rPr>
              <w:t>December 2019</w:t>
            </w:r>
          </w:p>
        </w:tc>
      </w:tr>
      <w:tr w:rsidR="00D44EE6" w:rsidRPr="00D44EE6" w14:paraId="60443EB2" w14:textId="77777777" w:rsidTr="00F04A85">
        <w:trPr>
          <w:trHeight w:val="459"/>
        </w:trPr>
        <w:tc>
          <w:tcPr>
            <w:cnfStyle w:val="001000000000" w:firstRow="0" w:lastRow="0" w:firstColumn="1" w:lastColumn="0" w:oddVBand="0" w:evenVBand="0" w:oddHBand="0" w:evenHBand="0" w:firstRowFirstColumn="0" w:firstRowLastColumn="0" w:lastRowFirstColumn="0" w:lastRowLastColumn="0"/>
            <w:tcW w:w="2675" w:type="dxa"/>
            <w:vAlign w:val="center"/>
          </w:tcPr>
          <w:p w14:paraId="5DB02F83" w14:textId="0151723A" w:rsidR="00BF309A" w:rsidRPr="00D44EE6" w:rsidRDefault="00BF309A" w:rsidP="00F04A85">
            <w:pPr>
              <w:rPr>
                <w:rFonts w:ascii="Arial" w:hAnsi="Arial"/>
                <w:b w:val="0"/>
                <w:bCs w:val="0"/>
                <w:sz w:val="18"/>
                <w:szCs w:val="18"/>
              </w:rPr>
            </w:pPr>
            <w:r w:rsidRPr="00D44EE6">
              <w:rPr>
                <w:rFonts w:ascii="Arial" w:hAnsi="Arial"/>
                <w:b w:val="0"/>
                <w:bCs w:val="0"/>
                <w:sz w:val="18"/>
                <w:szCs w:val="18"/>
              </w:rPr>
              <w:t>Vemurafenib plus cobimetinib</w:t>
            </w:r>
          </w:p>
        </w:tc>
        <w:tc>
          <w:tcPr>
            <w:tcW w:w="1950" w:type="dxa"/>
            <w:vAlign w:val="center"/>
          </w:tcPr>
          <w:p w14:paraId="4B1B9A0B" w14:textId="2C97BF43" w:rsidR="00BF309A" w:rsidRPr="00D44EE6" w:rsidRDefault="00BF309A" w:rsidP="00F04A85">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sidRPr="00D44EE6">
              <w:rPr>
                <w:rFonts w:ascii="Arial" w:hAnsi="Arial"/>
                <w:sz w:val="18"/>
                <w:szCs w:val="18"/>
              </w:rPr>
              <w:t>6</w:t>
            </w:r>
          </w:p>
        </w:tc>
        <w:tc>
          <w:tcPr>
            <w:tcW w:w="2378" w:type="dxa"/>
            <w:vAlign w:val="center"/>
          </w:tcPr>
          <w:p w14:paraId="7CF16F95" w14:textId="54913CEA" w:rsidR="00BF309A" w:rsidRPr="00D44EE6" w:rsidRDefault="00BF309A" w:rsidP="00F04A85">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sidRPr="00D44EE6">
              <w:rPr>
                <w:rFonts w:ascii="Arial" w:hAnsi="Arial"/>
                <w:sz w:val="18"/>
                <w:szCs w:val="18"/>
              </w:rPr>
              <w:t>118.03</w:t>
            </w:r>
          </w:p>
          <w:p w14:paraId="5552B44B" w14:textId="62DABE9A" w:rsidR="00BF309A" w:rsidRPr="00D44EE6" w:rsidRDefault="00BF309A" w:rsidP="00F04A85">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sidRPr="00D44EE6">
              <w:rPr>
                <w:rFonts w:ascii="Arial" w:hAnsi="Arial"/>
                <w:sz w:val="18"/>
                <w:szCs w:val="18"/>
              </w:rPr>
              <w:t>268.74</w:t>
            </w:r>
          </w:p>
        </w:tc>
        <w:tc>
          <w:tcPr>
            <w:tcW w:w="2773" w:type="dxa"/>
            <w:vAlign w:val="center"/>
          </w:tcPr>
          <w:p w14:paraId="60DB832D" w14:textId="77777777" w:rsidR="00BF309A" w:rsidRPr="00D44EE6" w:rsidRDefault="00BF309A" w:rsidP="00F04A85">
            <w:pPr>
              <w:cnfStyle w:val="000000000000" w:firstRow="0" w:lastRow="0" w:firstColumn="0" w:lastColumn="0" w:oddVBand="0" w:evenVBand="0" w:oddHBand="0" w:evenHBand="0" w:firstRowFirstColumn="0" w:firstRowLastColumn="0" w:lastRowFirstColumn="0" w:lastRowLastColumn="0"/>
              <w:rPr>
                <w:rFonts w:ascii="Arial" w:hAnsi="Arial"/>
                <w:i/>
                <w:iCs/>
                <w:sz w:val="18"/>
                <w:szCs w:val="18"/>
              </w:rPr>
            </w:pPr>
            <w:r w:rsidRPr="00D44EE6">
              <w:rPr>
                <w:rFonts w:ascii="Arial" w:hAnsi="Arial"/>
                <w:i/>
                <w:iCs/>
                <w:sz w:val="18"/>
                <w:szCs w:val="18"/>
              </w:rPr>
              <w:t>BDM-IT</w:t>
            </w:r>
          </w:p>
        </w:tc>
      </w:tr>
      <w:tr w:rsidR="00D44EE6" w:rsidRPr="00D44EE6" w14:paraId="5C72FE13" w14:textId="77777777" w:rsidTr="00F04A85">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2675" w:type="dxa"/>
            <w:vAlign w:val="center"/>
          </w:tcPr>
          <w:p w14:paraId="35261B57" w14:textId="77777777" w:rsidR="00BF309A" w:rsidRPr="00D44EE6" w:rsidRDefault="00BF309A" w:rsidP="00F04A85">
            <w:pPr>
              <w:rPr>
                <w:rFonts w:ascii="Arial" w:hAnsi="Arial"/>
                <w:b w:val="0"/>
                <w:bCs w:val="0"/>
                <w:sz w:val="18"/>
                <w:szCs w:val="18"/>
              </w:rPr>
            </w:pPr>
            <w:r w:rsidRPr="00D44EE6">
              <w:rPr>
                <w:rFonts w:ascii="Arial" w:hAnsi="Arial"/>
                <w:b w:val="0"/>
                <w:bCs w:val="0"/>
                <w:sz w:val="18"/>
                <w:szCs w:val="18"/>
              </w:rPr>
              <w:t>Dabrafenib</w:t>
            </w:r>
          </w:p>
        </w:tc>
        <w:tc>
          <w:tcPr>
            <w:tcW w:w="1950" w:type="dxa"/>
            <w:vAlign w:val="center"/>
          </w:tcPr>
          <w:p w14:paraId="11F3A8EF" w14:textId="7CCEF727" w:rsidR="00BF309A" w:rsidRPr="00D44EE6" w:rsidRDefault="00BF309A" w:rsidP="00F04A85">
            <w:pPr>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D44EE6">
              <w:rPr>
                <w:rFonts w:ascii="Arial" w:hAnsi="Arial"/>
                <w:sz w:val="18"/>
                <w:szCs w:val="18"/>
              </w:rPr>
              <w:t>5</w:t>
            </w:r>
          </w:p>
        </w:tc>
        <w:tc>
          <w:tcPr>
            <w:tcW w:w="2378" w:type="dxa"/>
            <w:vAlign w:val="center"/>
          </w:tcPr>
          <w:p w14:paraId="4BA48183" w14:textId="2AEC91E0" w:rsidR="00BF309A" w:rsidRPr="00D44EE6" w:rsidRDefault="00BF309A" w:rsidP="00F04A85">
            <w:pPr>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D44EE6">
              <w:rPr>
                <w:rFonts w:ascii="Arial" w:hAnsi="Arial"/>
                <w:sz w:val="18"/>
                <w:szCs w:val="18"/>
              </w:rPr>
              <w:t>368.69</w:t>
            </w:r>
          </w:p>
        </w:tc>
        <w:tc>
          <w:tcPr>
            <w:tcW w:w="2773" w:type="dxa"/>
            <w:vAlign w:val="center"/>
          </w:tcPr>
          <w:p w14:paraId="01094A46" w14:textId="77777777" w:rsidR="00BF309A" w:rsidRPr="00D44EE6" w:rsidRDefault="00BF309A" w:rsidP="00F04A85">
            <w:pPr>
              <w:cnfStyle w:val="000000100000" w:firstRow="0" w:lastRow="0" w:firstColumn="0" w:lastColumn="0" w:oddVBand="0" w:evenVBand="0" w:oddHBand="1" w:evenHBand="0" w:firstRowFirstColumn="0" w:firstRowLastColumn="0" w:lastRowFirstColumn="0" w:lastRowLastColumn="0"/>
              <w:rPr>
                <w:rFonts w:ascii="Arial" w:hAnsi="Arial"/>
                <w:sz w:val="18"/>
                <w:szCs w:val="18"/>
                <w:lang w:val="en-GB"/>
              </w:rPr>
            </w:pPr>
            <w:r w:rsidRPr="00D44EE6">
              <w:rPr>
                <w:rFonts w:ascii="Arial" w:hAnsi="Arial" w:cs="Arial"/>
                <w:sz w:val="18"/>
                <w:szCs w:val="18"/>
              </w:rPr>
              <w:t>Official Journal of the French Republic, 11</w:t>
            </w:r>
            <w:r w:rsidRPr="00D44EE6">
              <w:rPr>
                <w:rFonts w:ascii="Arial" w:hAnsi="Arial" w:cs="Arial"/>
                <w:sz w:val="18"/>
                <w:szCs w:val="18"/>
                <w:vertAlign w:val="superscript"/>
              </w:rPr>
              <w:t xml:space="preserve">th </w:t>
            </w:r>
            <w:r w:rsidRPr="00D44EE6">
              <w:rPr>
                <w:rFonts w:ascii="Arial" w:hAnsi="Arial" w:cs="Arial"/>
                <w:sz w:val="18"/>
                <w:szCs w:val="18"/>
              </w:rPr>
              <w:t>December 2019</w:t>
            </w:r>
          </w:p>
        </w:tc>
      </w:tr>
      <w:tr w:rsidR="00D44EE6" w:rsidRPr="00D44EE6" w14:paraId="11061CF9" w14:textId="77777777" w:rsidTr="00F04A85">
        <w:trPr>
          <w:trHeight w:val="459"/>
        </w:trPr>
        <w:tc>
          <w:tcPr>
            <w:cnfStyle w:val="001000000000" w:firstRow="0" w:lastRow="0" w:firstColumn="1" w:lastColumn="0" w:oddVBand="0" w:evenVBand="0" w:oddHBand="0" w:evenHBand="0" w:firstRowFirstColumn="0" w:firstRowLastColumn="0" w:lastRowFirstColumn="0" w:lastRowLastColumn="0"/>
            <w:tcW w:w="2675" w:type="dxa"/>
            <w:vAlign w:val="center"/>
          </w:tcPr>
          <w:p w14:paraId="428A03E8" w14:textId="77777777" w:rsidR="00BF309A" w:rsidRPr="00D44EE6" w:rsidRDefault="00BF309A" w:rsidP="00F04A85">
            <w:pPr>
              <w:rPr>
                <w:rFonts w:ascii="Arial" w:hAnsi="Arial"/>
                <w:b w:val="0"/>
                <w:bCs w:val="0"/>
                <w:sz w:val="18"/>
                <w:szCs w:val="18"/>
              </w:rPr>
            </w:pPr>
            <w:r w:rsidRPr="00D44EE6">
              <w:rPr>
                <w:rFonts w:ascii="Arial" w:hAnsi="Arial"/>
                <w:b w:val="0"/>
                <w:bCs w:val="0"/>
                <w:sz w:val="18"/>
                <w:szCs w:val="18"/>
              </w:rPr>
              <w:t>Vemurafenib</w:t>
            </w:r>
          </w:p>
        </w:tc>
        <w:tc>
          <w:tcPr>
            <w:tcW w:w="1950" w:type="dxa"/>
            <w:vAlign w:val="center"/>
          </w:tcPr>
          <w:p w14:paraId="43C4BAE4" w14:textId="50A4F7D8" w:rsidR="00BF309A" w:rsidRPr="00D44EE6" w:rsidRDefault="00BF309A" w:rsidP="00F04A85">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sidRPr="00D44EE6">
              <w:rPr>
                <w:rFonts w:ascii="Arial" w:hAnsi="Arial"/>
                <w:sz w:val="18"/>
                <w:szCs w:val="18"/>
              </w:rPr>
              <w:t>3</w:t>
            </w:r>
          </w:p>
        </w:tc>
        <w:tc>
          <w:tcPr>
            <w:tcW w:w="2378" w:type="dxa"/>
            <w:vAlign w:val="center"/>
          </w:tcPr>
          <w:p w14:paraId="6D428DF9" w14:textId="63C4FF85" w:rsidR="00BF309A" w:rsidRPr="00D44EE6" w:rsidRDefault="00BF309A" w:rsidP="00F04A85">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sidRPr="00D44EE6">
              <w:rPr>
                <w:rFonts w:ascii="Arial" w:hAnsi="Arial"/>
                <w:sz w:val="18"/>
                <w:szCs w:val="18"/>
              </w:rPr>
              <w:t>118.39</w:t>
            </w:r>
          </w:p>
        </w:tc>
        <w:tc>
          <w:tcPr>
            <w:tcW w:w="2773" w:type="dxa"/>
            <w:vAlign w:val="center"/>
          </w:tcPr>
          <w:p w14:paraId="2D4D7ECC" w14:textId="77777777" w:rsidR="00BF309A" w:rsidRPr="00D44EE6" w:rsidRDefault="00BF309A" w:rsidP="00F04A85">
            <w:pPr>
              <w:cnfStyle w:val="000000000000" w:firstRow="0" w:lastRow="0" w:firstColumn="0" w:lastColumn="0" w:oddVBand="0" w:evenVBand="0" w:oddHBand="0" w:evenHBand="0" w:firstRowFirstColumn="0" w:firstRowLastColumn="0" w:lastRowFirstColumn="0" w:lastRowLastColumn="0"/>
              <w:rPr>
                <w:rFonts w:ascii="Arial" w:hAnsi="Arial"/>
                <w:i/>
                <w:iCs/>
                <w:sz w:val="18"/>
                <w:szCs w:val="18"/>
              </w:rPr>
            </w:pPr>
            <w:r w:rsidRPr="00D44EE6">
              <w:rPr>
                <w:rFonts w:ascii="Arial" w:hAnsi="Arial"/>
                <w:i/>
                <w:iCs/>
                <w:sz w:val="18"/>
                <w:szCs w:val="18"/>
              </w:rPr>
              <w:t>BDM-IT</w:t>
            </w:r>
          </w:p>
        </w:tc>
      </w:tr>
      <w:tr w:rsidR="00D44EE6" w:rsidRPr="00D44EE6" w14:paraId="2317793E" w14:textId="77777777" w:rsidTr="00F04A85">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2675" w:type="dxa"/>
            <w:vAlign w:val="center"/>
          </w:tcPr>
          <w:p w14:paraId="32922D29" w14:textId="77777777" w:rsidR="00BF309A" w:rsidRPr="00D44EE6" w:rsidRDefault="00BF309A" w:rsidP="00F04A85">
            <w:pPr>
              <w:rPr>
                <w:rFonts w:ascii="Arial" w:hAnsi="Arial"/>
                <w:b w:val="0"/>
                <w:bCs w:val="0"/>
                <w:sz w:val="18"/>
                <w:szCs w:val="18"/>
              </w:rPr>
            </w:pPr>
            <w:r w:rsidRPr="00D44EE6">
              <w:rPr>
                <w:rFonts w:ascii="Arial" w:hAnsi="Arial"/>
                <w:b w:val="0"/>
                <w:bCs w:val="0"/>
                <w:sz w:val="18"/>
                <w:szCs w:val="18"/>
              </w:rPr>
              <w:t>Ipilimumab</w:t>
            </w:r>
          </w:p>
        </w:tc>
        <w:tc>
          <w:tcPr>
            <w:tcW w:w="1950" w:type="dxa"/>
            <w:vAlign w:val="center"/>
          </w:tcPr>
          <w:p w14:paraId="2CDB5A48" w14:textId="178B7A4B" w:rsidR="00BF309A" w:rsidRPr="00D44EE6" w:rsidRDefault="00BF309A" w:rsidP="00F04A85">
            <w:pPr>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D44EE6">
              <w:rPr>
                <w:rFonts w:ascii="Arial" w:hAnsi="Arial"/>
                <w:sz w:val="18"/>
                <w:szCs w:val="18"/>
              </w:rPr>
              <w:t>0</w:t>
            </w:r>
          </w:p>
        </w:tc>
        <w:tc>
          <w:tcPr>
            <w:tcW w:w="2378" w:type="dxa"/>
            <w:vAlign w:val="center"/>
          </w:tcPr>
          <w:p w14:paraId="76235492" w14:textId="2DCA08D1" w:rsidR="00BF309A" w:rsidRPr="00D44EE6" w:rsidRDefault="00BF309A" w:rsidP="00F04A85">
            <w:pPr>
              <w:cnfStyle w:val="000000100000" w:firstRow="0" w:lastRow="0" w:firstColumn="0" w:lastColumn="0" w:oddVBand="0" w:evenVBand="0" w:oddHBand="1" w:evenHBand="0" w:firstRowFirstColumn="0" w:firstRowLastColumn="0" w:lastRowFirstColumn="0" w:lastRowLastColumn="0"/>
              <w:rPr>
                <w:rFonts w:ascii="Arial" w:hAnsi="Arial"/>
                <w:sz w:val="18"/>
                <w:szCs w:val="18"/>
              </w:rPr>
            </w:pPr>
            <w:r w:rsidRPr="00D44EE6">
              <w:rPr>
                <w:rFonts w:ascii="Arial" w:hAnsi="Arial"/>
                <w:sz w:val="18"/>
                <w:szCs w:val="18"/>
              </w:rPr>
              <w:t>DRG</w:t>
            </w:r>
          </w:p>
        </w:tc>
        <w:tc>
          <w:tcPr>
            <w:tcW w:w="2773" w:type="dxa"/>
            <w:vAlign w:val="center"/>
          </w:tcPr>
          <w:p w14:paraId="44704BC4" w14:textId="77777777" w:rsidR="00BF309A" w:rsidRPr="00D44EE6" w:rsidRDefault="00BF309A" w:rsidP="00F04A85">
            <w:pPr>
              <w:cnfStyle w:val="000000100000" w:firstRow="0" w:lastRow="0" w:firstColumn="0" w:lastColumn="0" w:oddVBand="0" w:evenVBand="0" w:oddHBand="1" w:evenHBand="0" w:firstRowFirstColumn="0" w:firstRowLastColumn="0" w:lastRowFirstColumn="0" w:lastRowLastColumn="0"/>
              <w:rPr>
                <w:rFonts w:ascii="Arial" w:hAnsi="Arial"/>
                <w:i/>
                <w:iCs/>
                <w:sz w:val="18"/>
                <w:szCs w:val="18"/>
              </w:rPr>
            </w:pPr>
            <w:r w:rsidRPr="00D44EE6">
              <w:rPr>
                <w:rFonts w:ascii="Arial" w:hAnsi="Arial"/>
                <w:i/>
                <w:iCs/>
                <w:sz w:val="18"/>
                <w:szCs w:val="18"/>
              </w:rPr>
              <w:t>ATIH</w:t>
            </w:r>
          </w:p>
        </w:tc>
      </w:tr>
      <w:tr w:rsidR="00D44EE6" w:rsidRPr="00D44EE6" w14:paraId="7F1C59B0" w14:textId="77777777" w:rsidTr="00F04A85">
        <w:trPr>
          <w:trHeight w:val="490"/>
        </w:trPr>
        <w:tc>
          <w:tcPr>
            <w:cnfStyle w:val="001000000000" w:firstRow="0" w:lastRow="0" w:firstColumn="1" w:lastColumn="0" w:oddVBand="0" w:evenVBand="0" w:oddHBand="0" w:evenHBand="0" w:firstRowFirstColumn="0" w:firstRowLastColumn="0" w:lastRowFirstColumn="0" w:lastRowLastColumn="0"/>
            <w:tcW w:w="2675" w:type="dxa"/>
            <w:tcBorders>
              <w:bottom w:val="single" w:sz="4" w:space="0" w:color="auto"/>
            </w:tcBorders>
            <w:vAlign w:val="center"/>
          </w:tcPr>
          <w:p w14:paraId="56930D99" w14:textId="5CDF5514" w:rsidR="00BF309A" w:rsidRPr="00D44EE6" w:rsidRDefault="00BF309A" w:rsidP="00F04A85">
            <w:pPr>
              <w:rPr>
                <w:rFonts w:ascii="Arial" w:hAnsi="Arial"/>
                <w:b w:val="0"/>
                <w:bCs w:val="0"/>
                <w:sz w:val="18"/>
                <w:szCs w:val="18"/>
              </w:rPr>
            </w:pPr>
            <w:r w:rsidRPr="00D44EE6">
              <w:rPr>
                <w:rFonts w:ascii="Arial" w:hAnsi="Arial"/>
                <w:b w:val="0"/>
                <w:bCs w:val="0"/>
                <w:sz w:val="18"/>
                <w:szCs w:val="18"/>
              </w:rPr>
              <w:t>Other (clinical trials)</w:t>
            </w:r>
          </w:p>
        </w:tc>
        <w:tc>
          <w:tcPr>
            <w:tcW w:w="1950" w:type="dxa"/>
            <w:tcBorders>
              <w:bottom w:val="single" w:sz="4" w:space="0" w:color="auto"/>
            </w:tcBorders>
            <w:vAlign w:val="center"/>
          </w:tcPr>
          <w:p w14:paraId="627D8AC2" w14:textId="7ECFC531" w:rsidR="00BF309A" w:rsidRPr="00D44EE6" w:rsidRDefault="00BF309A" w:rsidP="00F04A85">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sidRPr="00D44EE6">
              <w:rPr>
                <w:rFonts w:ascii="Arial" w:hAnsi="Arial"/>
                <w:sz w:val="18"/>
                <w:szCs w:val="18"/>
              </w:rPr>
              <w:t>0</w:t>
            </w:r>
          </w:p>
        </w:tc>
        <w:tc>
          <w:tcPr>
            <w:tcW w:w="2378" w:type="dxa"/>
            <w:tcBorders>
              <w:bottom w:val="single" w:sz="4" w:space="0" w:color="auto"/>
            </w:tcBorders>
            <w:vAlign w:val="center"/>
          </w:tcPr>
          <w:p w14:paraId="05412F10" w14:textId="77777777" w:rsidR="00BF309A" w:rsidRPr="00D44EE6" w:rsidRDefault="00BF309A" w:rsidP="00F04A85">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sidRPr="00D44EE6">
              <w:rPr>
                <w:rFonts w:ascii="Arial" w:hAnsi="Arial"/>
                <w:sz w:val="18"/>
                <w:szCs w:val="18"/>
              </w:rPr>
              <w:t>No cost</w:t>
            </w:r>
          </w:p>
        </w:tc>
        <w:tc>
          <w:tcPr>
            <w:tcW w:w="2773" w:type="dxa"/>
            <w:tcBorders>
              <w:bottom w:val="single" w:sz="4" w:space="0" w:color="auto"/>
            </w:tcBorders>
            <w:vAlign w:val="center"/>
          </w:tcPr>
          <w:p w14:paraId="30B73295" w14:textId="77777777" w:rsidR="00BF309A" w:rsidRPr="00D44EE6" w:rsidRDefault="00BF309A" w:rsidP="00F04A85">
            <w:pPr>
              <w:cnfStyle w:val="000000000000" w:firstRow="0" w:lastRow="0" w:firstColumn="0" w:lastColumn="0" w:oddVBand="0" w:evenVBand="0" w:oddHBand="0" w:evenHBand="0" w:firstRowFirstColumn="0" w:firstRowLastColumn="0" w:lastRowFirstColumn="0" w:lastRowLastColumn="0"/>
              <w:rPr>
                <w:rFonts w:ascii="Arial" w:hAnsi="Arial"/>
                <w:sz w:val="18"/>
                <w:szCs w:val="18"/>
              </w:rPr>
            </w:pPr>
            <w:r w:rsidRPr="00D44EE6">
              <w:rPr>
                <w:rFonts w:ascii="Arial" w:hAnsi="Arial"/>
                <w:sz w:val="18"/>
                <w:szCs w:val="18"/>
              </w:rPr>
              <w:t>Not applicable</w:t>
            </w:r>
          </w:p>
        </w:tc>
      </w:tr>
    </w:tbl>
    <w:p w14:paraId="7DA9B3CA" w14:textId="4BC96E35" w:rsidR="00BF309A" w:rsidRPr="00D44EE6" w:rsidRDefault="00BF309A" w:rsidP="00BF309A">
      <w:pPr>
        <w:rPr>
          <w:rFonts w:ascii="Arial" w:hAnsi="Arial" w:cs="Arial"/>
          <w:kern w:val="24"/>
          <w:sz w:val="18"/>
          <w:szCs w:val="18"/>
        </w:rPr>
      </w:pPr>
      <w:r w:rsidRPr="00D44EE6">
        <w:rPr>
          <w:rFonts w:ascii="Arial" w:hAnsi="Arial" w:cs="Arial"/>
          <w:sz w:val="18"/>
          <w:lang w:val="en-GB"/>
        </w:rPr>
        <w:t>All costs correspond to 2019</w:t>
      </w:r>
      <w:r w:rsidR="00174B5B" w:rsidRPr="00D44EE6">
        <w:rPr>
          <w:rFonts w:ascii="Arial" w:hAnsi="Arial" w:cs="Arial"/>
          <w:sz w:val="18"/>
          <w:lang w:val="en-GB"/>
        </w:rPr>
        <w:t xml:space="preserve"> values</w:t>
      </w:r>
      <w:r w:rsidRPr="00D44EE6">
        <w:rPr>
          <w:rFonts w:ascii="Arial" w:hAnsi="Arial" w:cs="Arial"/>
          <w:sz w:val="18"/>
          <w:lang w:val="en-GB"/>
        </w:rPr>
        <w:t xml:space="preserve"> </w:t>
      </w:r>
    </w:p>
    <w:p w14:paraId="25ED403A" w14:textId="2DB62D3F" w:rsidR="004E1D2A" w:rsidRPr="00D44EE6" w:rsidRDefault="004E1D2A" w:rsidP="004E1D2A">
      <w:pPr>
        <w:rPr>
          <w:rFonts w:ascii="Arial" w:hAnsi="Arial" w:cs="Arial"/>
          <w:sz w:val="18"/>
          <w:lang w:val="fr-FR"/>
        </w:rPr>
      </w:pPr>
      <w:r w:rsidRPr="00D44EE6">
        <w:rPr>
          <w:rFonts w:ascii="Arial" w:hAnsi="Arial" w:cs="Arial"/>
          <w:i/>
          <w:iCs/>
          <w:sz w:val="18"/>
          <w:lang w:val="fr-FR"/>
        </w:rPr>
        <w:t>ATIH</w:t>
      </w:r>
      <w:r w:rsidRPr="00D44EE6">
        <w:rPr>
          <w:rFonts w:ascii="Arial" w:hAnsi="Arial" w:cs="Arial"/>
          <w:sz w:val="18"/>
          <w:lang w:val="fr-FR"/>
        </w:rPr>
        <w:t xml:space="preserve"> </w:t>
      </w:r>
      <w:r w:rsidRPr="00D44EE6">
        <w:rPr>
          <w:rFonts w:ascii="Arial" w:hAnsi="Arial" w:cs="Arial"/>
          <w:iCs/>
          <w:sz w:val="18"/>
          <w:lang w:val="fr-FR"/>
        </w:rPr>
        <w:t>Agence technique de l’information sur l’hospitalisation,</w:t>
      </w:r>
      <w:r w:rsidRPr="00D44EE6">
        <w:rPr>
          <w:rFonts w:ascii="Arial" w:hAnsi="Arial" w:cs="Arial"/>
          <w:sz w:val="18"/>
          <w:lang w:val="fr-FR"/>
        </w:rPr>
        <w:t xml:space="preserve"> </w:t>
      </w:r>
      <w:r w:rsidRPr="00D44EE6">
        <w:rPr>
          <w:rFonts w:ascii="Arial" w:hAnsi="Arial" w:cs="Arial"/>
          <w:i/>
          <w:iCs/>
          <w:sz w:val="18"/>
          <w:lang w:val="fr-FR"/>
        </w:rPr>
        <w:t>BDM-IT</w:t>
      </w:r>
      <w:r w:rsidRPr="00D44EE6">
        <w:rPr>
          <w:rFonts w:ascii="Arial" w:hAnsi="Arial" w:cs="Arial"/>
          <w:sz w:val="18"/>
          <w:lang w:val="fr-FR"/>
        </w:rPr>
        <w:t xml:space="preserve"> </w:t>
      </w:r>
      <w:r w:rsidRPr="00D44EE6">
        <w:rPr>
          <w:rFonts w:ascii="Arial" w:hAnsi="Arial" w:cs="Arial"/>
          <w:iCs/>
          <w:sz w:val="18"/>
          <w:lang w:val="fr-FR"/>
        </w:rPr>
        <w:t>Base de données des médicaments – Information tarifaire,</w:t>
      </w:r>
      <w:r w:rsidRPr="00D44EE6">
        <w:rPr>
          <w:rFonts w:ascii="Arial" w:hAnsi="Arial" w:cs="Arial"/>
          <w:i/>
          <w:iCs/>
          <w:sz w:val="18"/>
          <w:lang w:val="fr-FR"/>
        </w:rPr>
        <w:t xml:space="preserve"> DRG</w:t>
      </w:r>
      <w:r w:rsidRPr="00D44EE6">
        <w:rPr>
          <w:rFonts w:ascii="Arial" w:hAnsi="Arial" w:cs="Arial"/>
          <w:sz w:val="18"/>
          <w:lang w:val="fr-FR"/>
        </w:rPr>
        <w:t xml:space="preserve"> diagnosis-related group,</w:t>
      </w:r>
    </w:p>
    <w:p w14:paraId="6C7D8C9C" w14:textId="77777777" w:rsidR="00BF309A" w:rsidRPr="00D44EE6" w:rsidRDefault="00BF309A" w:rsidP="00B35094">
      <w:pPr>
        <w:pStyle w:val="Caption"/>
        <w:rPr>
          <w:rFonts w:ascii="Arial" w:hAnsi="Arial" w:cs="Arial"/>
          <w:b/>
          <w:i w:val="0"/>
          <w:color w:val="auto"/>
          <w:lang w:val="fr-FR"/>
        </w:rPr>
      </w:pPr>
    </w:p>
    <w:p w14:paraId="2DA03110" w14:textId="77777777" w:rsidR="00BF309A" w:rsidRPr="00D44EE6" w:rsidRDefault="00BF309A" w:rsidP="00B35094">
      <w:pPr>
        <w:pStyle w:val="Caption"/>
        <w:rPr>
          <w:rFonts w:ascii="Arial" w:hAnsi="Arial" w:cs="Arial"/>
          <w:b/>
          <w:i w:val="0"/>
          <w:color w:val="auto"/>
          <w:lang w:val="fr-FR"/>
        </w:rPr>
      </w:pPr>
    </w:p>
    <w:p w14:paraId="2AAEED5B" w14:textId="77777777" w:rsidR="00BF309A" w:rsidRPr="00D44EE6" w:rsidRDefault="00BF309A">
      <w:pPr>
        <w:rPr>
          <w:rFonts w:ascii="Arial" w:hAnsi="Arial" w:cs="Arial"/>
          <w:b/>
          <w:iCs/>
          <w:sz w:val="18"/>
          <w:szCs w:val="18"/>
          <w:lang w:val="fr-FR"/>
        </w:rPr>
      </w:pPr>
      <w:r w:rsidRPr="00D44EE6">
        <w:rPr>
          <w:rFonts w:ascii="Arial" w:hAnsi="Arial" w:cs="Arial"/>
          <w:b/>
          <w:i/>
          <w:lang w:val="fr-FR"/>
        </w:rPr>
        <w:br w:type="page"/>
      </w:r>
    </w:p>
    <w:p w14:paraId="45D29230" w14:textId="64CF7A86" w:rsidR="00872AAC" w:rsidRPr="00D44EE6" w:rsidRDefault="00872AAC" w:rsidP="00872AAC">
      <w:pPr>
        <w:pStyle w:val="Caption"/>
        <w:rPr>
          <w:rFonts w:ascii="Arial" w:hAnsi="Arial" w:cs="Arial"/>
          <w:b/>
          <w:i w:val="0"/>
          <w:color w:val="auto"/>
          <w:sz w:val="22"/>
          <w:szCs w:val="20"/>
          <w:lang w:val="en-GB"/>
        </w:rPr>
      </w:pPr>
      <w:r w:rsidRPr="00D44EE6">
        <w:rPr>
          <w:rFonts w:ascii="Arial" w:hAnsi="Arial" w:cs="Arial"/>
          <w:b/>
          <w:i w:val="0"/>
          <w:color w:val="auto"/>
          <w:sz w:val="22"/>
          <w:szCs w:val="20"/>
          <w:lang w:val="en-GB"/>
        </w:rPr>
        <w:t xml:space="preserve">Table 5 </w:t>
      </w:r>
      <w:r w:rsidRPr="00D44EE6">
        <w:rPr>
          <w:rFonts w:ascii="Arial" w:hAnsi="Arial" w:cs="Arial"/>
          <w:bCs/>
          <w:i w:val="0"/>
          <w:color w:val="auto"/>
          <w:sz w:val="22"/>
          <w:szCs w:val="20"/>
          <w:lang w:val="en-GB"/>
        </w:rPr>
        <w:t>Mean unit costs of adverse events</w:t>
      </w:r>
    </w:p>
    <w:tbl>
      <w:tblPr>
        <w:tblStyle w:val="PlainTable2"/>
        <w:tblW w:w="9634" w:type="dxa"/>
        <w:tblBorders>
          <w:top w:val="none" w:sz="0" w:space="0" w:color="auto"/>
          <w:bottom w:val="none" w:sz="0" w:space="0" w:color="auto"/>
        </w:tblBorders>
        <w:tblLook w:val="04A0" w:firstRow="1" w:lastRow="0" w:firstColumn="1" w:lastColumn="0" w:noHBand="0" w:noVBand="1"/>
      </w:tblPr>
      <w:tblGrid>
        <w:gridCol w:w="1555"/>
        <w:gridCol w:w="1134"/>
        <w:gridCol w:w="2274"/>
        <w:gridCol w:w="1553"/>
        <w:gridCol w:w="3118"/>
      </w:tblGrid>
      <w:tr w:rsidR="00D44EE6" w:rsidRPr="00D44EE6" w14:paraId="37C58E4B" w14:textId="77777777" w:rsidTr="00623D68">
        <w:trPr>
          <w:cnfStyle w:val="100000000000" w:firstRow="1" w:lastRow="0" w:firstColumn="0" w:lastColumn="0" w:oddVBand="0" w:evenVBand="0" w:oddHBand="0" w:evenHBand="0" w:firstRowFirstColumn="0" w:firstRowLastColumn="0" w:lastRowFirstColumn="0" w:lastRowLastColumn="0"/>
          <w:trHeight w:val="961"/>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bottom w:val="single" w:sz="4" w:space="0" w:color="auto"/>
            </w:tcBorders>
            <w:vAlign w:val="center"/>
            <w:hideMark/>
          </w:tcPr>
          <w:p w14:paraId="3A3F1F3E" w14:textId="029D4CB7" w:rsidR="00872AAC" w:rsidRPr="00D44EE6" w:rsidRDefault="00045AC5" w:rsidP="00F04A85">
            <w:pPr>
              <w:pStyle w:val="BodyText"/>
              <w:rPr>
                <w:rFonts w:ascii="Arial" w:hAnsi="Arial" w:cs="Arial"/>
                <w:bCs w:val="0"/>
                <w:sz w:val="18"/>
                <w:szCs w:val="18"/>
                <w:lang w:val="en-GB"/>
              </w:rPr>
            </w:pPr>
            <w:r w:rsidRPr="00D44EE6">
              <w:rPr>
                <w:rFonts w:ascii="Arial" w:hAnsi="Arial" w:cs="Arial"/>
                <w:bCs w:val="0"/>
                <w:sz w:val="18"/>
                <w:szCs w:val="18"/>
                <w:lang w:val="en-GB"/>
              </w:rPr>
              <w:t>AE</w:t>
            </w:r>
          </w:p>
        </w:tc>
        <w:tc>
          <w:tcPr>
            <w:tcW w:w="1134" w:type="dxa"/>
            <w:tcBorders>
              <w:top w:val="single" w:sz="4" w:space="0" w:color="auto"/>
              <w:bottom w:val="single" w:sz="4" w:space="0" w:color="auto"/>
            </w:tcBorders>
            <w:vAlign w:val="center"/>
            <w:hideMark/>
          </w:tcPr>
          <w:p w14:paraId="229E6544" w14:textId="77777777" w:rsidR="00872AAC" w:rsidRPr="00D44EE6" w:rsidRDefault="00872AAC" w:rsidP="00F04A85">
            <w:pPr>
              <w:pStyle w:val="BodyText"/>
              <w:cnfStyle w:val="100000000000" w:firstRow="1" w:lastRow="0" w:firstColumn="0" w:lastColumn="0" w:oddVBand="0" w:evenVBand="0" w:oddHBand="0" w:evenHBand="0" w:firstRowFirstColumn="0" w:firstRowLastColumn="0" w:lastRowFirstColumn="0" w:lastRowLastColumn="0"/>
              <w:rPr>
                <w:rFonts w:ascii="Arial" w:hAnsi="Arial" w:cs="Arial"/>
                <w:bCs w:val="0"/>
                <w:sz w:val="18"/>
                <w:szCs w:val="18"/>
                <w:lang w:val="en-GB"/>
              </w:rPr>
            </w:pPr>
            <w:r w:rsidRPr="00D44EE6">
              <w:rPr>
                <w:rFonts w:ascii="Arial" w:hAnsi="Arial" w:cs="Arial"/>
                <w:bCs w:val="0"/>
                <w:sz w:val="18"/>
                <w:szCs w:val="18"/>
                <w:lang w:val="en-GB"/>
              </w:rPr>
              <w:t>Mean cost per event (€)</w:t>
            </w:r>
          </w:p>
        </w:tc>
        <w:tc>
          <w:tcPr>
            <w:tcW w:w="2274" w:type="dxa"/>
            <w:tcBorders>
              <w:top w:val="single" w:sz="4" w:space="0" w:color="auto"/>
              <w:bottom w:val="single" w:sz="4" w:space="0" w:color="auto"/>
            </w:tcBorders>
            <w:vAlign w:val="center"/>
            <w:hideMark/>
          </w:tcPr>
          <w:p w14:paraId="319FB014" w14:textId="77777777" w:rsidR="00872AAC" w:rsidRPr="00D44EE6" w:rsidRDefault="00872AAC" w:rsidP="00F04A85">
            <w:pPr>
              <w:pStyle w:val="BodyText"/>
              <w:cnfStyle w:val="100000000000" w:firstRow="1" w:lastRow="0" w:firstColumn="0" w:lastColumn="0" w:oddVBand="0" w:evenVBand="0" w:oddHBand="0" w:evenHBand="0" w:firstRowFirstColumn="0" w:firstRowLastColumn="0" w:lastRowFirstColumn="0" w:lastRowLastColumn="0"/>
              <w:rPr>
                <w:rFonts w:ascii="Arial" w:hAnsi="Arial" w:cs="Arial"/>
                <w:bCs w:val="0"/>
                <w:sz w:val="18"/>
                <w:szCs w:val="18"/>
                <w:lang w:val="en-GB"/>
              </w:rPr>
            </w:pPr>
            <w:r w:rsidRPr="00D44EE6">
              <w:rPr>
                <w:rFonts w:ascii="Arial" w:hAnsi="Arial" w:cs="Arial"/>
                <w:bCs w:val="0"/>
                <w:sz w:val="18"/>
                <w:szCs w:val="18"/>
                <w:lang w:val="en-GB"/>
              </w:rPr>
              <w:t>Source</w:t>
            </w:r>
          </w:p>
        </w:tc>
        <w:tc>
          <w:tcPr>
            <w:tcW w:w="1553" w:type="dxa"/>
            <w:tcBorders>
              <w:top w:val="single" w:sz="4" w:space="0" w:color="auto"/>
              <w:bottom w:val="single" w:sz="4" w:space="0" w:color="auto"/>
            </w:tcBorders>
            <w:vAlign w:val="center"/>
            <w:hideMark/>
          </w:tcPr>
          <w:p w14:paraId="5632C8F4" w14:textId="77777777" w:rsidR="00872AAC" w:rsidRPr="00D44EE6" w:rsidRDefault="00872AAC" w:rsidP="00045AC5">
            <w:pPr>
              <w:pStyle w:val="BodyText"/>
              <w:cnfStyle w:val="100000000000" w:firstRow="1" w:lastRow="0" w:firstColumn="0" w:lastColumn="0" w:oddVBand="0" w:evenVBand="0" w:oddHBand="0" w:evenHBand="0" w:firstRowFirstColumn="0" w:firstRowLastColumn="0" w:lastRowFirstColumn="0" w:lastRowLastColumn="0"/>
              <w:rPr>
                <w:rFonts w:ascii="Arial" w:hAnsi="Arial" w:cs="Arial"/>
                <w:bCs w:val="0"/>
                <w:sz w:val="18"/>
                <w:szCs w:val="18"/>
                <w:lang w:val="en-GB"/>
              </w:rPr>
            </w:pPr>
            <w:r w:rsidRPr="00D44EE6">
              <w:rPr>
                <w:rFonts w:ascii="Arial" w:hAnsi="Arial" w:cs="Arial"/>
                <w:bCs w:val="0"/>
                <w:sz w:val="18"/>
                <w:szCs w:val="18"/>
                <w:lang w:val="en-GB"/>
              </w:rPr>
              <w:t>Mean cost per event, including transportation costs (€)</w:t>
            </w:r>
          </w:p>
        </w:tc>
        <w:tc>
          <w:tcPr>
            <w:tcW w:w="3118" w:type="dxa"/>
            <w:tcBorders>
              <w:top w:val="single" w:sz="4" w:space="0" w:color="auto"/>
              <w:bottom w:val="single" w:sz="4" w:space="0" w:color="auto"/>
            </w:tcBorders>
            <w:vAlign w:val="center"/>
            <w:hideMark/>
          </w:tcPr>
          <w:p w14:paraId="755422BC" w14:textId="77777777" w:rsidR="00872AAC" w:rsidRPr="00D44EE6" w:rsidRDefault="00872AAC" w:rsidP="00F04A85">
            <w:pPr>
              <w:pStyle w:val="BodyText"/>
              <w:cnfStyle w:val="100000000000" w:firstRow="1" w:lastRow="0" w:firstColumn="0" w:lastColumn="0" w:oddVBand="0" w:evenVBand="0" w:oddHBand="0" w:evenHBand="0" w:firstRowFirstColumn="0" w:firstRowLastColumn="0" w:lastRowFirstColumn="0" w:lastRowLastColumn="0"/>
              <w:rPr>
                <w:rFonts w:ascii="Arial" w:hAnsi="Arial" w:cs="Arial"/>
                <w:bCs w:val="0"/>
                <w:sz w:val="18"/>
                <w:szCs w:val="18"/>
                <w:lang w:val="en-GB"/>
              </w:rPr>
            </w:pPr>
            <w:r w:rsidRPr="00D44EE6">
              <w:rPr>
                <w:rFonts w:ascii="Arial" w:hAnsi="Arial" w:cs="Arial"/>
                <w:bCs w:val="0"/>
                <w:sz w:val="18"/>
                <w:szCs w:val="18"/>
                <w:lang w:val="en-GB"/>
              </w:rPr>
              <w:t>Source</w:t>
            </w:r>
          </w:p>
        </w:tc>
      </w:tr>
      <w:tr w:rsidR="00D44EE6" w:rsidRPr="00D44EE6" w14:paraId="44B97DB7" w14:textId="77777777" w:rsidTr="00623D68">
        <w:trPr>
          <w:cnfStyle w:val="000000100000" w:firstRow="0" w:lastRow="0" w:firstColumn="0" w:lastColumn="0" w:oddVBand="0" w:evenVBand="0" w:oddHBand="1"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tcBorders>
            <w:vAlign w:val="center"/>
            <w:hideMark/>
          </w:tcPr>
          <w:p w14:paraId="30F0A0CC" w14:textId="77777777" w:rsidR="00872AAC" w:rsidRPr="00D44EE6" w:rsidRDefault="00872AAC" w:rsidP="00F04A85">
            <w:pPr>
              <w:pStyle w:val="BodyText"/>
              <w:rPr>
                <w:rFonts w:ascii="Arial" w:hAnsi="Arial" w:cs="Arial"/>
                <w:b w:val="0"/>
                <w:sz w:val="18"/>
                <w:szCs w:val="18"/>
                <w:lang w:val="en-GB"/>
              </w:rPr>
            </w:pPr>
            <w:r w:rsidRPr="00D44EE6">
              <w:rPr>
                <w:rFonts w:ascii="Arial" w:hAnsi="Arial" w:cs="Arial"/>
                <w:b w:val="0"/>
                <w:sz w:val="18"/>
                <w:szCs w:val="18"/>
                <w:lang w:val="en-GB"/>
              </w:rPr>
              <w:t>Grades</w:t>
            </w:r>
          </w:p>
        </w:tc>
        <w:tc>
          <w:tcPr>
            <w:tcW w:w="1134" w:type="dxa"/>
            <w:tcBorders>
              <w:top w:val="single" w:sz="4" w:space="0" w:color="auto"/>
            </w:tcBorders>
            <w:vAlign w:val="center"/>
            <w:hideMark/>
          </w:tcPr>
          <w:p w14:paraId="1A558BE0" w14:textId="77777777" w:rsidR="00872AAC" w:rsidRPr="00D44EE6" w:rsidRDefault="00872AAC" w:rsidP="00F04A85">
            <w:pPr>
              <w:pStyle w:val="BodyText"/>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lang w:val="en-GB"/>
              </w:rPr>
            </w:pPr>
            <w:r w:rsidRPr="00D44EE6">
              <w:rPr>
                <w:rFonts w:ascii="Arial" w:hAnsi="Arial" w:cs="Arial"/>
                <w:bCs/>
                <w:sz w:val="18"/>
                <w:szCs w:val="18"/>
                <w:lang w:val="en-GB"/>
              </w:rPr>
              <w:t>1–2</w:t>
            </w:r>
          </w:p>
        </w:tc>
        <w:tc>
          <w:tcPr>
            <w:tcW w:w="2274" w:type="dxa"/>
            <w:tcBorders>
              <w:top w:val="single" w:sz="4" w:space="0" w:color="auto"/>
            </w:tcBorders>
            <w:vAlign w:val="center"/>
            <w:hideMark/>
          </w:tcPr>
          <w:p w14:paraId="5EE3DB14" w14:textId="77777777" w:rsidR="00872AAC" w:rsidRPr="00D44EE6" w:rsidRDefault="00872AAC" w:rsidP="00F04A85">
            <w:pPr>
              <w:pStyle w:val="BodyText"/>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lang w:val="en-GB"/>
              </w:rPr>
            </w:pPr>
          </w:p>
        </w:tc>
        <w:tc>
          <w:tcPr>
            <w:tcW w:w="1553" w:type="dxa"/>
            <w:tcBorders>
              <w:top w:val="single" w:sz="4" w:space="0" w:color="auto"/>
            </w:tcBorders>
            <w:vAlign w:val="center"/>
            <w:hideMark/>
          </w:tcPr>
          <w:p w14:paraId="66586BC6" w14:textId="77777777" w:rsidR="00872AAC" w:rsidRPr="00D44EE6" w:rsidRDefault="00872AAC" w:rsidP="00F04A85">
            <w:pPr>
              <w:pStyle w:val="BodyText"/>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lang w:val="en-GB"/>
              </w:rPr>
            </w:pPr>
            <w:r w:rsidRPr="00D44EE6">
              <w:rPr>
                <w:rFonts w:ascii="Arial" w:hAnsi="Arial" w:cs="Arial"/>
                <w:bCs/>
                <w:sz w:val="18"/>
                <w:szCs w:val="18"/>
                <w:lang w:val="en-GB"/>
              </w:rPr>
              <w:t>3–4</w:t>
            </w:r>
          </w:p>
        </w:tc>
        <w:tc>
          <w:tcPr>
            <w:tcW w:w="3118" w:type="dxa"/>
            <w:tcBorders>
              <w:top w:val="single" w:sz="4" w:space="0" w:color="auto"/>
            </w:tcBorders>
            <w:vAlign w:val="center"/>
            <w:hideMark/>
          </w:tcPr>
          <w:p w14:paraId="692B7F24" w14:textId="77777777" w:rsidR="00872AAC" w:rsidRPr="00D44EE6" w:rsidRDefault="00872AAC" w:rsidP="00F04A85">
            <w:pPr>
              <w:pStyle w:val="BodyText"/>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lang w:val="en-GB"/>
              </w:rPr>
            </w:pPr>
          </w:p>
        </w:tc>
      </w:tr>
      <w:tr w:rsidR="00D44EE6" w:rsidRPr="00D44EE6" w14:paraId="03A61881" w14:textId="77777777" w:rsidTr="007C5E1C">
        <w:trPr>
          <w:trHeight w:val="378"/>
        </w:trPr>
        <w:tc>
          <w:tcPr>
            <w:cnfStyle w:val="001000000000" w:firstRow="0" w:lastRow="0" w:firstColumn="1" w:lastColumn="0" w:oddVBand="0" w:evenVBand="0" w:oddHBand="0" w:evenHBand="0" w:firstRowFirstColumn="0" w:firstRowLastColumn="0" w:lastRowFirstColumn="0" w:lastRowLastColumn="0"/>
            <w:tcW w:w="1555" w:type="dxa"/>
            <w:vAlign w:val="center"/>
            <w:hideMark/>
          </w:tcPr>
          <w:p w14:paraId="1B18B611" w14:textId="77777777" w:rsidR="00872AAC" w:rsidRPr="00D44EE6" w:rsidRDefault="00872AAC" w:rsidP="00F04A85">
            <w:pPr>
              <w:pStyle w:val="BodyText"/>
              <w:rPr>
                <w:rFonts w:ascii="Arial" w:hAnsi="Arial" w:cs="Arial"/>
                <w:b w:val="0"/>
                <w:bCs w:val="0"/>
                <w:sz w:val="18"/>
                <w:szCs w:val="18"/>
                <w:lang w:val="en-GB"/>
              </w:rPr>
            </w:pPr>
            <w:r w:rsidRPr="00D44EE6">
              <w:rPr>
                <w:rFonts w:ascii="Arial" w:hAnsi="Arial" w:cs="Arial"/>
                <w:b w:val="0"/>
                <w:bCs w:val="0"/>
                <w:sz w:val="18"/>
                <w:szCs w:val="18"/>
                <w:lang w:val="en-GB"/>
              </w:rPr>
              <w:t>Fatigue</w:t>
            </w:r>
          </w:p>
        </w:tc>
        <w:tc>
          <w:tcPr>
            <w:tcW w:w="1134" w:type="dxa"/>
            <w:vAlign w:val="center"/>
          </w:tcPr>
          <w:p w14:paraId="1E0D62D3" w14:textId="77777777" w:rsidR="00872AAC" w:rsidRPr="00D44EE6" w:rsidRDefault="00872AAC" w:rsidP="00F04A85">
            <w:pPr>
              <w:pStyle w:val="BodyTex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49</w:t>
            </w:r>
          </w:p>
        </w:tc>
        <w:tc>
          <w:tcPr>
            <w:tcW w:w="2274" w:type="dxa"/>
            <w:vAlign w:val="center"/>
            <w:hideMark/>
          </w:tcPr>
          <w:p w14:paraId="0294F86C" w14:textId="00F8F623" w:rsidR="00872AAC" w:rsidRPr="00D44EE6" w:rsidRDefault="00872AAC" w:rsidP="00F04A85">
            <w:pPr>
              <w:pStyle w:val="BodyTex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 xml:space="preserve">Mickisch et al, 2010 </w:t>
            </w:r>
            <w:r w:rsidR="0037218A" w:rsidRPr="00D44EE6">
              <w:rPr>
                <w:rFonts w:ascii="Arial" w:hAnsi="Arial" w:cs="Arial"/>
                <w:noProof/>
                <w:sz w:val="18"/>
                <w:szCs w:val="18"/>
                <w:lang w:val="en-GB"/>
              </w:rPr>
              <w:t>[15]</w:t>
            </w:r>
          </w:p>
        </w:tc>
        <w:tc>
          <w:tcPr>
            <w:tcW w:w="1553" w:type="dxa"/>
            <w:vAlign w:val="center"/>
            <w:hideMark/>
          </w:tcPr>
          <w:p w14:paraId="280AEA74" w14:textId="77777777" w:rsidR="00872AAC" w:rsidRPr="00D44EE6" w:rsidRDefault="00872AAC" w:rsidP="00F04A85">
            <w:pPr>
              <w:pStyle w:val="BodyText"/>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2521</w:t>
            </w:r>
          </w:p>
        </w:tc>
        <w:tc>
          <w:tcPr>
            <w:tcW w:w="3118" w:type="dxa"/>
            <w:vAlign w:val="center"/>
            <w:hideMark/>
          </w:tcPr>
          <w:p w14:paraId="45D125DB" w14:textId="575476ED" w:rsidR="00872AAC" w:rsidRPr="00D44EE6" w:rsidRDefault="00872AAC" w:rsidP="00F04A85">
            <w:pPr>
              <w:pStyle w:val="BodyTex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 xml:space="preserve">Fernandes et al, 2017 </w:t>
            </w:r>
            <w:r w:rsidR="0037218A" w:rsidRPr="00D44EE6">
              <w:rPr>
                <w:rFonts w:ascii="Arial" w:hAnsi="Arial" w:cs="Arial"/>
                <w:noProof/>
                <w:sz w:val="18"/>
                <w:szCs w:val="18"/>
                <w:lang w:val="en-GB"/>
              </w:rPr>
              <w:t>[16]</w:t>
            </w:r>
          </w:p>
        </w:tc>
      </w:tr>
      <w:tr w:rsidR="00D44EE6" w:rsidRPr="00D44EE6" w14:paraId="06E5A62E" w14:textId="77777777" w:rsidTr="007C5E1C">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555" w:type="dxa"/>
            <w:vAlign w:val="center"/>
            <w:hideMark/>
          </w:tcPr>
          <w:p w14:paraId="1606CD74" w14:textId="77777777" w:rsidR="00872AAC" w:rsidRPr="00D44EE6" w:rsidRDefault="00872AAC" w:rsidP="00F04A85">
            <w:pPr>
              <w:pStyle w:val="BodyText"/>
              <w:rPr>
                <w:rFonts w:ascii="Arial" w:hAnsi="Arial" w:cs="Arial"/>
                <w:b w:val="0"/>
                <w:bCs w:val="0"/>
                <w:sz w:val="18"/>
                <w:szCs w:val="18"/>
                <w:lang w:val="en-GB"/>
              </w:rPr>
            </w:pPr>
            <w:r w:rsidRPr="00D44EE6">
              <w:rPr>
                <w:rFonts w:ascii="Arial" w:hAnsi="Arial" w:cs="Arial"/>
                <w:b w:val="0"/>
                <w:bCs w:val="0"/>
                <w:sz w:val="18"/>
                <w:szCs w:val="18"/>
                <w:lang w:val="en-GB"/>
              </w:rPr>
              <w:t>Anaemia</w:t>
            </w:r>
          </w:p>
        </w:tc>
        <w:tc>
          <w:tcPr>
            <w:tcW w:w="1134" w:type="dxa"/>
            <w:vAlign w:val="center"/>
            <w:hideMark/>
          </w:tcPr>
          <w:p w14:paraId="1E04A4A6" w14:textId="77777777" w:rsidR="00872AAC" w:rsidRPr="00D44EE6" w:rsidRDefault="00872AAC" w:rsidP="00F04A85">
            <w:pPr>
              <w:pStyle w:val="BodyTex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1739</w:t>
            </w:r>
          </w:p>
        </w:tc>
        <w:tc>
          <w:tcPr>
            <w:tcW w:w="2274" w:type="dxa"/>
            <w:vAlign w:val="center"/>
            <w:hideMark/>
          </w:tcPr>
          <w:p w14:paraId="332D2F0D" w14:textId="1984A7D1" w:rsidR="00872AAC" w:rsidRPr="00D44EE6" w:rsidRDefault="00872AAC" w:rsidP="00F04A85">
            <w:pPr>
              <w:pStyle w:val="BodyTex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 xml:space="preserve">Cemka report, 2017 </w:t>
            </w:r>
            <w:r w:rsidR="0037218A" w:rsidRPr="00D44EE6">
              <w:rPr>
                <w:rFonts w:ascii="Arial" w:hAnsi="Arial" w:cs="Arial"/>
                <w:noProof/>
                <w:sz w:val="18"/>
                <w:szCs w:val="18"/>
                <w:lang w:val="en-GB"/>
              </w:rPr>
              <w:t>[17]</w:t>
            </w:r>
          </w:p>
        </w:tc>
        <w:tc>
          <w:tcPr>
            <w:tcW w:w="1553" w:type="dxa"/>
            <w:vAlign w:val="center"/>
            <w:hideMark/>
          </w:tcPr>
          <w:p w14:paraId="6772C8C8" w14:textId="77777777" w:rsidR="00872AAC" w:rsidRPr="00D44EE6" w:rsidRDefault="00872AAC" w:rsidP="00F04A85">
            <w:pPr>
              <w:pStyle w:val="BodyTex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3646</w:t>
            </w:r>
          </w:p>
        </w:tc>
        <w:tc>
          <w:tcPr>
            <w:tcW w:w="3118" w:type="dxa"/>
            <w:vAlign w:val="center"/>
            <w:hideMark/>
          </w:tcPr>
          <w:p w14:paraId="398D904D" w14:textId="7DB87E7D" w:rsidR="00872AAC" w:rsidRPr="00D44EE6" w:rsidRDefault="00872AAC" w:rsidP="00F04A85">
            <w:pPr>
              <w:pStyle w:val="BodyTex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 xml:space="preserve">Cemka report, 2017 </w:t>
            </w:r>
            <w:r w:rsidR="0037218A" w:rsidRPr="00D44EE6">
              <w:rPr>
                <w:rFonts w:ascii="Arial" w:hAnsi="Arial" w:cs="Arial"/>
                <w:noProof/>
                <w:sz w:val="18"/>
                <w:szCs w:val="18"/>
                <w:lang w:val="en-GB"/>
              </w:rPr>
              <w:t>[17]</w:t>
            </w:r>
          </w:p>
        </w:tc>
      </w:tr>
      <w:tr w:rsidR="00D44EE6" w:rsidRPr="00D44EE6" w14:paraId="24A9FB73" w14:textId="77777777" w:rsidTr="007C5E1C">
        <w:trPr>
          <w:trHeight w:val="418"/>
        </w:trPr>
        <w:tc>
          <w:tcPr>
            <w:cnfStyle w:val="001000000000" w:firstRow="0" w:lastRow="0" w:firstColumn="1" w:lastColumn="0" w:oddVBand="0" w:evenVBand="0" w:oddHBand="0" w:evenHBand="0" w:firstRowFirstColumn="0" w:firstRowLastColumn="0" w:lastRowFirstColumn="0" w:lastRowLastColumn="0"/>
            <w:tcW w:w="1555" w:type="dxa"/>
            <w:vAlign w:val="center"/>
            <w:hideMark/>
          </w:tcPr>
          <w:p w14:paraId="3324DBC6" w14:textId="77777777" w:rsidR="00872AAC" w:rsidRPr="00D44EE6" w:rsidRDefault="00872AAC" w:rsidP="00F04A85">
            <w:pPr>
              <w:pStyle w:val="BodyText"/>
              <w:rPr>
                <w:rFonts w:ascii="Arial" w:hAnsi="Arial" w:cs="Arial"/>
                <w:b w:val="0"/>
                <w:bCs w:val="0"/>
                <w:sz w:val="18"/>
                <w:szCs w:val="18"/>
                <w:lang w:val="en-GB"/>
              </w:rPr>
            </w:pPr>
            <w:r w:rsidRPr="00D44EE6">
              <w:rPr>
                <w:rFonts w:ascii="Arial" w:hAnsi="Arial" w:cs="Arial"/>
                <w:b w:val="0"/>
                <w:bCs w:val="0"/>
                <w:sz w:val="18"/>
                <w:szCs w:val="18"/>
                <w:lang w:val="en-GB"/>
              </w:rPr>
              <w:t>Leucopoenia</w:t>
            </w:r>
          </w:p>
        </w:tc>
        <w:tc>
          <w:tcPr>
            <w:tcW w:w="1134" w:type="dxa"/>
            <w:vAlign w:val="center"/>
            <w:hideMark/>
          </w:tcPr>
          <w:p w14:paraId="28100316" w14:textId="77777777" w:rsidR="00872AAC" w:rsidRPr="00D44EE6" w:rsidRDefault="00872AAC" w:rsidP="00F04A85">
            <w:pPr>
              <w:pStyle w:val="BodyTex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676</w:t>
            </w:r>
          </w:p>
        </w:tc>
        <w:tc>
          <w:tcPr>
            <w:tcW w:w="2274" w:type="dxa"/>
            <w:vAlign w:val="center"/>
            <w:hideMark/>
          </w:tcPr>
          <w:p w14:paraId="095339C3" w14:textId="67CD3025" w:rsidR="00872AAC" w:rsidRPr="00D44EE6" w:rsidRDefault="00872AAC" w:rsidP="00F04A85">
            <w:pPr>
              <w:pStyle w:val="BodyTex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 xml:space="preserve">Mickisch et al, 2010 </w:t>
            </w:r>
            <w:r w:rsidR="0037218A" w:rsidRPr="00D44EE6">
              <w:rPr>
                <w:rFonts w:ascii="Arial" w:hAnsi="Arial" w:cs="Arial"/>
                <w:noProof/>
                <w:sz w:val="18"/>
                <w:szCs w:val="18"/>
                <w:lang w:val="en-GB"/>
              </w:rPr>
              <w:t>[15]</w:t>
            </w:r>
          </w:p>
        </w:tc>
        <w:tc>
          <w:tcPr>
            <w:tcW w:w="1553" w:type="dxa"/>
            <w:vAlign w:val="center"/>
            <w:hideMark/>
          </w:tcPr>
          <w:p w14:paraId="58DBAE5A" w14:textId="77777777" w:rsidR="00872AAC" w:rsidRPr="00D44EE6" w:rsidRDefault="00872AAC" w:rsidP="00F04A85">
            <w:pPr>
              <w:pStyle w:val="BodyText"/>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6117</w:t>
            </w:r>
          </w:p>
        </w:tc>
        <w:tc>
          <w:tcPr>
            <w:tcW w:w="3118" w:type="dxa"/>
            <w:vAlign w:val="center"/>
            <w:hideMark/>
          </w:tcPr>
          <w:p w14:paraId="7EBC9B97" w14:textId="6E826DF8" w:rsidR="00872AAC" w:rsidRPr="00D44EE6" w:rsidRDefault="00872AAC" w:rsidP="00F04A85">
            <w:pPr>
              <w:pStyle w:val="BodyTex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 xml:space="preserve">Mikisch et al, 2010 </w:t>
            </w:r>
            <w:r w:rsidR="0037218A" w:rsidRPr="00D44EE6">
              <w:rPr>
                <w:rFonts w:ascii="Arial" w:hAnsi="Arial" w:cs="Arial"/>
                <w:noProof/>
                <w:sz w:val="18"/>
                <w:szCs w:val="18"/>
                <w:lang w:val="en-GB"/>
              </w:rPr>
              <w:t>[15]</w:t>
            </w:r>
          </w:p>
        </w:tc>
      </w:tr>
      <w:tr w:rsidR="00D44EE6" w:rsidRPr="00D44EE6" w14:paraId="4A416DFC" w14:textId="77777777" w:rsidTr="00623D68">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1555" w:type="dxa"/>
            <w:vAlign w:val="center"/>
            <w:hideMark/>
          </w:tcPr>
          <w:p w14:paraId="28202D8A" w14:textId="77777777" w:rsidR="00872AAC" w:rsidRPr="00D44EE6" w:rsidRDefault="00872AAC" w:rsidP="00F04A85">
            <w:pPr>
              <w:pStyle w:val="BodyText"/>
              <w:rPr>
                <w:rFonts w:ascii="Arial" w:hAnsi="Arial" w:cs="Arial"/>
                <w:b w:val="0"/>
                <w:bCs w:val="0"/>
                <w:sz w:val="18"/>
                <w:szCs w:val="18"/>
                <w:lang w:val="en-GB"/>
              </w:rPr>
            </w:pPr>
            <w:r w:rsidRPr="00D44EE6">
              <w:rPr>
                <w:rFonts w:ascii="Arial" w:hAnsi="Arial" w:cs="Arial"/>
                <w:b w:val="0"/>
                <w:bCs w:val="0"/>
                <w:sz w:val="18"/>
                <w:szCs w:val="18"/>
                <w:lang w:val="en-GB"/>
              </w:rPr>
              <w:t>Anorexia</w:t>
            </w:r>
          </w:p>
        </w:tc>
        <w:tc>
          <w:tcPr>
            <w:tcW w:w="1134" w:type="dxa"/>
            <w:vAlign w:val="center"/>
            <w:hideMark/>
          </w:tcPr>
          <w:p w14:paraId="757FDAE6" w14:textId="77777777" w:rsidR="00872AAC" w:rsidRPr="00D44EE6" w:rsidRDefault="00872AAC" w:rsidP="00F04A85">
            <w:pPr>
              <w:pStyle w:val="BodyTex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49</w:t>
            </w:r>
          </w:p>
        </w:tc>
        <w:tc>
          <w:tcPr>
            <w:tcW w:w="2274" w:type="dxa"/>
            <w:vAlign w:val="center"/>
            <w:hideMark/>
          </w:tcPr>
          <w:p w14:paraId="44FDAC9B" w14:textId="3E8141E7" w:rsidR="00872AAC" w:rsidRPr="00D44EE6" w:rsidRDefault="00872AAC" w:rsidP="00F04A85">
            <w:pPr>
              <w:pStyle w:val="BodyTex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 xml:space="preserve">Mickisch et al, 2010 </w:t>
            </w:r>
            <w:r w:rsidR="0037218A" w:rsidRPr="00D44EE6">
              <w:rPr>
                <w:rFonts w:ascii="Arial" w:hAnsi="Arial" w:cs="Arial"/>
                <w:noProof/>
                <w:sz w:val="18"/>
                <w:szCs w:val="18"/>
                <w:lang w:val="en-GB"/>
              </w:rPr>
              <w:t>[15]</w:t>
            </w:r>
          </w:p>
        </w:tc>
        <w:tc>
          <w:tcPr>
            <w:tcW w:w="1553" w:type="dxa"/>
            <w:vAlign w:val="center"/>
            <w:hideMark/>
          </w:tcPr>
          <w:p w14:paraId="52D3844F" w14:textId="77777777" w:rsidR="00872AAC" w:rsidRPr="00D44EE6" w:rsidRDefault="00872AAC" w:rsidP="00F04A85">
            <w:pPr>
              <w:pStyle w:val="BodyTex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2697</w:t>
            </w:r>
          </w:p>
        </w:tc>
        <w:tc>
          <w:tcPr>
            <w:tcW w:w="3118" w:type="dxa"/>
            <w:vAlign w:val="center"/>
            <w:hideMark/>
          </w:tcPr>
          <w:p w14:paraId="1787A7EA" w14:textId="7DB33E27" w:rsidR="00872AAC" w:rsidRPr="00D44EE6" w:rsidRDefault="00872AAC" w:rsidP="00F04A85">
            <w:pPr>
              <w:pStyle w:val="BodyTex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 xml:space="preserve">Mickisch et al, 2010 </w:t>
            </w:r>
            <w:r w:rsidR="0037218A" w:rsidRPr="00D44EE6">
              <w:rPr>
                <w:rFonts w:ascii="Arial" w:hAnsi="Arial" w:cs="Arial"/>
                <w:noProof/>
                <w:sz w:val="18"/>
                <w:szCs w:val="18"/>
                <w:lang w:val="en-GB"/>
              </w:rPr>
              <w:t>[15]</w:t>
            </w:r>
          </w:p>
        </w:tc>
      </w:tr>
      <w:tr w:rsidR="00D44EE6" w:rsidRPr="00D44EE6" w14:paraId="3498A844" w14:textId="77777777" w:rsidTr="007C5E1C">
        <w:trPr>
          <w:trHeight w:val="456"/>
        </w:trPr>
        <w:tc>
          <w:tcPr>
            <w:cnfStyle w:val="001000000000" w:firstRow="0" w:lastRow="0" w:firstColumn="1" w:lastColumn="0" w:oddVBand="0" w:evenVBand="0" w:oddHBand="0" w:evenHBand="0" w:firstRowFirstColumn="0" w:firstRowLastColumn="0" w:lastRowFirstColumn="0" w:lastRowLastColumn="0"/>
            <w:tcW w:w="1555" w:type="dxa"/>
            <w:vAlign w:val="center"/>
            <w:hideMark/>
          </w:tcPr>
          <w:p w14:paraId="4B253C4E" w14:textId="78592F13" w:rsidR="00872AAC" w:rsidRPr="00D44EE6" w:rsidRDefault="00872AAC" w:rsidP="00F04A85">
            <w:pPr>
              <w:pStyle w:val="BodyText"/>
              <w:rPr>
                <w:rFonts w:ascii="Arial" w:hAnsi="Arial" w:cs="Arial"/>
                <w:b w:val="0"/>
                <w:bCs w:val="0"/>
                <w:sz w:val="18"/>
                <w:szCs w:val="18"/>
                <w:lang w:val="en-GB"/>
              </w:rPr>
            </w:pPr>
            <w:r w:rsidRPr="00D44EE6">
              <w:rPr>
                <w:rFonts w:ascii="Arial" w:hAnsi="Arial" w:cs="Arial"/>
                <w:b w:val="0"/>
                <w:bCs w:val="0"/>
                <w:sz w:val="18"/>
                <w:szCs w:val="18"/>
                <w:lang w:val="en-GB"/>
              </w:rPr>
              <w:t>Fever/</w:t>
            </w:r>
            <w:r w:rsidR="007C3B96" w:rsidRPr="00D44EE6">
              <w:rPr>
                <w:rFonts w:ascii="Arial" w:hAnsi="Arial" w:cs="Arial"/>
                <w:b w:val="0"/>
                <w:bCs w:val="0"/>
                <w:sz w:val="18"/>
                <w:szCs w:val="18"/>
                <w:lang w:val="en-GB"/>
              </w:rPr>
              <w:t>p</w:t>
            </w:r>
            <w:r w:rsidRPr="00D44EE6">
              <w:rPr>
                <w:rFonts w:ascii="Arial" w:hAnsi="Arial" w:cs="Arial"/>
                <w:b w:val="0"/>
                <w:bCs w:val="0"/>
                <w:sz w:val="18"/>
                <w:szCs w:val="18"/>
                <w:lang w:val="en-GB"/>
              </w:rPr>
              <w:t>yrexia</w:t>
            </w:r>
          </w:p>
        </w:tc>
        <w:tc>
          <w:tcPr>
            <w:tcW w:w="1134" w:type="dxa"/>
            <w:vAlign w:val="center"/>
            <w:hideMark/>
          </w:tcPr>
          <w:p w14:paraId="6E875B6B" w14:textId="77777777" w:rsidR="00872AAC" w:rsidRPr="00D44EE6" w:rsidRDefault="00872AAC" w:rsidP="00F04A85">
            <w:pPr>
              <w:pStyle w:val="BodyTex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106</w:t>
            </w:r>
          </w:p>
        </w:tc>
        <w:tc>
          <w:tcPr>
            <w:tcW w:w="2274" w:type="dxa"/>
            <w:vAlign w:val="center"/>
            <w:hideMark/>
          </w:tcPr>
          <w:p w14:paraId="59CB04F7" w14:textId="5A0DBDD3" w:rsidR="00872AAC" w:rsidRPr="00D44EE6" w:rsidRDefault="00872AAC" w:rsidP="00F04A85">
            <w:pPr>
              <w:pStyle w:val="BodyTex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 xml:space="preserve">Mickisch et al, 2010 </w:t>
            </w:r>
            <w:r w:rsidR="0037218A" w:rsidRPr="00D44EE6">
              <w:rPr>
                <w:rFonts w:ascii="Arial" w:hAnsi="Arial" w:cs="Arial"/>
                <w:noProof/>
                <w:sz w:val="18"/>
                <w:szCs w:val="18"/>
                <w:lang w:val="en-GB"/>
              </w:rPr>
              <w:t>[15]</w:t>
            </w:r>
          </w:p>
        </w:tc>
        <w:tc>
          <w:tcPr>
            <w:tcW w:w="1553" w:type="dxa"/>
            <w:vAlign w:val="center"/>
            <w:hideMark/>
          </w:tcPr>
          <w:p w14:paraId="5C8A638D" w14:textId="77777777" w:rsidR="00872AAC" w:rsidRPr="00D44EE6" w:rsidRDefault="00872AAC" w:rsidP="00F04A85">
            <w:pPr>
              <w:pStyle w:val="BodyText"/>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3138</w:t>
            </w:r>
          </w:p>
        </w:tc>
        <w:tc>
          <w:tcPr>
            <w:tcW w:w="3118" w:type="dxa"/>
            <w:vAlign w:val="center"/>
            <w:hideMark/>
          </w:tcPr>
          <w:p w14:paraId="441A00AC" w14:textId="699C98BA" w:rsidR="00872AAC" w:rsidRPr="00D44EE6" w:rsidRDefault="00872AAC" w:rsidP="00F04A85">
            <w:pPr>
              <w:pStyle w:val="BodyTex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 xml:space="preserve">Mickisch et al, 2010 </w:t>
            </w:r>
            <w:r w:rsidR="0037218A" w:rsidRPr="00D44EE6">
              <w:rPr>
                <w:rFonts w:ascii="Arial" w:hAnsi="Arial" w:cs="Arial"/>
                <w:noProof/>
                <w:sz w:val="18"/>
                <w:szCs w:val="18"/>
                <w:lang w:val="en-GB"/>
              </w:rPr>
              <w:t>[15]</w:t>
            </w:r>
          </w:p>
        </w:tc>
      </w:tr>
      <w:tr w:rsidR="00D44EE6" w:rsidRPr="00D44EE6" w14:paraId="36B4BC3A" w14:textId="77777777" w:rsidTr="007C5E1C">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1555" w:type="dxa"/>
            <w:vAlign w:val="center"/>
            <w:hideMark/>
          </w:tcPr>
          <w:p w14:paraId="5F7C141D" w14:textId="77777777" w:rsidR="00872AAC" w:rsidRPr="00D44EE6" w:rsidRDefault="00872AAC" w:rsidP="00F04A85">
            <w:pPr>
              <w:pStyle w:val="BodyText"/>
              <w:rPr>
                <w:rFonts w:ascii="Arial" w:hAnsi="Arial" w:cs="Arial"/>
                <w:b w:val="0"/>
                <w:bCs w:val="0"/>
                <w:sz w:val="18"/>
                <w:szCs w:val="18"/>
                <w:lang w:val="en-GB"/>
              </w:rPr>
            </w:pPr>
            <w:r w:rsidRPr="00D44EE6">
              <w:rPr>
                <w:rFonts w:ascii="Arial" w:hAnsi="Arial" w:cs="Arial"/>
                <w:b w:val="0"/>
                <w:bCs w:val="0"/>
                <w:sz w:val="18"/>
                <w:szCs w:val="18"/>
                <w:lang w:val="en-GB"/>
              </w:rPr>
              <w:t>Infection</w:t>
            </w:r>
          </w:p>
        </w:tc>
        <w:tc>
          <w:tcPr>
            <w:tcW w:w="1134" w:type="dxa"/>
            <w:vAlign w:val="center"/>
            <w:hideMark/>
          </w:tcPr>
          <w:p w14:paraId="361C8D74" w14:textId="77777777" w:rsidR="00872AAC" w:rsidRPr="00D44EE6" w:rsidRDefault="00872AAC" w:rsidP="00F04A85">
            <w:pPr>
              <w:pStyle w:val="BodyTex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42</w:t>
            </w:r>
          </w:p>
        </w:tc>
        <w:tc>
          <w:tcPr>
            <w:tcW w:w="2274" w:type="dxa"/>
            <w:vAlign w:val="center"/>
            <w:hideMark/>
          </w:tcPr>
          <w:p w14:paraId="006B6AB8" w14:textId="1F5F3797" w:rsidR="00872AAC" w:rsidRPr="00D44EE6" w:rsidRDefault="00872AAC" w:rsidP="00F04A85">
            <w:pPr>
              <w:pStyle w:val="BodyText"/>
              <w:ind w:right="-109"/>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 xml:space="preserve">Cemka report, 2017 </w:t>
            </w:r>
            <w:r w:rsidR="0037218A" w:rsidRPr="00D44EE6">
              <w:rPr>
                <w:rFonts w:ascii="Arial" w:hAnsi="Arial" w:cs="Arial"/>
                <w:noProof/>
                <w:sz w:val="18"/>
                <w:szCs w:val="18"/>
                <w:lang w:val="en-GB"/>
              </w:rPr>
              <w:t>[17]</w:t>
            </w:r>
          </w:p>
        </w:tc>
        <w:tc>
          <w:tcPr>
            <w:tcW w:w="1553" w:type="dxa"/>
            <w:vAlign w:val="center"/>
            <w:hideMark/>
          </w:tcPr>
          <w:p w14:paraId="33E9C493" w14:textId="77777777" w:rsidR="00872AAC" w:rsidRPr="00D44EE6" w:rsidRDefault="00872AAC" w:rsidP="00F04A85">
            <w:pPr>
              <w:pStyle w:val="BodyTex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1041</w:t>
            </w:r>
          </w:p>
        </w:tc>
        <w:tc>
          <w:tcPr>
            <w:tcW w:w="3118" w:type="dxa"/>
            <w:vAlign w:val="center"/>
            <w:hideMark/>
          </w:tcPr>
          <w:p w14:paraId="2A2709EE" w14:textId="5EF3A9D3" w:rsidR="00872AAC" w:rsidRPr="00D44EE6" w:rsidRDefault="00872AAC" w:rsidP="00F04A85">
            <w:pPr>
              <w:pStyle w:val="BodyTex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 xml:space="preserve">Brown et al, 2008 </w:t>
            </w:r>
            <w:r w:rsidR="0037218A" w:rsidRPr="00D44EE6">
              <w:rPr>
                <w:rFonts w:ascii="Arial" w:hAnsi="Arial" w:cs="Arial"/>
                <w:noProof/>
                <w:sz w:val="18"/>
                <w:szCs w:val="18"/>
                <w:lang w:val="en-GB"/>
              </w:rPr>
              <w:t>[18]</w:t>
            </w:r>
          </w:p>
        </w:tc>
      </w:tr>
      <w:tr w:rsidR="00D44EE6" w:rsidRPr="00D44EE6" w14:paraId="6F14DA20" w14:textId="77777777" w:rsidTr="00623D68">
        <w:trPr>
          <w:trHeight w:val="279"/>
        </w:trPr>
        <w:tc>
          <w:tcPr>
            <w:cnfStyle w:val="001000000000" w:firstRow="0" w:lastRow="0" w:firstColumn="1" w:lastColumn="0" w:oddVBand="0" w:evenVBand="0" w:oddHBand="0" w:evenHBand="0" w:firstRowFirstColumn="0" w:firstRowLastColumn="0" w:lastRowFirstColumn="0" w:lastRowLastColumn="0"/>
            <w:tcW w:w="1555" w:type="dxa"/>
            <w:vAlign w:val="center"/>
            <w:hideMark/>
          </w:tcPr>
          <w:p w14:paraId="4EA5C736" w14:textId="77777777" w:rsidR="00872AAC" w:rsidRPr="00D44EE6" w:rsidRDefault="00872AAC" w:rsidP="00F04A85">
            <w:pPr>
              <w:pStyle w:val="BodyText"/>
              <w:rPr>
                <w:rFonts w:ascii="Arial" w:hAnsi="Arial" w:cs="Arial"/>
                <w:b w:val="0"/>
                <w:bCs w:val="0"/>
                <w:sz w:val="18"/>
                <w:szCs w:val="18"/>
                <w:lang w:val="en-GB"/>
              </w:rPr>
            </w:pPr>
            <w:r w:rsidRPr="00D44EE6">
              <w:rPr>
                <w:rFonts w:ascii="Arial" w:hAnsi="Arial" w:cs="Arial"/>
                <w:b w:val="0"/>
                <w:bCs w:val="0"/>
                <w:sz w:val="18"/>
                <w:szCs w:val="18"/>
                <w:lang w:val="en-GB"/>
              </w:rPr>
              <w:t>Headache</w:t>
            </w:r>
          </w:p>
        </w:tc>
        <w:tc>
          <w:tcPr>
            <w:tcW w:w="1134" w:type="dxa"/>
            <w:vAlign w:val="center"/>
            <w:hideMark/>
          </w:tcPr>
          <w:p w14:paraId="48D8455F" w14:textId="77777777" w:rsidR="00872AAC" w:rsidRPr="00D44EE6" w:rsidRDefault="00872AAC" w:rsidP="00F04A85">
            <w:pPr>
              <w:pStyle w:val="BodyTex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43</w:t>
            </w:r>
          </w:p>
        </w:tc>
        <w:tc>
          <w:tcPr>
            <w:tcW w:w="2274" w:type="dxa"/>
            <w:vAlign w:val="center"/>
          </w:tcPr>
          <w:p w14:paraId="2BEA36CA" w14:textId="18BDA9F5" w:rsidR="00872AAC" w:rsidRPr="00D44EE6" w:rsidRDefault="00872AAC" w:rsidP="00F04A85">
            <w:pPr>
              <w:pStyle w:val="BodyTex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 xml:space="preserve">Mickisch et al, 2010 </w:t>
            </w:r>
            <w:r w:rsidR="0037218A" w:rsidRPr="00D44EE6">
              <w:rPr>
                <w:rFonts w:ascii="Arial" w:hAnsi="Arial" w:cs="Arial"/>
                <w:noProof/>
                <w:sz w:val="18"/>
                <w:szCs w:val="18"/>
                <w:lang w:val="en-GB"/>
              </w:rPr>
              <w:t>[15]</w:t>
            </w:r>
          </w:p>
        </w:tc>
        <w:tc>
          <w:tcPr>
            <w:tcW w:w="1553" w:type="dxa"/>
            <w:vAlign w:val="center"/>
            <w:hideMark/>
          </w:tcPr>
          <w:p w14:paraId="53449EBA" w14:textId="77777777" w:rsidR="00872AAC" w:rsidRPr="00D44EE6" w:rsidRDefault="00872AAC" w:rsidP="00F04A85">
            <w:pPr>
              <w:pStyle w:val="BodyText"/>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1755</w:t>
            </w:r>
          </w:p>
        </w:tc>
        <w:tc>
          <w:tcPr>
            <w:tcW w:w="3118" w:type="dxa"/>
            <w:vAlign w:val="center"/>
            <w:hideMark/>
          </w:tcPr>
          <w:p w14:paraId="0A8A1A05" w14:textId="03BABA29" w:rsidR="00872AAC" w:rsidRPr="00D44EE6" w:rsidRDefault="00872AAC" w:rsidP="00F04A85">
            <w:pPr>
              <w:pStyle w:val="BodyTex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 xml:space="preserve">Mickisch et al, 2010 </w:t>
            </w:r>
            <w:r w:rsidR="0037218A" w:rsidRPr="00D44EE6">
              <w:rPr>
                <w:rFonts w:ascii="Arial" w:hAnsi="Arial" w:cs="Arial"/>
                <w:noProof/>
                <w:sz w:val="18"/>
                <w:szCs w:val="18"/>
                <w:lang w:val="en-GB"/>
              </w:rPr>
              <w:t>[15]</w:t>
            </w:r>
          </w:p>
        </w:tc>
      </w:tr>
      <w:tr w:rsidR="00D44EE6" w:rsidRPr="00D44EE6" w14:paraId="46AE5CED" w14:textId="77777777" w:rsidTr="00623D68">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555" w:type="dxa"/>
            <w:vAlign w:val="center"/>
            <w:hideMark/>
          </w:tcPr>
          <w:p w14:paraId="0E00F331" w14:textId="77777777" w:rsidR="00872AAC" w:rsidRPr="00D44EE6" w:rsidRDefault="00872AAC" w:rsidP="00F04A85">
            <w:pPr>
              <w:pStyle w:val="BodyText"/>
              <w:rPr>
                <w:rFonts w:ascii="Arial" w:hAnsi="Arial" w:cs="Arial"/>
                <w:b w:val="0"/>
                <w:bCs w:val="0"/>
                <w:sz w:val="18"/>
                <w:szCs w:val="18"/>
                <w:lang w:val="en-GB"/>
              </w:rPr>
            </w:pPr>
            <w:r w:rsidRPr="00D44EE6">
              <w:rPr>
                <w:rFonts w:ascii="Arial" w:hAnsi="Arial" w:cs="Arial"/>
                <w:b w:val="0"/>
                <w:bCs w:val="0"/>
                <w:sz w:val="18"/>
                <w:szCs w:val="18"/>
                <w:lang w:val="en-GB"/>
              </w:rPr>
              <w:t>Diarrhoea</w:t>
            </w:r>
          </w:p>
        </w:tc>
        <w:tc>
          <w:tcPr>
            <w:tcW w:w="1134" w:type="dxa"/>
            <w:vAlign w:val="center"/>
            <w:hideMark/>
          </w:tcPr>
          <w:p w14:paraId="557E5220" w14:textId="77777777" w:rsidR="00872AAC" w:rsidRPr="00D44EE6" w:rsidRDefault="00872AAC" w:rsidP="00F04A85">
            <w:pPr>
              <w:pStyle w:val="BodyTex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27</w:t>
            </w:r>
          </w:p>
        </w:tc>
        <w:tc>
          <w:tcPr>
            <w:tcW w:w="2274" w:type="dxa"/>
            <w:vAlign w:val="center"/>
          </w:tcPr>
          <w:p w14:paraId="6A217FB9" w14:textId="3B969B84" w:rsidR="00872AAC" w:rsidRPr="00D44EE6" w:rsidRDefault="00872AAC" w:rsidP="00F04A85">
            <w:pPr>
              <w:spacing w:before="120" w:after="120"/>
              <w:ind w:right="-109"/>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 xml:space="preserve">Cemka report, 2017 </w:t>
            </w:r>
            <w:r w:rsidR="0037218A" w:rsidRPr="00D44EE6">
              <w:rPr>
                <w:rFonts w:ascii="Arial" w:hAnsi="Arial" w:cs="Arial"/>
                <w:noProof/>
                <w:sz w:val="18"/>
                <w:szCs w:val="18"/>
                <w:lang w:val="en-GB"/>
              </w:rPr>
              <w:t>[17]</w:t>
            </w:r>
          </w:p>
        </w:tc>
        <w:tc>
          <w:tcPr>
            <w:tcW w:w="1553" w:type="dxa"/>
            <w:vAlign w:val="center"/>
            <w:hideMark/>
          </w:tcPr>
          <w:p w14:paraId="222DBDD7" w14:textId="54D5A6C5" w:rsidR="00872AAC" w:rsidRPr="00D44EE6" w:rsidRDefault="00872AAC" w:rsidP="00F04A85">
            <w:pPr>
              <w:pStyle w:val="BodyTex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3161</w:t>
            </w:r>
          </w:p>
        </w:tc>
        <w:tc>
          <w:tcPr>
            <w:tcW w:w="3118" w:type="dxa"/>
            <w:vAlign w:val="center"/>
          </w:tcPr>
          <w:p w14:paraId="4FD8AE95" w14:textId="33194506" w:rsidR="00872AAC" w:rsidRPr="00D44EE6" w:rsidRDefault="00872AAC" w:rsidP="00F04A85">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 xml:space="preserve">Fernandes et al, 2017 </w:t>
            </w:r>
            <w:r w:rsidR="0037218A" w:rsidRPr="00D44EE6">
              <w:rPr>
                <w:rFonts w:ascii="Arial" w:hAnsi="Arial" w:cs="Arial"/>
                <w:noProof/>
                <w:sz w:val="18"/>
                <w:szCs w:val="18"/>
                <w:lang w:val="en-GB"/>
              </w:rPr>
              <w:t>[16]</w:t>
            </w:r>
          </w:p>
        </w:tc>
      </w:tr>
      <w:tr w:rsidR="00D44EE6" w:rsidRPr="00D44EE6" w14:paraId="224DBCF3" w14:textId="77777777" w:rsidTr="00623D68">
        <w:trPr>
          <w:trHeight w:val="380"/>
        </w:trPr>
        <w:tc>
          <w:tcPr>
            <w:cnfStyle w:val="001000000000" w:firstRow="0" w:lastRow="0" w:firstColumn="1" w:lastColumn="0" w:oddVBand="0" w:evenVBand="0" w:oddHBand="0" w:evenHBand="0" w:firstRowFirstColumn="0" w:firstRowLastColumn="0" w:lastRowFirstColumn="0" w:lastRowLastColumn="0"/>
            <w:tcW w:w="1555" w:type="dxa"/>
            <w:vAlign w:val="center"/>
            <w:hideMark/>
          </w:tcPr>
          <w:p w14:paraId="2A2FBEED" w14:textId="77777777" w:rsidR="00872AAC" w:rsidRPr="00D44EE6" w:rsidRDefault="00872AAC" w:rsidP="00F04A85">
            <w:pPr>
              <w:pStyle w:val="BodyText"/>
              <w:rPr>
                <w:rFonts w:ascii="Arial" w:hAnsi="Arial" w:cs="Arial"/>
                <w:b w:val="0"/>
                <w:bCs w:val="0"/>
                <w:sz w:val="18"/>
                <w:szCs w:val="18"/>
                <w:lang w:val="en-GB"/>
              </w:rPr>
            </w:pPr>
            <w:r w:rsidRPr="00D44EE6">
              <w:rPr>
                <w:rFonts w:ascii="Arial" w:hAnsi="Arial" w:cs="Arial"/>
                <w:b w:val="0"/>
                <w:bCs w:val="0"/>
                <w:sz w:val="18"/>
                <w:szCs w:val="18"/>
                <w:lang w:val="en-GB"/>
              </w:rPr>
              <w:t>Nausea</w:t>
            </w:r>
          </w:p>
        </w:tc>
        <w:tc>
          <w:tcPr>
            <w:tcW w:w="1134" w:type="dxa"/>
            <w:vAlign w:val="center"/>
            <w:hideMark/>
          </w:tcPr>
          <w:p w14:paraId="04BC40E0" w14:textId="77777777" w:rsidR="00872AAC" w:rsidRPr="00D44EE6" w:rsidRDefault="00872AAC" w:rsidP="00F04A85">
            <w:pPr>
              <w:pStyle w:val="BodyTex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289</w:t>
            </w:r>
          </w:p>
        </w:tc>
        <w:tc>
          <w:tcPr>
            <w:tcW w:w="2274" w:type="dxa"/>
            <w:vAlign w:val="center"/>
          </w:tcPr>
          <w:p w14:paraId="45117C62" w14:textId="1FEB5617" w:rsidR="00872AAC" w:rsidRPr="00D44EE6" w:rsidRDefault="00872AAC" w:rsidP="00F04A85">
            <w:pPr>
              <w:spacing w:before="120" w:after="120"/>
              <w:ind w:right="-109"/>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 xml:space="preserve">Cemka report, 2017 </w:t>
            </w:r>
            <w:r w:rsidR="0037218A" w:rsidRPr="00D44EE6">
              <w:rPr>
                <w:rFonts w:ascii="Arial" w:hAnsi="Arial" w:cs="Arial"/>
                <w:noProof/>
                <w:sz w:val="18"/>
                <w:szCs w:val="18"/>
                <w:lang w:val="en-GB"/>
              </w:rPr>
              <w:t>[17]</w:t>
            </w:r>
            <w:r w:rsidRPr="00D44EE6" w:rsidDel="00F02EF7">
              <w:rPr>
                <w:rFonts w:ascii="Arial" w:hAnsi="Arial" w:cs="Arial"/>
                <w:sz w:val="18"/>
                <w:szCs w:val="18"/>
                <w:lang w:val="en-GB"/>
              </w:rPr>
              <w:t xml:space="preserve"> </w:t>
            </w:r>
          </w:p>
        </w:tc>
        <w:tc>
          <w:tcPr>
            <w:tcW w:w="1553" w:type="dxa"/>
            <w:vAlign w:val="center"/>
            <w:hideMark/>
          </w:tcPr>
          <w:p w14:paraId="4ADD9F7B" w14:textId="77777777" w:rsidR="00872AAC" w:rsidRPr="00D44EE6" w:rsidRDefault="00872AAC" w:rsidP="00F04A85">
            <w:pPr>
              <w:pStyle w:val="BodyText"/>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1630</w:t>
            </w:r>
          </w:p>
        </w:tc>
        <w:tc>
          <w:tcPr>
            <w:tcW w:w="3118" w:type="dxa"/>
            <w:vAlign w:val="center"/>
          </w:tcPr>
          <w:p w14:paraId="333C1065" w14:textId="59AFCAD9" w:rsidR="00872AAC" w:rsidRPr="00D44EE6" w:rsidRDefault="00872AAC" w:rsidP="00F04A85">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 xml:space="preserve">Fernandes et al, 2017 </w:t>
            </w:r>
            <w:r w:rsidR="0037218A" w:rsidRPr="00D44EE6">
              <w:rPr>
                <w:rFonts w:ascii="Arial" w:hAnsi="Arial" w:cs="Arial"/>
                <w:noProof/>
                <w:sz w:val="18"/>
                <w:szCs w:val="18"/>
                <w:lang w:val="en-GB"/>
              </w:rPr>
              <w:t>[16]</w:t>
            </w:r>
          </w:p>
        </w:tc>
      </w:tr>
      <w:tr w:rsidR="00D44EE6" w:rsidRPr="00D44EE6" w14:paraId="5D666166" w14:textId="77777777" w:rsidTr="00623D68">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1555" w:type="dxa"/>
            <w:vAlign w:val="center"/>
            <w:hideMark/>
          </w:tcPr>
          <w:p w14:paraId="1B5669FB" w14:textId="77777777" w:rsidR="00872AAC" w:rsidRPr="00D44EE6" w:rsidRDefault="00872AAC" w:rsidP="00F04A85">
            <w:pPr>
              <w:pStyle w:val="BodyText"/>
              <w:rPr>
                <w:rFonts w:ascii="Arial" w:hAnsi="Arial" w:cs="Arial"/>
                <w:b w:val="0"/>
                <w:bCs w:val="0"/>
                <w:sz w:val="18"/>
                <w:szCs w:val="18"/>
                <w:lang w:val="en-GB"/>
              </w:rPr>
            </w:pPr>
            <w:r w:rsidRPr="00D44EE6">
              <w:rPr>
                <w:rFonts w:ascii="Arial" w:hAnsi="Arial" w:cs="Arial"/>
                <w:b w:val="0"/>
                <w:bCs w:val="0"/>
                <w:sz w:val="18"/>
                <w:szCs w:val="18"/>
                <w:lang w:val="en-GB"/>
              </w:rPr>
              <w:t>Vomiting</w:t>
            </w:r>
          </w:p>
        </w:tc>
        <w:tc>
          <w:tcPr>
            <w:tcW w:w="1134" w:type="dxa"/>
            <w:vAlign w:val="center"/>
            <w:hideMark/>
          </w:tcPr>
          <w:p w14:paraId="5D2C8265" w14:textId="77777777" w:rsidR="00872AAC" w:rsidRPr="00D44EE6" w:rsidRDefault="00872AAC" w:rsidP="00F04A85">
            <w:pPr>
              <w:pStyle w:val="BodyTex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289</w:t>
            </w:r>
          </w:p>
        </w:tc>
        <w:tc>
          <w:tcPr>
            <w:tcW w:w="2274" w:type="dxa"/>
            <w:vAlign w:val="center"/>
          </w:tcPr>
          <w:p w14:paraId="0F935016" w14:textId="21FA25DD" w:rsidR="00872AAC" w:rsidRPr="00D44EE6" w:rsidRDefault="00872AAC" w:rsidP="00F04A85">
            <w:pPr>
              <w:spacing w:before="120" w:after="120"/>
              <w:ind w:right="-109"/>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 xml:space="preserve">Cemka report, 2017 </w:t>
            </w:r>
            <w:r w:rsidR="0037218A" w:rsidRPr="00D44EE6">
              <w:rPr>
                <w:rFonts w:ascii="Arial" w:hAnsi="Arial" w:cs="Arial"/>
                <w:noProof/>
                <w:sz w:val="18"/>
                <w:szCs w:val="18"/>
                <w:lang w:val="en-GB"/>
              </w:rPr>
              <w:t>[17]</w:t>
            </w:r>
          </w:p>
        </w:tc>
        <w:tc>
          <w:tcPr>
            <w:tcW w:w="1553" w:type="dxa"/>
            <w:vAlign w:val="center"/>
            <w:hideMark/>
          </w:tcPr>
          <w:p w14:paraId="217404FB" w14:textId="77777777" w:rsidR="00872AAC" w:rsidRPr="00D44EE6" w:rsidRDefault="00872AAC" w:rsidP="00F04A85">
            <w:pPr>
              <w:pStyle w:val="BodyTex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1630</w:t>
            </w:r>
          </w:p>
        </w:tc>
        <w:tc>
          <w:tcPr>
            <w:tcW w:w="3118" w:type="dxa"/>
            <w:vAlign w:val="center"/>
          </w:tcPr>
          <w:p w14:paraId="7AEFD25E" w14:textId="7A736625" w:rsidR="00872AAC" w:rsidRPr="00D44EE6" w:rsidRDefault="00872AAC" w:rsidP="00F04A85">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 xml:space="preserve">Fernandes et al, 2017 </w:t>
            </w:r>
            <w:r w:rsidR="0037218A" w:rsidRPr="00D44EE6">
              <w:rPr>
                <w:rFonts w:ascii="Arial" w:hAnsi="Arial" w:cs="Arial"/>
                <w:noProof/>
                <w:sz w:val="18"/>
                <w:szCs w:val="18"/>
                <w:lang w:val="en-GB"/>
              </w:rPr>
              <w:t>[16]</w:t>
            </w:r>
          </w:p>
        </w:tc>
      </w:tr>
      <w:tr w:rsidR="00D44EE6" w:rsidRPr="00D44EE6" w14:paraId="31ACBFFF" w14:textId="77777777" w:rsidTr="00623D68">
        <w:trPr>
          <w:trHeight w:val="308"/>
        </w:trPr>
        <w:tc>
          <w:tcPr>
            <w:cnfStyle w:val="001000000000" w:firstRow="0" w:lastRow="0" w:firstColumn="1" w:lastColumn="0" w:oddVBand="0" w:evenVBand="0" w:oddHBand="0" w:evenHBand="0" w:firstRowFirstColumn="0" w:firstRowLastColumn="0" w:lastRowFirstColumn="0" w:lastRowLastColumn="0"/>
            <w:tcW w:w="1555" w:type="dxa"/>
            <w:vAlign w:val="center"/>
            <w:hideMark/>
          </w:tcPr>
          <w:p w14:paraId="3BB36CA2" w14:textId="77777777" w:rsidR="00872AAC" w:rsidRPr="00D44EE6" w:rsidRDefault="00872AAC" w:rsidP="00F04A85">
            <w:pPr>
              <w:pStyle w:val="BodyText"/>
              <w:rPr>
                <w:rFonts w:ascii="Arial" w:hAnsi="Arial" w:cs="Arial"/>
                <w:b w:val="0"/>
                <w:bCs w:val="0"/>
                <w:sz w:val="18"/>
                <w:szCs w:val="18"/>
                <w:lang w:val="en-GB"/>
              </w:rPr>
            </w:pPr>
            <w:r w:rsidRPr="00D44EE6">
              <w:rPr>
                <w:rFonts w:ascii="Arial" w:hAnsi="Arial" w:cs="Arial"/>
                <w:b w:val="0"/>
                <w:bCs w:val="0"/>
                <w:sz w:val="18"/>
                <w:szCs w:val="18"/>
                <w:lang w:val="en-GB"/>
              </w:rPr>
              <w:t>Rash</w:t>
            </w:r>
          </w:p>
        </w:tc>
        <w:tc>
          <w:tcPr>
            <w:tcW w:w="1134" w:type="dxa"/>
            <w:vAlign w:val="center"/>
            <w:hideMark/>
          </w:tcPr>
          <w:p w14:paraId="6D5B4FE0" w14:textId="77777777" w:rsidR="00872AAC" w:rsidRPr="00D44EE6" w:rsidRDefault="00872AAC" w:rsidP="00F04A85">
            <w:pPr>
              <w:pStyle w:val="BodyTex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19</w:t>
            </w:r>
          </w:p>
        </w:tc>
        <w:tc>
          <w:tcPr>
            <w:tcW w:w="2274" w:type="dxa"/>
            <w:vAlign w:val="center"/>
            <w:hideMark/>
          </w:tcPr>
          <w:p w14:paraId="63143A16" w14:textId="2FFA44FF" w:rsidR="00872AAC" w:rsidRPr="00D44EE6" w:rsidRDefault="00872AAC" w:rsidP="00F04A85">
            <w:pPr>
              <w:pStyle w:val="BodyText"/>
              <w:ind w:right="-109"/>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 xml:space="preserve">Cemka report, 2017 </w:t>
            </w:r>
            <w:r w:rsidR="0037218A" w:rsidRPr="00D44EE6">
              <w:rPr>
                <w:rFonts w:ascii="Arial" w:hAnsi="Arial" w:cs="Arial"/>
                <w:noProof/>
                <w:sz w:val="18"/>
                <w:szCs w:val="18"/>
                <w:lang w:val="en-GB"/>
              </w:rPr>
              <w:t>[17]</w:t>
            </w:r>
          </w:p>
        </w:tc>
        <w:tc>
          <w:tcPr>
            <w:tcW w:w="1553" w:type="dxa"/>
            <w:vAlign w:val="center"/>
            <w:hideMark/>
          </w:tcPr>
          <w:p w14:paraId="1A05459F" w14:textId="77777777" w:rsidR="00872AAC" w:rsidRPr="00D44EE6" w:rsidRDefault="00872AAC" w:rsidP="00F04A85">
            <w:pPr>
              <w:pStyle w:val="BodyText"/>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2393</w:t>
            </w:r>
          </w:p>
        </w:tc>
        <w:tc>
          <w:tcPr>
            <w:tcW w:w="3118" w:type="dxa"/>
            <w:vAlign w:val="center"/>
            <w:hideMark/>
          </w:tcPr>
          <w:p w14:paraId="574CA041" w14:textId="7FC505ED" w:rsidR="00872AAC" w:rsidRPr="00D44EE6" w:rsidRDefault="00872AAC" w:rsidP="00F04A85">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 xml:space="preserve">Fernandes et al, 2017 </w:t>
            </w:r>
            <w:r w:rsidR="0037218A" w:rsidRPr="00D44EE6">
              <w:rPr>
                <w:rFonts w:ascii="Arial" w:hAnsi="Arial" w:cs="Arial"/>
                <w:noProof/>
                <w:sz w:val="18"/>
                <w:szCs w:val="18"/>
                <w:lang w:val="en-GB"/>
              </w:rPr>
              <w:t>[16]</w:t>
            </w:r>
          </w:p>
        </w:tc>
      </w:tr>
      <w:tr w:rsidR="00D44EE6" w:rsidRPr="00D44EE6" w14:paraId="6940C42E" w14:textId="77777777" w:rsidTr="007C5E1C">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4B4E6012" w14:textId="77777777" w:rsidR="00872AAC" w:rsidRPr="00D44EE6" w:rsidRDefault="00872AAC" w:rsidP="00F04A85">
            <w:pPr>
              <w:pStyle w:val="BodyText"/>
              <w:rPr>
                <w:rFonts w:ascii="Arial" w:hAnsi="Arial" w:cs="Arial"/>
                <w:b w:val="0"/>
                <w:bCs w:val="0"/>
                <w:sz w:val="18"/>
                <w:szCs w:val="18"/>
                <w:lang w:val="en-GB"/>
              </w:rPr>
            </w:pPr>
            <w:r w:rsidRPr="00D44EE6">
              <w:rPr>
                <w:rFonts w:ascii="Arial" w:hAnsi="Arial" w:cs="Arial"/>
                <w:b w:val="0"/>
                <w:bCs w:val="0"/>
                <w:sz w:val="18"/>
                <w:szCs w:val="18"/>
                <w:lang w:val="en-GB"/>
              </w:rPr>
              <w:t>Depression</w:t>
            </w:r>
          </w:p>
        </w:tc>
        <w:tc>
          <w:tcPr>
            <w:tcW w:w="1134" w:type="dxa"/>
            <w:vAlign w:val="center"/>
          </w:tcPr>
          <w:p w14:paraId="18C8627E" w14:textId="77777777" w:rsidR="00872AAC" w:rsidRPr="00D44EE6" w:rsidRDefault="00872AAC" w:rsidP="00F04A85">
            <w:pPr>
              <w:pStyle w:val="BodyTex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199</w:t>
            </w:r>
          </w:p>
        </w:tc>
        <w:tc>
          <w:tcPr>
            <w:tcW w:w="2274" w:type="dxa"/>
            <w:vAlign w:val="center"/>
          </w:tcPr>
          <w:p w14:paraId="5A7727FB" w14:textId="142142EE" w:rsidR="00872AAC" w:rsidRPr="00D44EE6" w:rsidRDefault="00872AAC" w:rsidP="00F04A85">
            <w:pPr>
              <w:pStyle w:val="BodyTex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 xml:space="preserve">Mickisch et al, 2010 </w:t>
            </w:r>
            <w:r w:rsidR="0037218A" w:rsidRPr="00D44EE6">
              <w:rPr>
                <w:rFonts w:ascii="Arial" w:hAnsi="Arial" w:cs="Arial"/>
                <w:noProof/>
                <w:sz w:val="18"/>
                <w:szCs w:val="18"/>
                <w:lang w:val="en-GB"/>
              </w:rPr>
              <w:t>[15]</w:t>
            </w:r>
          </w:p>
        </w:tc>
        <w:tc>
          <w:tcPr>
            <w:tcW w:w="1553" w:type="dxa"/>
            <w:vAlign w:val="center"/>
          </w:tcPr>
          <w:p w14:paraId="2845A878" w14:textId="77777777" w:rsidR="00872AAC" w:rsidRPr="00D44EE6" w:rsidRDefault="00872AAC" w:rsidP="00F04A85">
            <w:pPr>
              <w:pStyle w:val="BodyTex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2915</w:t>
            </w:r>
          </w:p>
        </w:tc>
        <w:tc>
          <w:tcPr>
            <w:tcW w:w="3118" w:type="dxa"/>
            <w:vAlign w:val="center"/>
          </w:tcPr>
          <w:p w14:paraId="135CC6BC" w14:textId="4F6734F1" w:rsidR="00872AAC" w:rsidRPr="00D44EE6" w:rsidRDefault="00872AAC" w:rsidP="00F04A85">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 xml:space="preserve">Mickisch et al, 2010 </w:t>
            </w:r>
            <w:r w:rsidR="0037218A" w:rsidRPr="00D44EE6">
              <w:rPr>
                <w:rFonts w:ascii="Arial" w:hAnsi="Arial" w:cs="Arial"/>
                <w:noProof/>
                <w:sz w:val="18"/>
                <w:szCs w:val="18"/>
                <w:lang w:val="en-GB"/>
              </w:rPr>
              <w:t>[15]</w:t>
            </w:r>
          </w:p>
        </w:tc>
      </w:tr>
      <w:tr w:rsidR="00D44EE6" w:rsidRPr="00D44EE6" w14:paraId="43223D17" w14:textId="77777777" w:rsidTr="00623D68">
        <w:trPr>
          <w:trHeight w:val="279"/>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74B30727" w14:textId="77777777" w:rsidR="00872AAC" w:rsidRPr="00D44EE6" w:rsidRDefault="00872AAC" w:rsidP="00F04A85">
            <w:pPr>
              <w:pStyle w:val="BodyText"/>
              <w:rPr>
                <w:rFonts w:ascii="Arial" w:hAnsi="Arial" w:cs="Arial"/>
                <w:b w:val="0"/>
                <w:bCs w:val="0"/>
                <w:sz w:val="18"/>
                <w:szCs w:val="18"/>
                <w:lang w:val="en-GB"/>
              </w:rPr>
            </w:pPr>
            <w:r w:rsidRPr="00D44EE6">
              <w:rPr>
                <w:rFonts w:ascii="Arial" w:hAnsi="Arial" w:cs="Arial"/>
                <w:b w:val="0"/>
                <w:bCs w:val="0"/>
                <w:sz w:val="18"/>
                <w:szCs w:val="18"/>
                <w:lang w:val="en-GB"/>
              </w:rPr>
              <w:t>Myalgia</w:t>
            </w:r>
          </w:p>
        </w:tc>
        <w:tc>
          <w:tcPr>
            <w:tcW w:w="1134" w:type="dxa"/>
            <w:vAlign w:val="center"/>
          </w:tcPr>
          <w:p w14:paraId="13265955" w14:textId="77777777" w:rsidR="00872AAC" w:rsidRPr="00D44EE6" w:rsidRDefault="00872AAC" w:rsidP="00F04A85">
            <w:pPr>
              <w:pStyle w:val="BodyTex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0</w:t>
            </w:r>
          </w:p>
        </w:tc>
        <w:tc>
          <w:tcPr>
            <w:tcW w:w="2274" w:type="dxa"/>
            <w:vAlign w:val="center"/>
          </w:tcPr>
          <w:p w14:paraId="413DD697" w14:textId="13DD4A5A" w:rsidR="00872AAC" w:rsidRPr="00D44EE6" w:rsidRDefault="00872AAC" w:rsidP="00F04A85">
            <w:pPr>
              <w:pStyle w:val="BodyTex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 xml:space="preserve">Mickisch et al, 2010 </w:t>
            </w:r>
            <w:r w:rsidR="0037218A" w:rsidRPr="00D44EE6">
              <w:rPr>
                <w:rFonts w:ascii="Arial" w:hAnsi="Arial" w:cs="Arial"/>
                <w:noProof/>
                <w:sz w:val="18"/>
                <w:szCs w:val="18"/>
                <w:lang w:val="en-GB"/>
              </w:rPr>
              <w:t>[15]</w:t>
            </w:r>
          </w:p>
        </w:tc>
        <w:tc>
          <w:tcPr>
            <w:tcW w:w="1553" w:type="dxa"/>
            <w:vAlign w:val="center"/>
          </w:tcPr>
          <w:p w14:paraId="7C5E27FB" w14:textId="77777777" w:rsidR="00872AAC" w:rsidRPr="00D44EE6" w:rsidRDefault="00872AAC" w:rsidP="00F04A85">
            <w:pPr>
              <w:pStyle w:val="BodyText"/>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0</w:t>
            </w:r>
          </w:p>
        </w:tc>
        <w:tc>
          <w:tcPr>
            <w:tcW w:w="3118" w:type="dxa"/>
            <w:vAlign w:val="center"/>
          </w:tcPr>
          <w:p w14:paraId="4330D32D" w14:textId="30D8E6AC" w:rsidR="00872AAC" w:rsidRPr="00D44EE6" w:rsidRDefault="00872AAC" w:rsidP="00F04A85">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 xml:space="preserve">Mickisch et al, 2010 </w:t>
            </w:r>
            <w:r w:rsidR="0037218A" w:rsidRPr="00D44EE6">
              <w:rPr>
                <w:rFonts w:ascii="Arial" w:hAnsi="Arial" w:cs="Arial"/>
                <w:noProof/>
                <w:sz w:val="18"/>
                <w:szCs w:val="18"/>
                <w:lang w:val="en-GB"/>
              </w:rPr>
              <w:t>[15]</w:t>
            </w:r>
            <w:r w:rsidRPr="00D44EE6" w:rsidDel="0032236A">
              <w:rPr>
                <w:rFonts w:ascii="Arial" w:hAnsi="Arial" w:cs="Arial"/>
                <w:sz w:val="18"/>
                <w:szCs w:val="18"/>
                <w:lang w:val="en-GB"/>
              </w:rPr>
              <w:t xml:space="preserve"> </w:t>
            </w:r>
          </w:p>
        </w:tc>
      </w:tr>
      <w:tr w:rsidR="00D44EE6" w:rsidRPr="00D44EE6" w14:paraId="61E8630F" w14:textId="77777777" w:rsidTr="00623D68">
        <w:trPr>
          <w:cnfStyle w:val="000000100000" w:firstRow="0" w:lastRow="0" w:firstColumn="0" w:lastColumn="0" w:oddVBand="0" w:evenVBand="0" w:oddHBand="1"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138E69BC" w14:textId="77777777" w:rsidR="00872AAC" w:rsidRPr="00D44EE6" w:rsidRDefault="00872AAC" w:rsidP="00F04A85">
            <w:pPr>
              <w:pStyle w:val="BodyText"/>
              <w:rPr>
                <w:rFonts w:ascii="Arial" w:hAnsi="Arial" w:cs="Arial"/>
                <w:b w:val="0"/>
                <w:bCs w:val="0"/>
                <w:sz w:val="18"/>
                <w:szCs w:val="18"/>
                <w:lang w:val="en-GB"/>
              </w:rPr>
            </w:pPr>
            <w:r w:rsidRPr="00D44EE6">
              <w:rPr>
                <w:rFonts w:ascii="Arial" w:hAnsi="Arial" w:cs="Arial"/>
                <w:b w:val="0"/>
                <w:bCs w:val="0"/>
                <w:sz w:val="18"/>
                <w:szCs w:val="18"/>
                <w:lang w:val="en-GB"/>
              </w:rPr>
              <w:t>Increased ASAT</w:t>
            </w:r>
          </w:p>
        </w:tc>
        <w:tc>
          <w:tcPr>
            <w:tcW w:w="3408" w:type="dxa"/>
            <w:gridSpan w:val="2"/>
            <w:vMerge w:val="restart"/>
            <w:vAlign w:val="center"/>
          </w:tcPr>
          <w:p w14:paraId="597B049F" w14:textId="77777777" w:rsidR="00872AAC" w:rsidRPr="00D44EE6" w:rsidRDefault="00872AAC" w:rsidP="00F04A85">
            <w:pPr>
              <w:pStyle w:val="BodyText"/>
              <w:cnfStyle w:val="000000100000" w:firstRow="0" w:lastRow="0" w:firstColumn="0" w:lastColumn="0" w:oddVBand="0" w:evenVBand="0" w:oddHBand="1" w:evenHBand="0" w:firstRowFirstColumn="0" w:firstRowLastColumn="0" w:lastRowFirstColumn="0" w:lastRowLastColumn="0"/>
              <w:rPr>
                <w:rFonts w:ascii="Arial" w:hAnsi="Arial" w:cs="Arial"/>
                <w:sz w:val="18"/>
                <w:szCs w:val="18"/>
                <w:highlight w:val="yellow"/>
                <w:lang w:val="en-GB"/>
              </w:rPr>
            </w:pPr>
            <w:r w:rsidRPr="00D44EE6">
              <w:rPr>
                <w:rFonts w:ascii="Arial" w:hAnsi="Arial" w:cs="Arial"/>
                <w:sz w:val="18"/>
                <w:szCs w:val="18"/>
                <w:lang w:val="en-GB"/>
              </w:rPr>
              <w:t>No reference</w:t>
            </w:r>
          </w:p>
        </w:tc>
        <w:tc>
          <w:tcPr>
            <w:tcW w:w="1553" w:type="dxa"/>
            <w:vAlign w:val="center"/>
          </w:tcPr>
          <w:p w14:paraId="5F6D31DC" w14:textId="77777777" w:rsidR="00872AAC" w:rsidRPr="00D44EE6" w:rsidRDefault="00872AAC" w:rsidP="00F04A85">
            <w:pPr>
              <w:pStyle w:val="BodyText"/>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3698</w:t>
            </w:r>
          </w:p>
        </w:tc>
        <w:tc>
          <w:tcPr>
            <w:tcW w:w="3118" w:type="dxa"/>
            <w:vAlign w:val="center"/>
          </w:tcPr>
          <w:p w14:paraId="7B1EA68D" w14:textId="78584184" w:rsidR="00872AAC" w:rsidRPr="00D44EE6" w:rsidRDefault="00872AAC" w:rsidP="00F04A85">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18"/>
                <w:szCs w:val="18"/>
                <w:highlight w:val="yellow"/>
                <w:lang w:val="en-GB"/>
              </w:rPr>
            </w:pPr>
            <w:r w:rsidRPr="00D44EE6">
              <w:rPr>
                <w:rFonts w:ascii="Arial" w:hAnsi="Arial" w:cs="Arial"/>
                <w:i/>
                <w:iCs/>
                <w:sz w:val="18"/>
                <w:szCs w:val="18"/>
                <w:lang w:val="en-GB"/>
              </w:rPr>
              <w:t>HAS</w:t>
            </w:r>
            <w:r w:rsidRPr="00D44EE6">
              <w:rPr>
                <w:rFonts w:ascii="Arial" w:hAnsi="Arial" w:cs="Arial"/>
                <w:sz w:val="18"/>
                <w:szCs w:val="18"/>
                <w:lang w:val="en-GB"/>
              </w:rPr>
              <w:t xml:space="preserve"> opinion Mekinist</w:t>
            </w:r>
            <w:r w:rsidRPr="00D44EE6">
              <w:rPr>
                <w:rFonts w:ascii="Arial" w:hAnsi="Arial" w:cs="Arial"/>
                <w:sz w:val="18"/>
                <w:szCs w:val="18"/>
                <w:vertAlign w:val="superscript"/>
                <w:lang w:val="en-GB"/>
              </w:rPr>
              <w:t>®</w:t>
            </w:r>
            <w:r w:rsidRPr="00D44EE6">
              <w:rPr>
                <w:rFonts w:ascii="Arial" w:hAnsi="Arial" w:cs="Arial"/>
                <w:sz w:val="18"/>
                <w:szCs w:val="18"/>
                <w:lang w:val="en-GB"/>
              </w:rPr>
              <w:t xml:space="preserve"> metastatic melanoma, 2016 </w:t>
            </w:r>
            <w:r w:rsidR="0037218A" w:rsidRPr="00D44EE6">
              <w:rPr>
                <w:rFonts w:ascii="Arial" w:hAnsi="Arial" w:cs="Arial"/>
                <w:noProof/>
                <w:sz w:val="18"/>
                <w:szCs w:val="18"/>
                <w:lang w:val="en-GB"/>
              </w:rPr>
              <w:t>[19,20]</w:t>
            </w:r>
          </w:p>
        </w:tc>
      </w:tr>
      <w:tr w:rsidR="00D44EE6" w:rsidRPr="00D44EE6" w14:paraId="7FD097F5" w14:textId="77777777" w:rsidTr="00623D68">
        <w:trPr>
          <w:trHeight w:val="781"/>
        </w:trPr>
        <w:tc>
          <w:tcPr>
            <w:cnfStyle w:val="001000000000" w:firstRow="0" w:lastRow="0" w:firstColumn="1" w:lastColumn="0" w:oddVBand="0" w:evenVBand="0" w:oddHBand="0" w:evenHBand="0" w:firstRowFirstColumn="0" w:firstRowLastColumn="0" w:lastRowFirstColumn="0" w:lastRowLastColumn="0"/>
            <w:tcW w:w="1555" w:type="dxa"/>
            <w:tcBorders>
              <w:bottom w:val="single" w:sz="4" w:space="0" w:color="auto"/>
            </w:tcBorders>
            <w:vAlign w:val="center"/>
          </w:tcPr>
          <w:p w14:paraId="2B2D2FC2" w14:textId="77777777" w:rsidR="00872AAC" w:rsidRPr="00D44EE6" w:rsidRDefault="00872AAC" w:rsidP="00F04A85">
            <w:pPr>
              <w:pStyle w:val="BodyText"/>
              <w:rPr>
                <w:rFonts w:ascii="Arial" w:hAnsi="Arial" w:cs="Arial"/>
                <w:b w:val="0"/>
                <w:bCs w:val="0"/>
                <w:sz w:val="18"/>
                <w:szCs w:val="18"/>
                <w:lang w:val="en-GB"/>
              </w:rPr>
            </w:pPr>
            <w:r w:rsidRPr="00D44EE6">
              <w:rPr>
                <w:rFonts w:ascii="Arial" w:hAnsi="Arial" w:cs="Arial"/>
                <w:b w:val="0"/>
                <w:bCs w:val="0"/>
                <w:sz w:val="18"/>
                <w:szCs w:val="18"/>
                <w:lang w:val="en-GB"/>
              </w:rPr>
              <w:t>Increased ALAT</w:t>
            </w:r>
          </w:p>
        </w:tc>
        <w:tc>
          <w:tcPr>
            <w:tcW w:w="3408" w:type="dxa"/>
            <w:gridSpan w:val="2"/>
            <w:vMerge/>
            <w:tcBorders>
              <w:bottom w:val="single" w:sz="4" w:space="0" w:color="auto"/>
            </w:tcBorders>
            <w:vAlign w:val="center"/>
          </w:tcPr>
          <w:p w14:paraId="7F8E023C" w14:textId="77777777" w:rsidR="00872AAC" w:rsidRPr="00D44EE6" w:rsidRDefault="00872AAC" w:rsidP="00F04A85">
            <w:pPr>
              <w:pStyle w:val="BodyText"/>
              <w:cnfStyle w:val="000000000000" w:firstRow="0" w:lastRow="0" w:firstColumn="0" w:lastColumn="0" w:oddVBand="0" w:evenVBand="0" w:oddHBand="0" w:evenHBand="0" w:firstRowFirstColumn="0" w:firstRowLastColumn="0" w:lastRowFirstColumn="0" w:lastRowLastColumn="0"/>
              <w:rPr>
                <w:rFonts w:ascii="Arial" w:hAnsi="Arial" w:cs="Arial"/>
                <w:sz w:val="18"/>
                <w:szCs w:val="18"/>
                <w:highlight w:val="yellow"/>
                <w:lang w:val="en-GB"/>
              </w:rPr>
            </w:pPr>
          </w:p>
        </w:tc>
        <w:tc>
          <w:tcPr>
            <w:tcW w:w="1553" w:type="dxa"/>
            <w:tcBorders>
              <w:bottom w:val="single" w:sz="4" w:space="0" w:color="auto"/>
            </w:tcBorders>
            <w:vAlign w:val="center"/>
          </w:tcPr>
          <w:p w14:paraId="05F8B30F" w14:textId="77777777" w:rsidR="00872AAC" w:rsidRPr="00D44EE6" w:rsidRDefault="00872AAC" w:rsidP="00F04A85">
            <w:pPr>
              <w:pStyle w:val="BodyText"/>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3698</w:t>
            </w:r>
          </w:p>
        </w:tc>
        <w:tc>
          <w:tcPr>
            <w:tcW w:w="3118" w:type="dxa"/>
            <w:tcBorders>
              <w:bottom w:val="single" w:sz="4" w:space="0" w:color="auto"/>
            </w:tcBorders>
            <w:vAlign w:val="center"/>
          </w:tcPr>
          <w:p w14:paraId="30F9F249" w14:textId="5535A865" w:rsidR="00872AAC" w:rsidRPr="00D44EE6" w:rsidRDefault="00872AAC" w:rsidP="00F04A85">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18"/>
                <w:szCs w:val="18"/>
                <w:highlight w:val="yellow"/>
                <w:lang w:val="en-GB"/>
              </w:rPr>
            </w:pPr>
            <w:r w:rsidRPr="00D44EE6">
              <w:rPr>
                <w:rFonts w:ascii="Arial" w:hAnsi="Arial" w:cs="Arial"/>
                <w:i/>
                <w:iCs/>
                <w:sz w:val="18"/>
                <w:szCs w:val="18"/>
                <w:lang w:val="en-GB"/>
              </w:rPr>
              <w:t>HAS</w:t>
            </w:r>
            <w:r w:rsidRPr="00D44EE6">
              <w:rPr>
                <w:rFonts w:ascii="Arial" w:hAnsi="Arial" w:cs="Arial"/>
                <w:sz w:val="18"/>
                <w:szCs w:val="18"/>
                <w:lang w:val="en-GB"/>
              </w:rPr>
              <w:t xml:space="preserve"> opinion Mekinist</w:t>
            </w:r>
            <w:r w:rsidRPr="00D44EE6">
              <w:rPr>
                <w:rFonts w:ascii="Arial" w:hAnsi="Arial" w:cs="Arial"/>
                <w:sz w:val="18"/>
                <w:szCs w:val="18"/>
                <w:vertAlign w:val="superscript"/>
                <w:lang w:val="en-GB"/>
              </w:rPr>
              <w:t>®</w:t>
            </w:r>
            <w:r w:rsidRPr="00D44EE6">
              <w:rPr>
                <w:rFonts w:ascii="Arial" w:hAnsi="Arial" w:cs="Arial"/>
                <w:sz w:val="18"/>
                <w:szCs w:val="18"/>
                <w:lang w:val="en-GB"/>
              </w:rPr>
              <w:t xml:space="preserve"> metastatic melanoma, 2016 </w:t>
            </w:r>
            <w:r w:rsidR="0037218A" w:rsidRPr="00D44EE6">
              <w:rPr>
                <w:rFonts w:ascii="Arial" w:hAnsi="Arial" w:cs="Arial"/>
                <w:noProof/>
                <w:sz w:val="18"/>
                <w:szCs w:val="18"/>
                <w:lang w:val="en-GB"/>
              </w:rPr>
              <w:t>[19]</w:t>
            </w:r>
          </w:p>
        </w:tc>
      </w:tr>
    </w:tbl>
    <w:p w14:paraId="0062901D" w14:textId="6794CCE3" w:rsidR="00872AAC" w:rsidRPr="00D44EE6" w:rsidRDefault="00872AAC" w:rsidP="00872AAC">
      <w:pPr>
        <w:rPr>
          <w:rFonts w:ascii="Arial" w:hAnsi="Arial" w:cs="Arial"/>
          <w:sz w:val="18"/>
          <w:lang w:val="en-GB"/>
        </w:rPr>
      </w:pPr>
      <w:r w:rsidRPr="00D44EE6">
        <w:rPr>
          <w:rFonts w:ascii="Arial" w:hAnsi="Arial" w:cs="Arial"/>
          <w:sz w:val="18"/>
          <w:lang w:val="en-GB"/>
        </w:rPr>
        <w:t>All costs correspond to 2019</w:t>
      </w:r>
      <w:r w:rsidR="004B68FB" w:rsidRPr="00D44EE6">
        <w:rPr>
          <w:rFonts w:ascii="Arial" w:hAnsi="Arial" w:cs="Arial"/>
          <w:sz w:val="18"/>
          <w:lang w:val="en-GB"/>
        </w:rPr>
        <w:t xml:space="preserve"> values</w:t>
      </w:r>
      <w:r w:rsidRPr="00D44EE6">
        <w:rPr>
          <w:rFonts w:ascii="Arial" w:hAnsi="Arial" w:cs="Arial"/>
          <w:sz w:val="18"/>
          <w:lang w:val="en-GB"/>
        </w:rPr>
        <w:t xml:space="preserve"> </w:t>
      </w:r>
    </w:p>
    <w:p w14:paraId="506721ED" w14:textId="77777777" w:rsidR="00045AC5" w:rsidRPr="00D44EE6" w:rsidRDefault="00045AC5" w:rsidP="00045AC5">
      <w:pPr>
        <w:rPr>
          <w:rFonts w:ascii="Arial" w:hAnsi="Arial" w:cs="Arial"/>
          <w:sz w:val="18"/>
          <w:szCs w:val="18"/>
          <w:lang w:val="en-GB"/>
        </w:rPr>
      </w:pPr>
      <w:r w:rsidRPr="00D44EE6">
        <w:rPr>
          <w:rFonts w:ascii="Arial" w:hAnsi="Arial" w:cs="Arial"/>
          <w:i/>
          <w:iCs/>
          <w:sz w:val="18"/>
          <w:szCs w:val="18"/>
          <w:lang w:val="en-GB"/>
        </w:rPr>
        <w:t xml:space="preserve">AE </w:t>
      </w:r>
      <w:r w:rsidRPr="00D44EE6">
        <w:rPr>
          <w:rFonts w:ascii="Arial" w:hAnsi="Arial" w:cs="Arial"/>
          <w:sz w:val="18"/>
          <w:szCs w:val="18"/>
          <w:lang w:val="en-GB"/>
        </w:rPr>
        <w:t xml:space="preserve">adverse event, </w:t>
      </w:r>
      <w:r w:rsidRPr="00D44EE6">
        <w:rPr>
          <w:rFonts w:ascii="Arial" w:hAnsi="Arial" w:cs="Arial"/>
          <w:i/>
          <w:iCs/>
          <w:sz w:val="18"/>
          <w:szCs w:val="18"/>
          <w:lang w:val="en-GB"/>
        </w:rPr>
        <w:t>ALAT</w:t>
      </w:r>
      <w:r w:rsidRPr="00D44EE6">
        <w:rPr>
          <w:rFonts w:ascii="Arial" w:hAnsi="Arial" w:cs="Arial"/>
          <w:sz w:val="18"/>
          <w:szCs w:val="18"/>
          <w:lang w:val="en-GB"/>
        </w:rPr>
        <w:t xml:space="preserve"> alanine aminotransferase, </w:t>
      </w:r>
      <w:r w:rsidRPr="00D44EE6">
        <w:rPr>
          <w:rFonts w:ascii="Arial" w:hAnsi="Arial" w:cs="Arial"/>
          <w:i/>
          <w:iCs/>
          <w:sz w:val="18"/>
          <w:szCs w:val="18"/>
          <w:lang w:val="en-GB"/>
        </w:rPr>
        <w:t>ASAT</w:t>
      </w:r>
      <w:r w:rsidRPr="00D44EE6">
        <w:rPr>
          <w:rFonts w:ascii="Arial" w:hAnsi="Arial" w:cs="Arial"/>
          <w:sz w:val="18"/>
          <w:szCs w:val="18"/>
          <w:lang w:val="en-GB"/>
        </w:rPr>
        <w:t xml:space="preserve"> aspartate aminotransferase, </w:t>
      </w:r>
      <w:r w:rsidRPr="00D44EE6">
        <w:rPr>
          <w:rFonts w:ascii="Arial" w:hAnsi="Arial" w:cs="Arial"/>
          <w:i/>
          <w:iCs/>
          <w:sz w:val="18"/>
          <w:szCs w:val="18"/>
          <w:lang w:val="en-GB"/>
        </w:rPr>
        <w:t xml:space="preserve">HAS </w:t>
      </w:r>
      <w:r w:rsidRPr="00D44EE6">
        <w:rPr>
          <w:rFonts w:ascii="Arial" w:hAnsi="Arial" w:cs="Arial"/>
          <w:i/>
          <w:sz w:val="18"/>
          <w:szCs w:val="18"/>
          <w:lang w:val="en-GB"/>
        </w:rPr>
        <w:t>Haute Autorité de Santé</w:t>
      </w:r>
    </w:p>
    <w:p w14:paraId="3E3D0416" w14:textId="77777777" w:rsidR="00872AAC" w:rsidRPr="00D44EE6" w:rsidRDefault="00872AAC">
      <w:pPr>
        <w:rPr>
          <w:rFonts w:ascii="Arial" w:hAnsi="Arial" w:cs="Arial"/>
          <w:b/>
          <w:iCs/>
          <w:sz w:val="18"/>
          <w:szCs w:val="18"/>
          <w:lang w:val="en-GB"/>
        </w:rPr>
      </w:pPr>
      <w:r w:rsidRPr="00D44EE6">
        <w:rPr>
          <w:rFonts w:ascii="Arial" w:hAnsi="Arial" w:cs="Arial"/>
          <w:b/>
          <w:i/>
          <w:lang w:val="en-GB"/>
        </w:rPr>
        <w:br w:type="page"/>
      </w:r>
    </w:p>
    <w:p w14:paraId="3CB6ACE8" w14:textId="7F722571" w:rsidR="0056314E" w:rsidRPr="00D44EE6" w:rsidRDefault="0056314E" w:rsidP="002D13FB">
      <w:pPr>
        <w:spacing w:after="0" w:line="480" w:lineRule="auto"/>
        <w:rPr>
          <w:rFonts w:ascii="Arial" w:hAnsi="Arial" w:cs="Arial"/>
          <w:b/>
          <w:iCs/>
          <w:sz w:val="18"/>
          <w:szCs w:val="18"/>
          <w:lang w:val="en-GB"/>
        </w:rPr>
      </w:pPr>
      <w:r w:rsidRPr="00D44EE6">
        <w:rPr>
          <w:rFonts w:ascii="Arial" w:hAnsi="Arial" w:cs="Arial"/>
          <w:b/>
          <w:lang w:val="en-GB"/>
        </w:rPr>
        <w:t>Table 6</w:t>
      </w:r>
      <w:r w:rsidRPr="00D44EE6">
        <w:rPr>
          <w:rFonts w:ascii="Arial" w:hAnsi="Arial" w:cs="Arial"/>
          <w:bCs/>
          <w:lang w:val="en-GB"/>
        </w:rPr>
        <w:t xml:space="preserve"> Disaggregated costs for patient follow-up depending on the disease stage in Grangé et al </w:t>
      </w:r>
      <w:r w:rsidR="0037218A" w:rsidRPr="00D44EE6">
        <w:rPr>
          <w:rFonts w:ascii="Arial" w:hAnsi="Arial" w:cs="Arial"/>
          <w:bCs/>
          <w:noProof/>
          <w:lang w:val="en-GB"/>
        </w:rPr>
        <w:t>[13]</w:t>
      </w:r>
    </w:p>
    <w:tbl>
      <w:tblPr>
        <w:tblStyle w:val="PlainTable2"/>
        <w:tblW w:w="10207" w:type="dxa"/>
        <w:tblBorders>
          <w:top w:val="none" w:sz="0" w:space="0" w:color="auto"/>
          <w:bottom w:val="none" w:sz="0" w:space="0" w:color="auto"/>
        </w:tblBorders>
        <w:tblLook w:val="04A0" w:firstRow="1" w:lastRow="0" w:firstColumn="1" w:lastColumn="0" w:noHBand="0" w:noVBand="1"/>
      </w:tblPr>
      <w:tblGrid>
        <w:gridCol w:w="2127"/>
        <w:gridCol w:w="1371"/>
        <w:gridCol w:w="1322"/>
        <w:gridCol w:w="1223"/>
        <w:gridCol w:w="1471"/>
        <w:gridCol w:w="1095"/>
        <w:gridCol w:w="1598"/>
      </w:tblGrid>
      <w:tr w:rsidR="00D44EE6" w:rsidRPr="00D44EE6" w14:paraId="4AD2F43D" w14:textId="77777777" w:rsidTr="00045AC5">
        <w:trPr>
          <w:cnfStyle w:val="100000000000" w:firstRow="1" w:lastRow="0" w:firstColumn="0" w:lastColumn="0" w:oddVBand="0" w:evenVBand="0" w:oddHBand="0" w:evenHBand="0" w:firstRowFirstColumn="0" w:firstRowLastColumn="0" w:lastRowFirstColumn="0" w:lastRowLastColumn="0"/>
          <w:trHeight w:val="987"/>
        </w:trPr>
        <w:tc>
          <w:tcPr>
            <w:cnfStyle w:val="001000000000" w:firstRow="0" w:lastRow="0" w:firstColumn="1" w:lastColumn="0" w:oddVBand="0" w:evenVBand="0" w:oddHBand="0" w:evenHBand="0" w:firstRowFirstColumn="0" w:firstRowLastColumn="0" w:lastRowFirstColumn="0" w:lastRowLastColumn="0"/>
            <w:tcW w:w="2127" w:type="dxa"/>
            <w:vMerge w:val="restart"/>
            <w:tcBorders>
              <w:top w:val="single" w:sz="4" w:space="0" w:color="auto"/>
              <w:bottom w:val="single" w:sz="4" w:space="0" w:color="auto"/>
            </w:tcBorders>
            <w:vAlign w:val="center"/>
          </w:tcPr>
          <w:p w14:paraId="471406DD" w14:textId="77777777" w:rsidR="0056314E" w:rsidRPr="00D44EE6" w:rsidRDefault="0056314E" w:rsidP="00045AC5">
            <w:pPr>
              <w:pStyle w:val="BodyText"/>
              <w:spacing w:after="0"/>
              <w:rPr>
                <w:rFonts w:ascii="Arial" w:hAnsi="Arial" w:cs="Arial"/>
                <w:sz w:val="18"/>
                <w:szCs w:val="18"/>
                <w:lang w:val="en-GB"/>
              </w:rPr>
            </w:pPr>
            <w:r w:rsidRPr="00D44EE6">
              <w:rPr>
                <w:rFonts w:ascii="Arial" w:hAnsi="Arial" w:cs="Arial"/>
                <w:sz w:val="18"/>
                <w:szCs w:val="18"/>
                <w:lang w:val="en-GB"/>
              </w:rPr>
              <w:t>Follow-up stage</w:t>
            </w:r>
          </w:p>
          <w:p w14:paraId="66582A2B" w14:textId="134A6436" w:rsidR="0056314E" w:rsidRPr="00D44EE6" w:rsidRDefault="0056314E" w:rsidP="00045AC5">
            <w:pPr>
              <w:pStyle w:val="BodyText"/>
              <w:spacing w:after="0"/>
              <w:rPr>
                <w:rFonts w:ascii="Arial" w:hAnsi="Arial" w:cs="Arial"/>
                <w:sz w:val="18"/>
                <w:szCs w:val="18"/>
                <w:lang w:val="en-GB"/>
              </w:rPr>
            </w:pPr>
          </w:p>
        </w:tc>
        <w:tc>
          <w:tcPr>
            <w:tcW w:w="2693" w:type="dxa"/>
            <w:gridSpan w:val="2"/>
            <w:tcBorders>
              <w:top w:val="single" w:sz="4" w:space="0" w:color="auto"/>
              <w:bottom w:val="single" w:sz="4" w:space="0" w:color="auto"/>
            </w:tcBorders>
            <w:vAlign w:val="center"/>
          </w:tcPr>
          <w:p w14:paraId="5F56A450" w14:textId="77777777" w:rsidR="0056314E" w:rsidRPr="00D44EE6" w:rsidRDefault="0056314E" w:rsidP="00045AC5">
            <w:pPr>
              <w:pStyle w:val="BodyText"/>
              <w:spacing w:after="0"/>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D44EE6">
              <w:rPr>
                <w:rFonts w:ascii="Arial" w:hAnsi="Arial" w:cs="Arial"/>
                <w:sz w:val="18"/>
                <w:szCs w:val="18"/>
              </w:rPr>
              <w:t>Pre-recurrence</w:t>
            </w:r>
          </w:p>
          <w:p w14:paraId="19EA7219" w14:textId="77777777" w:rsidR="0056314E" w:rsidRPr="00D44EE6" w:rsidRDefault="0056314E" w:rsidP="00045AC5">
            <w:pPr>
              <w:pStyle w:val="BodyText"/>
              <w:spacing w:after="0"/>
              <w:cnfStyle w:val="100000000000" w:firstRow="1" w:lastRow="0" w:firstColumn="0" w:lastColumn="0" w:oddVBand="0" w:evenVBand="0" w:oddHBand="0" w:evenHBand="0" w:firstRowFirstColumn="0" w:firstRowLastColumn="0" w:lastRowFirstColumn="0" w:lastRowLastColumn="0"/>
              <w:rPr>
                <w:rFonts w:ascii="Arial" w:hAnsi="Arial" w:cs="Arial"/>
                <w:i/>
                <w:sz w:val="18"/>
                <w:szCs w:val="18"/>
              </w:rPr>
            </w:pPr>
            <w:r w:rsidRPr="00D44EE6">
              <w:rPr>
                <w:rFonts w:ascii="Arial" w:hAnsi="Arial" w:cs="Arial"/>
                <w:i/>
                <w:iCs/>
                <w:sz w:val="18"/>
                <w:szCs w:val="18"/>
              </w:rPr>
              <w:t>N</w:t>
            </w:r>
            <w:r w:rsidRPr="00D44EE6">
              <w:rPr>
                <w:rFonts w:ascii="Arial" w:hAnsi="Arial" w:cs="Arial"/>
                <w:sz w:val="18"/>
                <w:szCs w:val="18"/>
              </w:rPr>
              <w:t xml:space="preserve"> = 199</w:t>
            </w:r>
          </w:p>
          <w:p w14:paraId="4828D5EA" w14:textId="77777777" w:rsidR="00FA02EC" w:rsidRPr="00D44EE6" w:rsidRDefault="00FA02EC" w:rsidP="00045AC5">
            <w:pPr>
              <w:pStyle w:val="BodyText"/>
              <w:spacing w:after="0"/>
              <w:cnfStyle w:val="100000000000" w:firstRow="1" w:lastRow="0" w:firstColumn="0" w:lastColumn="0" w:oddVBand="0" w:evenVBand="0" w:oddHBand="0" w:evenHBand="0" w:firstRowFirstColumn="0" w:firstRowLastColumn="0" w:lastRowFirstColumn="0" w:lastRowLastColumn="0"/>
              <w:rPr>
                <w:rFonts w:ascii="Arial" w:hAnsi="Arial" w:cs="Arial"/>
                <w:i/>
                <w:sz w:val="18"/>
                <w:szCs w:val="18"/>
              </w:rPr>
            </w:pPr>
          </w:p>
          <w:p w14:paraId="5227E52C" w14:textId="6E121E7F" w:rsidR="0056314E" w:rsidRPr="00D44EE6" w:rsidRDefault="0056314E" w:rsidP="00045AC5">
            <w:pPr>
              <w:pStyle w:val="BodyText"/>
              <w:spacing w:after="0"/>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D44EE6">
              <w:rPr>
                <w:rFonts w:ascii="Arial" w:hAnsi="Arial" w:cs="Arial"/>
                <w:i/>
                <w:sz w:val="18"/>
                <w:szCs w:val="18"/>
              </w:rPr>
              <w:t>(mean follow-up, 16 months)</w:t>
            </w:r>
          </w:p>
        </w:tc>
        <w:tc>
          <w:tcPr>
            <w:tcW w:w="2694" w:type="dxa"/>
            <w:gridSpan w:val="2"/>
            <w:tcBorders>
              <w:top w:val="single" w:sz="4" w:space="0" w:color="auto"/>
              <w:bottom w:val="single" w:sz="4" w:space="0" w:color="auto"/>
            </w:tcBorders>
            <w:vAlign w:val="center"/>
          </w:tcPr>
          <w:p w14:paraId="5F8FBCBF" w14:textId="7DECC091" w:rsidR="0056314E" w:rsidRPr="00D44EE6" w:rsidRDefault="0056314E" w:rsidP="00045AC5">
            <w:pPr>
              <w:pStyle w:val="BodyText"/>
              <w:spacing w:after="0"/>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Local/</w:t>
            </w:r>
            <w:r w:rsidR="00FA02EC" w:rsidRPr="00D44EE6">
              <w:rPr>
                <w:rFonts w:ascii="Arial" w:hAnsi="Arial" w:cs="Arial"/>
                <w:sz w:val="18"/>
                <w:szCs w:val="18"/>
                <w:lang w:val="en-GB"/>
              </w:rPr>
              <w:t>r</w:t>
            </w:r>
            <w:r w:rsidRPr="00D44EE6">
              <w:rPr>
                <w:rFonts w:ascii="Arial" w:hAnsi="Arial" w:cs="Arial"/>
                <w:sz w:val="18"/>
                <w:szCs w:val="18"/>
                <w:lang w:val="en-GB"/>
              </w:rPr>
              <w:t xml:space="preserve">egional </w:t>
            </w:r>
            <w:r w:rsidR="005F79A2" w:rsidRPr="00D44EE6">
              <w:rPr>
                <w:rFonts w:ascii="Arial" w:hAnsi="Arial" w:cs="Arial"/>
                <w:sz w:val="18"/>
                <w:szCs w:val="18"/>
                <w:lang w:val="en-GB"/>
              </w:rPr>
              <w:br/>
            </w:r>
            <w:r w:rsidRPr="00D44EE6">
              <w:rPr>
                <w:rFonts w:ascii="Arial" w:hAnsi="Arial" w:cs="Arial"/>
                <w:sz w:val="18"/>
                <w:szCs w:val="18"/>
                <w:lang w:val="en-GB"/>
              </w:rPr>
              <w:t>post-recurrence</w:t>
            </w:r>
          </w:p>
          <w:p w14:paraId="2848DD94" w14:textId="77777777" w:rsidR="0056314E" w:rsidRPr="00D44EE6" w:rsidRDefault="0056314E" w:rsidP="00045AC5">
            <w:pPr>
              <w:pStyle w:val="BodyText"/>
              <w:spacing w:after="0"/>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GB"/>
              </w:rPr>
            </w:pPr>
            <w:r w:rsidRPr="00D44EE6">
              <w:rPr>
                <w:rFonts w:ascii="Arial" w:hAnsi="Arial" w:cs="Arial"/>
                <w:i/>
                <w:iCs/>
                <w:sz w:val="18"/>
                <w:szCs w:val="18"/>
                <w:lang w:val="en-GB"/>
              </w:rPr>
              <w:t>N</w:t>
            </w:r>
            <w:r w:rsidRPr="00D44EE6">
              <w:rPr>
                <w:rFonts w:ascii="Arial" w:hAnsi="Arial" w:cs="Arial"/>
                <w:sz w:val="18"/>
                <w:szCs w:val="18"/>
                <w:lang w:val="en-GB"/>
              </w:rPr>
              <w:t xml:space="preserve"> = 57</w:t>
            </w:r>
          </w:p>
          <w:p w14:paraId="0E6949B7" w14:textId="61A33B83" w:rsidR="0056314E" w:rsidRPr="00D44EE6" w:rsidRDefault="0056314E" w:rsidP="00045AC5">
            <w:pPr>
              <w:pStyle w:val="BodyText"/>
              <w:spacing w:after="0"/>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GB"/>
              </w:rPr>
            </w:pPr>
            <w:r w:rsidRPr="00D44EE6">
              <w:rPr>
                <w:rFonts w:ascii="Arial" w:hAnsi="Arial" w:cs="Arial"/>
                <w:i/>
                <w:sz w:val="18"/>
                <w:szCs w:val="18"/>
                <w:lang w:val="en-GB"/>
              </w:rPr>
              <w:t>(mean follow-up, 12 months)</w:t>
            </w:r>
          </w:p>
        </w:tc>
        <w:tc>
          <w:tcPr>
            <w:tcW w:w="2693" w:type="dxa"/>
            <w:gridSpan w:val="2"/>
            <w:tcBorders>
              <w:top w:val="single" w:sz="4" w:space="0" w:color="auto"/>
              <w:bottom w:val="single" w:sz="4" w:space="0" w:color="auto"/>
            </w:tcBorders>
            <w:vAlign w:val="center"/>
          </w:tcPr>
          <w:p w14:paraId="783DA7E0" w14:textId="10C202A9" w:rsidR="0056314E" w:rsidRPr="00D44EE6" w:rsidRDefault="0056314E" w:rsidP="00045AC5">
            <w:pPr>
              <w:pStyle w:val="BodyText"/>
              <w:spacing w:after="0"/>
              <w:ind w:right="-34"/>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GB"/>
              </w:rPr>
            </w:pPr>
            <w:r w:rsidRPr="00D44EE6">
              <w:rPr>
                <w:rFonts w:ascii="Arial" w:hAnsi="Arial" w:cs="Arial"/>
                <w:sz w:val="18"/>
                <w:szCs w:val="18"/>
                <w:lang w:val="en-GB"/>
              </w:rPr>
              <w:t xml:space="preserve">Metastatic </w:t>
            </w:r>
            <w:r w:rsidR="005F79A2" w:rsidRPr="00D44EE6">
              <w:rPr>
                <w:rFonts w:ascii="Arial" w:hAnsi="Arial" w:cs="Arial"/>
                <w:sz w:val="18"/>
                <w:szCs w:val="18"/>
                <w:lang w:val="en-GB"/>
              </w:rPr>
              <w:br/>
            </w:r>
            <w:r w:rsidRPr="00D44EE6">
              <w:rPr>
                <w:rFonts w:ascii="Arial" w:hAnsi="Arial" w:cs="Arial"/>
                <w:sz w:val="18"/>
                <w:szCs w:val="18"/>
                <w:lang w:val="en-GB"/>
              </w:rPr>
              <w:t>post-recurrence</w:t>
            </w:r>
          </w:p>
          <w:p w14:paraId="705E37A1" w14:textId="77777777" w:rsidR="0056314E" w:rsidRPr="00D44EE6" w:rsidRDefault="0056314E" w:rsidP="00045AC5">
            <w:pPr>
              <w:pStyle w:val="BodyText"/>
              <w:spacing w:after="0"/>
              <w:ind w:right="-34"/>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GB"/>
              </w:rPr>
            </w:pPr>
            <w:r w:rsidRPr="00D44EE6">
              <w:rPr>
                <w:rFonts w:ascii="Arial" w:hAnsi="Arial" w:cs="Arial"/>
                <w:i/>
                <w:iCs/>
                <w:sz w:val="18"/>
                <w:szCs w:val="18"/>
                <w:lang w:val="en-GB"/>
              </w:rPr>
              <w:t>N</w:t>
            </w:r>
            <w:r w:rsidRPr="00D44EE6">
              <w:rPr>
                <w:rFonts w:ascii="Arial" w:hAnsi="Arial" w:cs="Arial"/>
                <w:sz w:val="18"/>
                <w:szCs w:val="18"/>
                <w:lang w:val="en-GB"/>
              </w:rPr>
              <w:t xml:space="preserve"> = 106</w:t>
            </w:r>
          </w:p>
          <w:p w14:paraId="6989140C" w14:textId="79FB2316" w:rsidR="0056314E" w:rsidRPr="00D44EE6" w:rsidRDefault="0056314E" w:rsidP="00045AC5">
            <w:pPr>
              <w:pStyle w:val="BodyText"/>
              <w:spacing w:after="0"/>
              <w:ind w:right="-34"/>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en-GB"/>
              </w:rPr>
            </w:pPr>
            <w:r w:rsidRPr="00D44EE6">
              <w:rPr>
                <w:rFonts w:ascii="Arial" w:hAnsi="Arial" w:cs="Arial"/>
                <w:i/>
                <w:sz w:val="18"/>
                <w:szCs w:val="18"/>
                <w:lang w:val="en-GB"/>
              </w:rPr>
              <w:t>(mean follow-up, 14 months)</w:t>
            </w:r>
          </w:p>
        </w:tc>
      </w:tr>
      <w:tr w:rsidR="00D44EE6" w:rsidRPr="00D44EE6" w14:paraId="6A8FC3E0" w14:textId="77777777" w:rsidTr="00045AC5">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2127" w:type="dxa"/>
            <w:vMerge/>
            <w:tcBorders>
              <w:top w:val="single" w:sz="4" w:space="0" w:color="auto"/>
            </w:tcBorders>
            <w:vAlign w:val="center"/>
          </w:tcPr>
          <w:p w14:paraId="19F0A6DF" w14:textId="77777777" w:rsidR="0056314E" w:rsidRPr="00D44EE6" w:rsidRDefault="0056314E" w:rsidP="00045AC5">
            <w:pPr>
              <w:pStyle w:val="BodyText"/>
              <w:spacing w:after="0"/>
              <w:rPr>
                <w:rFonts w:ascii="Arial" w:hAnsi="Arial" w:cs="Arial"/>
                <w:b w:val="0"/>
                <w:bCs w:val="0"/>
                <w:sz w:val="18"/>
                <w:szCs w:val="18"/>
                <w:lang w:val="en-GB"/>
              </w:rPr>
            </w:pPr>
          </w:p>
        </w:tc>
        <w:tc>
          <w:tcPr>
            <w:tcW w:w="1371" w:type="dxa"/>
            <w:tcBorders>
              <w:top w:val="single" w:sz="4" w:space="0" w:color="auto"/>
            </w:tcBorders>
            <w:vAlign w:val="center"/>
          </w:tcPr>
          <w:p w14:paraId="403E8344" w14:textId="6F6EC454" w:rsidR="0056314E" w:rsidRPr="00D44EE6" w:rsidRDefault="0056314E" w:rsidP="00045AC5">
            <w:pPr>
              <w:pStyle w:val="BodyText"/>
              <w:spacing w:after="0"/>
              <w:ind w:left="-94" w:right="-119"/>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44EE6">
              <w:rPr>
                <w:rFonts w:ascii="Arial" w:hAnsi="Arial" w:cs="Arial"/>
                <w:sz w:val="18"/>
                <w:szCs w:val="18"/>
              </w:rPr>
              <w:t>Annual costs</w:t>
            </w:r>
          </w:p>
          <w:p w14:paraId="393EA1C5" w14:textId="77777777" w:rsidR="0056314E" w:rsidRPr="00D44EE6" w:rsidRDefault="0056314E" w:rsidP="00045AC5">
            <w:pPr>
              <w:pStyle w:val="BodyText"/>
              <w:spacing w:after="0"/>
              <w:ind w:left="-94" w:right="-119"/>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44EE6">
              <w:rPr>
                <w:rFonts w:ascii="Arial" w:hAnsi="Arial" w:cs="Arial"/>
                <w:sz w:val="18"/>
                <w:szCs w:val="18"/>
              </w:rPr>
              <w:t>(€2013)</w:t>
            </w:r>
          </w:p>
        </w:tc>
        <w:tc>
          <w:tcPr>
            <w:tcW w:w="1322" w:type="dxa"/>
            <w:tcBorders>
              <w:top w:val="single" w:sz="4" w:space="0" w:color="auto"/>
            </w:tcBorders>
            <w:vAlign w:val="center"/>
          </w:tcPr>
          <w:p w14:paraId="32D0C2C8" w14:textId="77777777" w:rsidR="0056314E" w:rsidRPr="00D44EE6" w:rsidRDefault="0056314E" w:rsidP="00045AC5">
            <w:pPr>
              <w:pStyle w:val="BodyText"/>
              <w:spacing w:after="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44EE6">
              <w:rPr>
                <w:rFonts w:ascii="Arial" w:hAnsi="Arial" w:cs="Arial"/>
                <w:sz w:val="18"/>
                <w:szCs w:val="18"/>
              </w:rPr>
              <w:t>Monthly costs</w:t>
            </w:r>
          </w:p>
          <w:p w14:paraId="0DCD3FB0" w14:textId="77777777" w:rsidR="0056314E" w:rsidRPr="00D44EE6" w:rsidRDefault="0056314E" w:rsidP="00045AC5">
            <w:pPr>
              <w:pStyle w:val="BodyText"/>
              <w:spacing w:after="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44EE6">
              <w:rPr>
                <w:rFonts w:ascii="Arial" w:hAnsi="Arial" w:cs="Arial"/>
                <w:sz w:val="18"/>
                <w:szCs w:val="18"/>
              </w:rPr>
              <w:t>(€2018)</w:t>
            </w:r>
          </w:p>
        </w:tc>
        <w:tc>
          <w:tcPr>
            <w:tcW w:w="1223" w:type="dxa"/>
            <w:tcBorders>
              <w:top w:val="single" w:sz="4" w:space="0" w:color="auto"/>
            </w:tcBorders>
            <w:vAlign w:val="center"/>
          </w:tcPr>
          <w:p w14:paraId="1610EBED" w14:textId="77777777" w:rsidR="0056314E" w:rsidRPr="00D44EE6" w:rsidRDefault="0056314E" w:rsidP="00045AC5">
            <w:pPr>
              <w:pStyle w:val="BodyText"/>
              <w:spacing w:after="0"/>
              <w:ind w:left="-94" w:right="-119"/>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44EE6">
              <w:rPr>
                <w:rFonts w:ascii="Arial" w:hAnsi="Arial" w:cs="Arial"/>
                <w:sz w:val="18"/>
                <w:szCs w:val="18"/>
              </w:rPr>
              <w:t>Annual costs</w:t>
            </w:r>
          </w:p>
          <w:p w14:paraId="4BA65F68" w14:textId="5DF5F934" w:rsidR="0056314E" w:rsidRPr="00D44EE6" w:rsidRDefault="0056314E" w:rsidP="00045AC5">
            <w:pPr>
              <w:pStyle w:val="BodyText"/>
              <w:spacing w:after="0"/>
              <w:ind w:left="-94" w:right="-119"/>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44EE6">
              <w:rPr>
                <w:rFonts w:ascii="Arial" w:hAnsi="Arial" w:cs="Arial"/>
                <w:sz w:val="18"/>
                <w:szCs w:val="18"/>
              </w:rPr>
              <w:t>(€2013)</w:t>
            </w:r>
          </w:p>
        </w:tc>
        <w:tc>
          <w:tcPr>
            <w:tcW w:w="1471" w:type="dxa"/>
            <w:tcBorders>
              <w:top w:val="single" w:sz="4" w:space="0" w:color="auto"/>
            </w:tcBorders>
            <w:vAlign w:val="center"/>
          </w:tcPr>
          <w:p w14:paraId="48A6FF48" w14:textId="77777777" w:rsidR="0056314E" w:rsidRPr="00D44EE6" w:rsidRDefault="0056314E" w:rsidP="00045AC5">
            <w:pPr>
              <w:pStyle w:val="BodyText"/>
              <w:spacing w:after="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44EE6">
              <w:rPr>
                <w:rFonts w:ascii="Arial" w:hAnsi="Arial" w:cs="Arial"/>
                <w:sz w:val="18"/>
                <w:szCs w:val="18"/>
              </w:rPr>
              <w:t>Monthly costs</w:t>
            </w:r>
          </w:p>
          <w:p w14:paraId="499C5994" w14:textId="77777777" w:rsidR="0056314E" w:rsidRPr="00D44EE6" w:rsidRDefault="0056314E" w:rsidP="00045AC5">
            <w:pPr>
              <w:pStyle w:val="BodyText"/>
              <w:spacing w:after="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44EE6">
              <w:rPr>
                <w:rFonts w:ascii="Arial" w:hAnsi="Arial" w:cs="Arial"/>
                <w:sz w:val="18"/>
                <w:szCs w:val="18"/>
              </w:rPr>
              <w:t>(€2018)</w:t>
            </w:r>
          </w:p>
        </w:tc>
        <w:tc>
          <w:tcPr>
            <w:tcW w:w="1095" w:type="dxa"/>
            <w:tcBorders>
              <w:top w:val="single" w:sz="4" w:space="0" w:color="auto"/>
            </w:tcBorders>
            <w:vAlign w:val="center"/>
          </w:tcPr>
          <w:p w14:paraId="0E25563D" w14:textId="076ECB79" w:rsidR="0056314E" w:rsidRPr="00D44EE6" w:rsidRDefault="0056314E" w:rsidP="00045AC5">
            <w:pPr>
              <w:pStyle w:val="BodyText"/>
              <w:spacing w:after="0"/>
              <w:ind w:left="-94" w:right="-119"/>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44EE6">
              <w:rPr>
                <w:rFonts w:ascii="Arial" w:hAnsi="Arial" w:cs="Arial"/>
                <w:sz w:val="18"/>
                <w:szCs w:val="18"/>
              </w:rPr>
              <w:t>Annual costs</w:t>
            </w:r>
          </w:p>
          <w:p w14:paraId="496A22F9" w14:textId="77777777" w:rsidR="0056314E" w:rsidRPr="00D44EE6" w:rsidRDefault="0056314E" w:rsidP="00045AC5">
            <w:pPr>
              <w:pStyle w:val="BodyText"/>
              <w:spacing w:after="0"/>
              <w:ind w:left="-94" w:right="-119"/>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44EE6">
              <w:rPr>
                <w:rFonts w:ascii="Arial" w:hAnsi="Arial" w:cs="Arial"/>
                <w:sz w:val="18"/>
                <w:szCs w:val="18"/>
              </w:rPr>
              <w:t>(€2013)</w:t>
            </w:r>
          </w:p>
        </w:tc>
        <w:tc>
          <w:tcPr>
            <w:tcW w:w="1598" w:type="dxa"/>
            <w:tcBorders>
              <w:top w:val="single" w:sz="4" w:space="0" w:color="auto"/>
            </w:tcBorders>
            <w:vAlign w:val="center"/>
          </w:tcPr>
          <w:p w14:paraId="07CC88DF" w14:textId="77777777" w:rsidR="0056314E" w:rsidRPr="00D44EE6" w:rsidRDefault="0056314E" w:rsidP="00045AC5">
            <w:pPr>
              <w:pStyle w:val="BodyText"/>
              <w:spacing w:after="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44EE6">
              <w:rPr>
                <w:rFonts w:ascii="Arial" w:hAnsi="Arial" w:cs="Arial"/>
                <w:sz w:val="18"/>
                <w:szCs w:val="18"/>
              </w:rPr>
              <w:t>Monthly costs</w:t>
            </w:r>
          </w:p>
          <w:p w14:paraId="4CAB8164" w14:textId="77777777" w:rsidR="0056314E" w:rsidRPr="00D44EE6" w:rsidRDefault="0056314E" w:rsidP="00045AC5">
            <w:pPr>
              <w:pStyle w:val="BodyText"/>
              <w:spacing w:after="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44EE6">
              <w:rPr>
                <w:rFonts w:ascii="Arial" w:hAnsi="Arial" w:cs="Arial"/>
                <w:sz w:val="18"/>
                <w:szCs w:val="18"/>
              </w:rPr>
              <w:t>(€2018)</w:t>
            </w:r>
          </w:p>
        </w:tc>
      </w:tr>
      <w:tr w:rsidR="00D44EE6" w:rsidRPr="00D44EE6" w14:paraId="6975E761" w14:textId="77777777" w:rsidTr="00045AC5">
        <w:trPr>
          <w:trHeight w:val="823"/>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85A4D74" w14:textId="77777777" w:rsidR="0056314E" w:rsidRPr="00D44EE6" w:rsidRDefault="0056314E" w:rsidP="00045AC5">
            <w:pPr>
              <w:pStyle w:val="BodyText"/>
              <w:spacing w:after="0"/>
              <w:rPr>
                <w:rFonts w:ascii="Arial" w:hAnsi="Arial" w:cs="Arial"/>
                <w:b w:val="0"/>
                <w:bCs w:val="0"/>
                <w:sz w:val="18"/>
                <w:szCs w:val="18"/>
                <w:lang w:val="en-GB"/>
              </w:rPr>
            </w:pPr>
            <w:r w:rsidRPr="00D44EE6">
              <w:rPr>
                <w:rFonts w:ascii="Arial" w:hAnsi="Arial" w:cs="Arial"/>
                <w:b w:val="0"/>
                <w:bCs w:val="0"/>
                <w:sz w:val="18"/>
                <w:szCs w:val="18"/>
                <w:lang w:val="en-GB"/>
              </w:rPr>
              <w:t>Hospitalisation costs and emergency stays costs</w:t>
            </w:r>
          </w:p>
        </w:tc>
        <w:tc>
          <w:tcPr>
            <w:tcW w:w="1371" w:type="dxa"/>
            <w:vAlign w:val="center"/>
          </w:tcPr>
          <w:p w14:paraId="2B5A3641" w14:textId="77777777" w:rsidR="0056314E" w:rsidRPr="00D44EE6" w:rsidRDefault="0056314E" w:rsidP="00045AC5">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44EE6">
              <w:rPr>
                <w:rFonts w:ascii="Arial" w:hAnsi="Arial" w:cs="Arial"/>
                <w:sz w:val="18"/>
                <w:szCs w:val="18"/>
              </w:rPr>
              <w:t>3600</w:t>
            </w:r>
          </w:p>
        </w:tc>
        <w:tc>
          <w:tcPr>
            <w:tcW w:w="1322" w:type="dxa"/>
            <w:vAlign w:val="center"/>
          </w:tcPr>
          <w:p w14:paraId="3EE030A8" w14:textId="77777777" w:rsidR="0056314E" w:rsidRPr="00D44EE6" w:rsidRDefault="0056314E" w:rsidP="00045AC5">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44EE6">
              <w:rPr>
                <w:rFonts w:ascii="Arial" w:hAnsi="Arial" w:cs="Arial"/>
                <w:bCs/>
                <w:sz w:val="18"/>
                <w:szCs w:val="18"/>
              </w:rPr>
              <w:t>218</w:t>
            </w:r>
          </w:p>
        </w:tc>
        <w:tc>
          <w:tcPr>
            <w:tcW w:w="1223" w:type="dxa"/>
            <w:vAlign w:val="center"/>
          </w:tcPr>
          <w:p w14:paraId="39B77D17" w14:textId="77777777" w:rsidR="0056314E" w:rsidRPr="00D44EE6" w:rsidRDefault="0056314E" w:rsidP="00045AC5">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44EE6">
              <w:rPr>
                <w:rFonts w:ascii="Arial" w:hAnsi="Arial" w:cs="Arial"/>
                <w:sz w:val="18"/>
                <w:szCs w:val="18"/>
              </w:rPr>
              <w:t>1338</w:t>
            </w:r>
          </w:p>
        </w:tc>
        <w:tc>
          <w:tcPr>
            <w:tcW w:w="1471" w:type="dxa"/>
            <w:vAlign w:val="center"/>
          </w:tcPr>
          <w:p w14:paraId="4F46AFF3" w14:textId="77777777" w:rsidR="0056314E" w:rsidRPr="00D44EE6" w:rsidRDefault="0056314E" w:rsidP="00045AC5">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44EE6">
              <w:rPr>
                <w:rFonts w:ascii="Arial" w:hAnsi="Arial" w:cs="Arial"/>
                <w:bCs/>
                <w:sz w:val="18"/>
                <w:szCs w:val="18"/>
              </w:rPr>
              <w:t>108</w:t>
            </w:r>
          </w:p>
        </w:tc>
        <w:tc>
          <w:tcPr>
            <w:tcW w:w="1095" w:type="dxa"/>
            <w:vAlign w:val="center"/>
          </w:tcPr>
          <w:p w14:paraId="65D8D9E3" w14:textId="77777777" w:rsidR="0056314E" w:rsidRPr="00D44EE6" w:rsidRDefault="0056314E" w:rsidP="00045AC5">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44EE6">
              <w:rPr>
                <w:rFonts w:ascii="Arial" w:hAnsi="Arial" w:cs="Arial"/>
                <w:sz w:val="18"/>
                <w:szCs w:val="18"/>
              </w:rPr>
              <w:t>4699</w:t>
            </w:r>
          </w:p>
        </w:tc>
        <w:tc>
          <w:tcPr>
            <w:tcW w:w="1598" w:type="dxa"/>
            <w:vAlign w:val="center"/>
          </w:tcPr>
          <w:p w14:paraId="4B2BC6C9" w14:textId="77777777" w:rsidR="0056314E" w:rsidRPr="00D44EE6" w:rsidRDefault="0056314E" w:rsidP="00045AC5">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44EE6">
              <w:rPr>
                <w:rFonts w:ascii="Arial" w:hAnsi="Arial" w:cs="Arial"/>
                <w:bCs/>
                <w:sz w:val="18"/>
                <w:szCs w:val="18"/>
              </w:rPr>
              <w:t>326</w:t>
            </w:r>
          </w:p>
        </w:tc>
      </w:tr>
      <w:tr w:rsidR="00D44EE6" w:rsidRPr="00D44EE6" w14:paraId="4D00DD5E" w14:textId="77777777" w:rsidTr="00045AC5">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B3A76B0" w14:textId="77777777" w:rsidR="0056314E" w:rsidRPr="00D44EE6" w:rsidRDefault="0056314E" w:rsidP="00045AC5">
            <w:pPr>
              <w:pStyle w:val="BodyText"/>
              <w:spacing w:after="0"/>
              <w:rPr>
                <w:rFonts w:ascii="Arial" w:hAnsi="Arial" w:cs="Arial"/>
                <w:b w:val="0"/>
                <w:bCs w:val="0"/>
                <w:sz w:val="18"/>
                <w:szCs w:val="18"/>
              </w:rPr>
            </w:pPr>
            <w:r w:rsidRPr="00D44EE6">
              <w:rPr>
                <w:rFonts w:ascii="Arial" w:hAnsi="Arial" w:cs="Arial"/>
                <w:b w:val="0"/>
                <w:bCs w:val="0"/>
                <w:sz w:val="18"/>
                <w:szCs w:val="18"/>
              </w:rPr>
              <w:t>Clinical visits costs</w:t>
            </w:r>
          </w:p>
        </w:tc>
        <w:tc>
          <w:tcPr>
            <w:tcW w:w="1371" w:type="dxa"/>
            <w:vAlign w:val="center"/>
          </w:tcPr>
          <w:p w14:paraId="3CE820D8" w14:textId="77777777" w:rsidR="0056314E" w:rsidRPr="00D44EE6" w:rsidRDefault="0056314E" w:rsidP="00045AC5">
            <w:pPr>
              <w:pStyle w:val="BodyText"/>
              <w:spacing w:after="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44EE6">
              <w:rPr>
                <w:rFonts w:ascii="Arial" w:hAnsi="Arial" w:cs="Arial"/>
                <w:sz w:val="18"/>
                <w:szCs w:val="18"/>
              </w:rPr>
              <w:t>298</w:t>
            </w:r>
          </w:p>
        </w:tc>
        <w:tc>
          <w:tcPr>
            <w:tcW w:w="1322" w:type="dxa"/>
            <w:vAlign w:val="center"/>
          </w:tcPr>
          <w:p w14:paraId="3040CF51" w14:textId="77777777" w:rsidR="0056314E" w:rsidRPr="00D44EE6" w:rsidRDefault="0056314E" w:rsidP="00045AC5">
            <w:pPr>
              <w:pStyle w:val="BodyText"/>
              <w:spacing w:after="0"/>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D44EE6">
              <w:rPr>
                <w:rFonts w:ascii="Arial" w:hAnsi="Arial" w:cs="Arial"/>
                <w:bCs/>
                <w:sz w:val="18"/>
                <w:szCs w:val="18"/>
              </w:rPr>
              <w:t>18</w:t>
            </w:r>
          </w:p>
        </w:tc>
        <w:tc>
          <w:tcPr>
            <w:tcW w:w="1223" w:type="dxa"/>
            <w:vAlign w:val="center"/>
          </w:tcPr>
          <w:p w14:paraId="415E2FE4" w14:textId="77777777" w:rsidR="0056314E" w:rsidRPr="00D44EE6" w:rsidRDefault="0056314E" w:rsidP="00045AC5">
            <w:pPr>
              <w:pStyle w:val="BodyText"/>
              <w:spacing w:after="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44EE6">
              <w:rPr>
                <w:rFonts w:ascii="Arial" w:hAnsi="Arial" w:cs="Arial"/>
                <w:sz w:val="18"/>
                <w:szCs w:val="18"/>
              </w:rPr>
              <w:t>203</w:t>
            </w:r>
          </w:p>
        </w:tc>
        <w:tc>
          <w:tcPr>
            <w:tcW w:w="1471" w:type="dxa"/>
            <w:vAlign w:val="center"/>
          </w:tcPr>
          <w:p w14:paraId="55601305" w14:textId="77777777" w:rsidR="0056314E" w:rsidRPr="00D44EE6" w:rsidRDefault="0056314E" w:rsidP="00045AC5">
            <w:pPr>
              <w:pStyle w:val="BodyText"/>
              <w:spacing w:after="0"/>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D44EE6">
              <w:rPr>
                <w:rFonts w:ascii="Arial" w:hAnsi="Arial" w:cs="Arial"/>
                <w:bCs/>
                <w:sz w:val="18"/>
                <w:szCs w:val="18"/>
              </w:rPr>
              <w:t>16</w:t>
            </w:r>
          </w:p>
        </w:tc>
        <w:tc>
          <w:tcPr>
            <w:tcW w:w="1095" w:type="dxa"/>
            <w:vAlign w:val="center"/>
          </w:tcPr>
          <w:p w14:paraId="61C694CF" w14:textId="77777777" w:rsidR="0056314E" w:rsidRPr="00D44EE6" w:rsidRDefault="0056314E" w:rsidP="00045AC5">
            <w:pPr>
              <w:pStyle w:val="BodyText"/>
              <w:spacing w:after="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44EE6">
              <w:rPr>
                <w:rFonts w:ascii="Arial" w:hAnsi="Arial" w:cs="Arial"/>
                <w:sz w:val="18"/>
                <w:szCs w:val="18"/>
              </w:rPr>
              <w:t>259</w:t>
            </w:r>
          </w:p>
        </w:tc>
        <w:tc>
          <w:tcPr>
            <w:tcW w:w="1598" w:type="dxa"/>
            <w:vAlign w:val="center"/>
          </w:tcPr>
          <w:p w14:paraId="1A47BBEB" w14:textId="77777777" w:rsidR="0056314E" w:rsidRPr="00D44EE6" w:rsidRDefault="0056314E" w:rsidP="00045AC5">
            <w:pPr>
              <w:pStyle w:val="BodyText"/>
              <w:spacing w:after="0"/>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D44EE6">
              <w:rPr>
                <w:rFonts w:ascii="Arial" w:hAnsi="Arial" w:cs="Arial"/>
                <w:bCs/>
                <w:sz w:val="18"/>
                <w:szCs w:val="18"/>
              </w:rPr>
              <w:t>18</w:t>
            </w:r>
          </w:p>
        </w:tc>
      </w:tr>
      <w:tr w:rsidR="00D44EE6" w:rsidRPr="00D44EE6" w14:paraId="1682E5C5" w14:textId="77777777" w:rsidTr="00045AC5">
        <w:trPr>
          <w:trHeight w:val="414"/>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3539456D" w14:textId="5921E568" w:rsidR="0056314E" w:rsidRPr="00D44EE6" w:rsidRDefault="0056314E" w:rsidP="00045AC5">
            <w:pPr>
              <w:pStyle w:val="BodyText"/>
              <w:spacing w:after="0"/>
              <w:rPr>
                <w:rFonts w:ascii="Arial" w:hAnsi="Arial" w:cs="Arial"/>
                <w:b w:val="0"/>
                <w:bCs w:val="0"/>
                <w:sz w:val="18"/>
                <w:szCs w:val="18"/>
              </w:rPr>
            </w:pPr>
            <w:r w:rsidRPr="00D44EE6">
              <w:rPr>
                <w:rFonts w:ascii="Arial" w:hAnsi="Arial" w:cs="Arial"/>
                <w:b w:val="0"/>
                <w:bCs w:val="0"/>
                <w:sz w:val="18"/>
                <w:szCs w:val="18"/>
              </w:rPr>
              <w:t>Diagnosis costs</w:t>
            </w:r>
          </w:p>
        </w:tc>
        <w:tc>
          <w:tcPr>
            <w:tcW w:w="1371" w:type="dxa"/>
            <w:vAlign w:val="center"/>
          </w:tcPr>
          <w:p w14:paraId="71293E1C" w14:textId="77777777" w:rsidR="0056314E" w:rsidRPr="00D44EE6" w:rsidRDefault="0056314E" w:rsidP="00045AC5">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44EE6">
              <w:rPr>
                <w:rFonts w:ascii="Arial" w:hAnsi="Arial" w:cs="Arial"/>
                <w:sz w:val="18"/>
                <w:szCs w:val="18"/>
              </w:rPr>
              <w:t>508</w:t>
            </w:r>
          </w:p>
        </w:tc>
        <w:tc>
          <w:tcPr>
            <w:tcW w:w="1322" w:type="dxa"/>
            <w:vAlign w:val="center"/>
          </w:tcPr>
          <w:p w14:paraId="5640BE5E" w14:textId="77777777" w:rsidR="0056314E" w:rsidRPr="00D44EE6" w:rsidRDefault="0056314E" w:rsidP="00045AC5">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44EE6">
              <w:rPr>
                <w:rFonts w:ascii="Arial" w:hAnsi="Arial" w:cs="Arial"/>
                <w:bCs/>
                <w:sz w:val="18"/>
                <w:szCs w:val="18"/>
              </w:rPr>
              <w:t>31</w:t>
            </w:r>
          </w:p>
        </w:tc>
        <w:tc>
          <w:tcPr>
            <w:tcW w:w="1223" w:type="dxa"/>
            <w:vAlign w:val="center"/>
          </w:tcPr>
          <w:p w14:paraId="0CD40247" w14:textId="77777777" w:rsidR="0056314E" w:rsidRPr="00D44EE6" w:rsidRDefault="0056314E" w:rsidP="00045AC5">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44EE6">
              <w:rPr>
                <w:rFonts w:ascii="Arial" w:hAnsi="Arial" w:cs="Arial"/>
                <w:sz w:val="18"/>
                <w:szCs w:val="18"/>
              </w:rPr>
              <w:t>374</w:t>
            </w:r>
          </w:p>
        </w:tc>
        <w:tc>
          <w:tcPr>
            <w:tcW w:w="1471" w:type="dxa"/>
            <w:vAlign w:val="center"/>
          </w:tcPr>
          <w:p w14:paraId="3C682760" w14:textId="77777777" w:rsidR="0056314E" w:rsidRPr="00D44EE6" w:rsidRDefault="0056314E" w:rsidP="00045AC5">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44EE6">
              <w:rPr>
                <w:rFonts w:ascii="Arial" w:hAnsi="Arial" w:cs="Arial"/>
                <w:bCs/>
                <w:sz w:val="18"/>
                <w:szCs w:val="18"/>
              </w:rPr>
              <w:t>30</w:t>
            </w:r>
          </w:p>
        </w:tc>
        <w:tc>
          <w:tcPr>
            <w:tcW w:w="1095" w:type="dxa"/>
            <w:vAlign w:val="center"/>
          </w:tcPr>
          <w:p w14:paraId="02BB4F97" w14:textId="77777777" w:rsidR="0056314E" w:rsidRPr="00D44EE6" w:rsidRDefault="0056314E" w:rsidP="00045AC5">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44EE6">
              <w:rPr>
                <w:rFonts w:ascii="Arial" w:hAnsi="Arial" w:cs="Arial"/>
                <w:sz w:val="18"/>
                <w:szCs w:val="18"/>
              </w:rPr>
              <w:t>866</w:t>
            </w:r>
          </w:p>
        </w:tc>
        <w:tc>
          <w:tcPr>
            <w:tcW w:w="1598" w:type="dxa"/>
            <w:vAlign w:val="center"/>
          </w:tcPr>
          <w:p w14:paraId="66E912CB" w14:textId="77777777" w:rsidR="0056314E" w:rsidRPr="00D44EE6" w:rsidRDefault="0056314E" w:rsidP="00045AC5">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D44EE6">
              <w:rPr>
                <w:rFonts w:ascii="Arial" w:hAnsi="Arial" w:cs="Arial"/>
                <w:bCs/>
                <w:sz w:val="18"/>
                <w:szCs w:val="18"/>
              </w:rPr>
              <w:t>60</w:t>
            </w:r>
          </w:p>
        </w:tc>
      </w:tr>
      <w:tr w:rsidR="00D44EE6" w:rsidRPr="00D44EE6" w14:paraId="79D1F54F" w14:textId="77777777" w:rsidTr="00045AC5">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36B56FE3" w14:textId="77777777" w:rsidR="0056314E" w:rsidRPr="00D44EE6" w:rsidRDefault="0056314E" w:rsidP="00045AC5">
            <w:pPr>
              <w:pStyle w:val="BodyText"/>
              <w:spacing w:after="0"/>
              <w:rPr>
                <w:rFonts w:ascii="Arial" w:hAnsi="Arial" w:cs="Arial"/>
                <w:b w:val="0"/>
                <w:bCs w:val="0"/>
                <w:sz w:val="18"/>
                <w:szCs w:val="18"/>
              </w:rPr>
            </w:pPr>
            <w:r w:rsidRPr="00D44EE6">
              <w:rPr>
                <w:rFonts w:ascii="Arial" w:hAnsi="Arial" w:cs="Arial"/>
                <w:b w:val="0"/>
                <w:bCs w:val="0"/>
                <w:sz w:val="18"/>
                <w:szCs w:val="18"/>
              </w:rPr>
              <w:t>Other costs</w:t>
            </w:r>
          </w:p>
        </w:tc>
        <w:tc>
          <w:tcPr>
            <w:tcW w:w="1371" w:type="dxa"/>
            <w:vAlign w:val="center"/>
          </w:tcPr>
          <w:p w14:paraId="69922F94" w14:textId="77777777" w:rsidR="0056314E" w:rsidRPr="00D44EE6" w:rsidRDefault="0056314E" w:rsidP="00045AC5">
            <w:pPr>
              <w:pStyle w:val="BodyText"/>
              <w:spacing w:after="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44EE6">
              <w:rPr>
                <w:rFonts w:ascii="Arial" w:hAnsi="Arial" w:cs="Arial"/>
                <w:sz w:val="18"/>
                <w:szCs w:val="18"/>
              </w:rPr>
              <w:t>NA</w:t>
            </w:r>
          </w:p>
        </w:tc>
        <w:tc>
          <w:tcPr>
            <w:tcW w:w="1322" w:type="dxa"/>
            <w:vAlign w:val="center"/>
          </w:tcPr>
          <w:p w14:paraId="283831FC" w14:textId="77777777" w:rsidR="0056314E" w:rsidRPr="00D44EE6" w:rsidRDefault="0056314E" w:rsidP="00045AC5">
            <w:pPr>
              <w:pStyle w:val="BodyText"/>
              <w:spacing w:after="0"/>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D44EE6">
              <w:rPr>
                <w:rFonts w:ascii="Arial" w:hAnsi="Arial" w:cs="Arial"/>
                <w:bCs/>
                <w:sz w:val="18"/>
                <w:szCs w:val="18"/>
              </w:rPr>
              <w:t>NA</w:t>
            </w:r>
          </w:p>
        </w:tc>
        <w:tc>
          <w:tcPr>
            <w:tcW w:w="1223" w:type="dxa"/>
            <w:vAlign w:val="center"/>
          </w:tcPr>
          <w:p w14:paraId="0EE255A2" w14:textId="77777777" w:rsidR="0056314E" w:rsidRPr="00D44EE6" w:rsidRDefault="0056314E" w:rsidP="00045AC5">
            <w:pPr>
              <w:pStyle w:val="BodyText"/>
              <w:spacing w:after="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44EE6">
              <w:rPr>
                <w:rFonts w:ascii="Arial" w:hAnsi="Arial" w:cs="Arial"/>
                <w:sz w:val="18"/>
                <w:szCs w:val="18"/>
              </w:rPr>
              <w:t>NA</w:t>
            </w:r>
          </w:p>
        </w:tc>
        <w:tc>
          <w:tcPr>
            <w:tcW w:w="1471" w:type="dxa"/>
            <w:vAlign w:val="center"/>
          </w:tcPr>
          <w:p w14:paraId="1BFBED76" w14:textId="77777777" w:rsidR="0056314E" w:rsidRPr="00D44EE6" w:rsidRDefault="0056314E" w:rsidP="00045AC5">
            <w:pPr>
              <w:pStyle w:val="BodyText"/>
              <w:spacing w:after="0"/>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D44EE6">
              <w:rPr>
                <w:rFonts w:ascii="Arial" w:hAnsi="Arial" w:cs="Arial"/>
                <w:bCs/>
                <w:sz w:val="18"/>
                <w:szCs w:val="18"/>
              </w:rPr>
              <w:t>NA</w:t>
            </w:r>
          </w:p>
        </w:tc>
        <w:tc>
          <w:tcPr>
            <w:tcW w:w="1095" w:type="dxa"/>
            <w:vAlign w:val="center"/>
          </w:tcPr>
          <w:p w14:paraId="2AD197E4" w14:textId="6C6C8188" w:rsidR="0056314E" w:rsidRPr="00D44EE6" w:rsidRDefault="0056314E" w:rsidP="00045AC5">
            <w:pPr>
              <w:pStyle w:val="BodyText"/>
              <w:spacing w:after="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44EE6">
              <w:rPr>
                <w:rFonts w:ascii="Arial" w:hAnsi="Arial" w:cs="Arial"/>
                <w:sz w:val="18"/>
                <w:szCs w:val="18"/>
              </w:rPr>
              <w:t>158</w:t>
            </w:r>
          </w:p>
        </w:tc>
        <w:tc>
          <w:tcPr>
            <w:tcW w:w="1598" w:type="dxa"/>
            <w:vAlign w:val="center"/>
          </w:tcPr>
          <w:p w14:paraId="45BCDF5E" w14:textId="77777777" w:rsidR="0056314E" w:rsidRPr="00D44EE6" w:rsidRDefault="0056314E" w:rsidP="00045AC5">
            <w:pPr>
              <w:pStyle w:val="BodyText"/>
              <w:spacing w:after="0"/>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D44EE6">
              <w:rPr>
                <w:rFonts w:ascii="Arial" w:hAnsi="Arial" w:cs="Arial"/>
                <w:bCs/>
                <w:sz w:val="18"/>
                <w:szCs w:val="18"/>
              </w:rPr>
              <w:t>11</w:t>
            </w:r>
          </w:p>
        </w:tc>
      </w:tr>
      <w:tr w:rsidR="00D44EE6" w:rsidRPr="00D44EE6" w14:paraId="3B66815F" w14:textId="77777777" w:rsidTr="00045AC5">
        <w:trPr>
          <w:trHeight w:val="472"/>
        </w:trPr>
        <w:tc>
          <w:tcPr>
            <w:cnfStyle w:val="001000000000" w:firstRow="0" w:lastRow="0" w:firstColumn="1" w:lastColumn="0" w:oddVBand="0" w:evenVBand="0" w:oddHBand="0" w:evenHBand="0" w:firstRowFirstColumn="0" w:firstRowLastColumn="0" w:lastRowFirstColumn="0" w:lastRowLastColumn="0"/>
            <w:tcW w:w="2127" w:type="dxa"/>
            <w:tcBorders>
              <w:bottom w:val="single" w:sz="4" w:space="0" w:color="auto"/>
            </w:tcBorders>
            <w:vAlign w:val="center"/>
          </w:tcPr>
          <w:p w14:paraId="06BCC194" w14:textId="77777777" w:rsidR="0056314E" w:rsidRPr="00D44EE6" w:rsidRDefault="0056314E" w:rsidP="00045AC5">
            <w:pPr>
              <w:pStyle w:val="BodyText"/>
              <w:spacing w:after="0"/>
              <w:rPr>
                <w:rFonts w:ascii="Arial" w:hAnsi="Arial" w:cs="Arial"/>
                <w:b w:val="0"/>
                <w:bCs w:val="0"/>
                <w:iCs/>
                <w:sz w:val="18"/>
                <w:szCs w:val="18"/>
                <w:lang w:val="en-GB"/>
              </w:rPr>
            </w:pPr>
            <w:r w:rsidRPr="00D44EE6">
              <w:rPr>
                <w:rFonts w:ascii="Arial" w:hAnsi="Arial" w:cs="Arial"/>
                <w:b w:val="0"/>
                <w:bCs w:val="0"/>
                <w:iCs/>
                <w:sz w:val="18"/>
                <w:szCs w:val="18"/>
                <w:lang w:val="en-GB"/>
              </w:rPr>
              <w:t>Total costs for management/follow-up</w:t>
            </w:r>
          </w:p>
        </w:tc>
        <w:tc>
          <w:tcPr>
            <w:tcW w:w="1371" w:type="dxa"/>
            <w:tcBorders>
              <w:bottom w:val="single" w:sz="4" w:space="0" w:color="auto"/>
            </w:tcBorders>
            <w:vAlign w:val="center"/>
          </w:tcPr>
          <w:p w14:paraId="125AF135" w14:textId="77777777" w:rsidR="0056314E" w:rsidRPr="00D44EE6" w:rsidRDefault="0056314E" w:rsidP="00045AC5">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iCs/>
                <w:sz w:val="18"/>
                <w:szCs w:val="18"/>
              </w:rPr>
            </w:pPr>
            <w:r w:rsidRPr="00D44EE6">
              <w:rPr>
                <w:rFonts w:ascii="Arial" w:hAnsi="Arial" w:cs="Arial"/>
                <w:iCs/>
                <w:sz w:val="18"/>
                <w:szCs w:val="18"/>
              </w:rPr>
              <w:t>4903</w:t>
            </w:r>
          </w:p>
        </w:tc>
        <w:tc>
          <w:tcPr>
            <w:tcW w:w="1322" w:type="dxa"/>
            <w:tcBorders>
              <w:bottom w:val="single" w:sz="4" w:space="0" w:color="auto"/>
            </w:tcBorders>
            <w:vAlign w:val="center"/>
          </w:tcPr>
          <w:p w14:paraId="45E438B3" w14:textId="77777777" w:rsidR="0056314E" w:rsidRPr="00D44EE6" w:rsidRDefault="0056314E" w:rsidP="00045AC5">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bCs/>
                <w:iCs/>
                <w:sz w:val="18"/>
                <w:szCs w:val="18"/>
              </w:rPr>
            </w:pPr>
            <w:r w:rsidRPr="00D44EE6">
              <w:rPr>
                <w:rFonts w:ascii="Arial" w:hAnsi="Arial" w:cs="Arial"/>
                <w:bCs/>
                <w:iCs/>
                <w:sz w:val="18"/>
                <w:szCs w:val="18"/>
              </w:rPr>
              <w:t>295</w:t>
            </w:r>
          </w:p>
        </w:tc>
        <w:tc>
          <w:tcPr>
            <w:tcW w:w="1223" w:type="dxa"/>
            <w:tcBorders>
              <w:bottom w:val="single" w:sz="4" w:space="0" w:color="auto"/>
            </w:tcBorders>
            <w:vAlign w:val="center"/>
          </w:tcPr>
          <w:p w14:paraId="5F5FF894" w14:textId="77777777" w:rsidR="0056314E" w:rsidRPr="00D44EE6" w:rsidRDefault="0056314E" w:rsidP="00045AC5">
            <w:pPr>
              <w:pStyle w:val="BodyText"/>
              <w:spacing w:after="0"/>
              <w:ind w:right="-179"/>
              <w:cnfStyle w:val="000000000000" w:firstRow="0" w:lastRow="0" w:firstColumn="0" w:lastColumn="0" w:oddVBand="0" w:evenVBand="0" w:oddHBand="0" w:evenHBand="0" w:firstRowFirstColumn="0" w:firstRowLastColumn="0" w:lastRowFirstColumn="0" w:lastRowLastColumn="0"/>
              <w:rPr>
                <w:rFonts w:ascii="Arial" w:hAnsi="Arial" w:cs="Arial"/>
                <w:iCs/>
                <w:sz w:val="18"/>
                <w:szCs w:val="18"/>
              </w:rPr>
            </w:pPr>
            <w:r w:rsidRPr="00D44EE6">
              <w:rPr>
                <w:rFonts w:ascii="Arial" w:hAnsi="Arial" w:cs="Arial"/>
                <w:iCs/>
                <w:sz w:val="18"/>
                <w:szCs w:val="18"/>
              </w:rPr>
              <w:t>14,279</w:t>
            </w:r>
          </w:p>
        </w:tc>
        <w:tc>
          <w:tcPr>
            <w:tcW w:w="1471" w:type="dxa"/>
            <w:tcBorders>
              <w:bottom w:val="single" w:sz="4" w:space="0" w:color="auto"/>
            </w:tcBorders>
            <w:vAlign w:val="center"/>
          </w:tcPr>
          <w:p w14:paraId="7FD01F87" w14:textId="77777777" w:rsidR="0056314E" w:rsidRPr="00D44EE6" w:rsidRDefault="0056314E" w:rsidP="00045AC5">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bCs/>
                <w:iCs/>
                <w:sz w:val="18"/>
                <w:szCs w:val="18"/>
              </w:rPr>
            </w:pPr>
            <w:r w:rsidRPr="00D44EE6">
              <w:rPr>
                <w:rFonts w:ascii="Arial" w:hAnsi="Arial" w:cs="Arial"/>
                <w:bCs/>
                <w:iCs/>
                <w:sz w:val="18"/>
                <w:szCs w:val="18"/>
              </w:rPr>
              <w:t>209</w:t>
            </w:r>
          </w:p>
        </w:tc>
        <w:tc>
          <w:tcPr>
            <w:tcW w:w="1095" w:type="dxa"/>
            <w:tcBorders>
              <w:bottom w:val="single" w:sz="4" w:space="0" w:color="auto"/>
            </w:tcBorders>
            <w:vAlign w:val="center"/>
          </w:tcPr>
          <w:p w14:paraId="6E566F1B" w14:textId="77777777" w:rsidR="0056314E" w:rsidRPr="00D44EE6" w:rsidRDefault="0056314E" w:rsidP="00045AC5">
            <w:pPr>
              <w:pStyle w:val="BodyText"/>
              <w:spacing w:after="0"/>
              <w:ind w:right="-112"/>
              <w:cnfStyle w:val="000000000000" w:firstRow="0" w:lastRow="0" w:firstColumn="0" w:lastColumn="0" w:oddVBand="0" w:evenVBand="0" w:oddHBand="0" w:evenHBand="0" w:firstRowFirstColumn="0" w:firstRowLastColumn="0" w:lastRowFirstColumn="0" w:lastRowLastColumn="0"/>
              <w:rPr>
                <w:rFonts w:ascii="Arial" w:hAnsi="Arial" w:cs="Arial"/>
                <w:iCs/>
                <w:sz w:val="18"/>
                <w:szCs w:val="18"/>
              </w:rPr>
            </w:pPr>
            <w:r w:rsidRPr="00D44EE6">
              <w:rPr>
                <w:rFonts w:ascii="Arial" w:hAnsi="Arial" w:cs="Arial"/>
                <w:iCs/>
                <w:sz w:val="18"/>
                <w:szCs w:val="18"/>
              </w:rPr>
              <w:t>25,292</w:t>
            </w:r>
          </w:p>
        </w:tc>
        <w:tc>
          <w:tcPr>
            <w:tcW w:w="1598" w:type="dxa"/>
            <w:tcBorders>
              <w:bottom w:val="single" w:sz="4" w:space="0" w:color="auto"/>
            </w:tcBorders>
            <w:vAlign w:val="center"/>
          </w:tcPr>
          <w:p w14:paraId="04F162C3" w14:textId="77777777" w:rsidR="0056314E" w:rsidRPr="00D44EE6" w:rsidRDefault="0056314E" w:rsidP="00045AC5">
            <w:pPr>
              <w:pStyle w:val="BodyText"/>
              <w:spacing w:after="0"/>
              <w:cnfStyle w:val="000000000000" w:firstRow="0" w:lastRow="0" w:firstColumn="0" w:lastColumn="0" w:oddVBand="0" w:evenVBand="0" w:oddHBand="0" w:evenHBand="0" w:firstRowFirstColumn="0" w:firstRowLastColumn="0" w:lastRowFirstColumn="0" w:lastRowLastColumn="0"/>
              <w:rPr>
                <w:rFonts w:ascii="Arial" w:hAnsi="Arial" w:cs="Arial"/>
                <w:bCs/>
                <w:iCs/>
                <w:sz w:val="18"/>
                <w:szCs w:val="18"/>
              </w:rPr>
            </w:pPr>
            <w:r w:rsidRPr="00D44EE6">
              <w:rPr>
                <w:rFonts w:ascii="Arial" w:hAnsi="Arial" w:cs="Arial"/>
                <w:bCs/>
                <w:iCs/>
                <w:sz w:val="18"/>
                <w:szCs w:val="18"/>
              </w:rPr>
              <w:t>473</w:t>
            </w:r>
          </w:p>
        </w:tc>
      </w:tr>
    </w:tbl>
    <w:p w14:paraId="10EC5B25" w14:textId="48E2398E" w:rsidR="0056314E" w:rsidRPr="00D44EE6" w:rsidRDefault="0056314E">
      <w:pPr>
        <w:rPr>
          <w:rFonts w:ascii="Arial" w:hAnsi="Arial" w:cs="Arial"/>
          <w:b/>
          <w:iCs/>
          <w:sz w:val="18"/>
          <w:szCs w:val="18"/>
          <w:lang w:val="en-GB"/>
        </w:rPr>
      </w:pPr>
      <w:r w:rsidRPr="00D44EE6">
        <w:rPr>
          <w:rFonts w:ascii="Arial" w:hAnsi="Arial" w:cs="Arial"/>
          <w:b/>
          <w:i/>
          <w:lang w:val="en-GB"/>
        </w:rPr>
        <w:br w:type="page"/>
      </w:r>
    </w:p>
    <w:p w14:paraId="72A12B25" w14:textId="370AB5BA" w:rsidR="00B35094" w:rsidRPr="00D44EE6" w:rsidRDefault="00B35094" w:rsidP="002D13FB">
      <w:pPr>
        <w:pStyle w:val="Caption"/>
        <w:spacing w:after="0" w:line="480" w:lineRule="auto"/>
        <w:rPr>
          <w:rFonts w:ascii="Arial" w:hAnsi="Arial" w:cs="Arial"/>
          <w:b/>
          <w:i w:val="0"/>
          <w:color w:val="auto"/>
          <w:sz w:val="22"/>
          <w:szCs w:val="22"/>
          <w:lang w:val="en-GB"/>
        </w:rPr>
      </w:pPr>
      <w:r w:rsidRPr="00D44EE6">
        <w:rPr>
          <w:rFonts w:ascii="Arial" w:hAnsi="Arial" w:cs="Arial"/>
          <w:b/>
          <w:i w:val="0"/>
          <w:color w:val="auto"/>
          <w:sz w:val="22"/>
          <w:szCs w:val="22"/>
          <w:lang w:val="en-GB"/>
        </w:rPr>
        <w:t xml:space="preserve">Table </w:t>
      </w:r>
      <w:r w:rsidR="00E367F5" w:rsidRPr="00D44EE6">
        <w:rPr>
          <w:rFonts w:ascii="Arial" w:hAnsi="Arial" w:cs="Arial"/>
          <w:b/>
          <w:i w:val="0"/>
          <w:color w:val="auto"/>
          <w:sz w:val="22"/>
          <w:szCs w:val="22"/>
          <w:lang w:val="en-GB"/>
        </w:rPr>
        <w:t>7</w:t>
      </w:r>
      <w:r w:rsidRPr="00D44EE6">
        <w:rPr>
          <w:rFonts w:ascii="Arial" w:hAnsi="Arial" w:cs="Arial"/>
          <w:bCs/>
          <w:i w:val="0"/>
          <w:color w:val="auto"/>
          <w:sz w:val="22"/>
          <w:szCs w:val="22"/>
          <w:lang w:val="en-GB"/>
        </w:rPr>
        <w:t xml:space="preserve"> Relative efficacy results (network meta-analysis or correlation equation) vs observation - overall population</w:t>
      </w:r>
    </w:p>
    <w:tbl>
      <w:tblPr>
        <w:tblStyle w:val="PlainTable2"/>
        <w:tblW w:w="9629" w:type="dxa"/>
        <w:tblBorders>
          <w:top w:val="none" w:sz="0" w:space="0" w:color="auto"/>
          <w:bottom w:val="none" w:sz="0" w:space="0" w:color="auto"/>
        </w:tblBorders>
        <w:tblLook w:val="0420" w:firstRow="1" w:lastRow="0" w:firstColumn="0" w:lastColumn="0" w:noHBand="0" w:noVBand="1"/>
      </w:tblPr>
      <w:tblGrid>
        <w:gridCol w:w="2542"/>
        <w:gridCol w:w="1984"/>
        <w:gridCol w:w="2552"/>
        <w:gridCol w:w="2551"/>
      </w:tblGrid>
      <w:tr w:rsidR="00D44EE6" w:rsidRPr="00D44EE6" w14:paraId="1A9B23F2" w14:textId="77777777" w:rsidTr="0038388F">
        <w:trPr>
          <w:cnfStyle w:val="100000000000" w:firstRow="1" w:lastRow="0" w:firstColumn="0" w:lastColumn="0" w:oddVBand="0" w:evenVBand="0" w:oddHBand="0" w:evenHBand="0" w:firstRowFirstColumn="0" w:firstRowLastColumn="0" w:lastRowFirstColumn="0" w:lastRowLastColumn="0"/>
          <w:trHeight w:val="434"/>
        </w:trPr>
        <w:tc>
          <w:tcPr>
            <w:tcW w:w="2542" w:type="dxa"/>
            <w:tcBorders>
              <w:top w:val="single" w:sz="4" w:space="0" w:color="auto"/>
              <w:bottom w:val="single" w:sz="4" w:space="0" w:color="auto"/>
            </w:tcBorders>
            <w:vAlign w:val="center"/>
            <w:hideMark/>
          </w:tcPr>
          <w:p w14:paraId="2C012A7F" w14:textId="77777777" w:rsidR="00B35094" w:rsidRPr="00D44EE6" w:rsidRDefault="00B35094" w:rsidP="00045AC5">
            <w:pPr>
              <w:rPr>
                <w:rFonts w:ascii="Arial" w:eastAsia="Times New Roman" w:hAnsi="Arial" w:cs="Arial"/>
                <w:sz w:val="18"/>
                <w:szCs w:val="36"/>
                <w:lang w:eastAsia="fr-FR"/>
              </w:rPr>
            </w:pPr>
            <w:r w:rsidRPr="00D44EE6">
              <w:rPr>
                <w:rFonts w:ascii="Arial" w:eastAsia="Times New Roman" w:hAnsi="Arial" w:cs="Arial"/>
                <w:kern w:val="24"/>
                <w:sz w:val="18"/>
                <w:szCs w:val="32"/>
                <w:lang w:eastAsia="fr-FR"/>
              </w:rPr>
              <w:t>RFS</w:t>
            </w:r>
          </w:p>
        </w:tc>
        <w:tc>
          <w:tcPr>
            <w:tcW w:w="1984" w:type="dxa"/>
            <w:tcBorders>
              <w:top w:val="single" w:sz="4" w:space="0" w:color="auto"/>
              <w:bottom w:val="single" w:sz="4" w:space="0" w:color="auto"/>
            </w:tcBorders>
            <w:vAlign w:val="center"/>
            <w:hideMark/>
          </w:tcPr>
          <w:p w14:paraId="43C80DF2" w14:textId="77777777" w:rsidR="00B35094" w:rsidRPr="00D44EE6" w:rsidRDefault="00B35094" w:rsidP="00045AC5">
            <w:pPr>
              <w:rPr>
                <w:rFonts w:ascii="Arial" w:eastAsia="Times New Roman" w:hAnsi="Arial" w:cs="Arial"/>
                <w:sz w:val="18"/>
                <w:szCs w:val="36"/>
                <w:lang w:eastAsia="fr-FR"/>
              </w:rPr>
            </w:pPr>
            <w:r w:rsidRPr="00D44EE6">
              <w:rPr>
                <w:rFonts w:ascii="Arial" w:eastAsia="Times New Roman" w:hAnsi="Arial" w:cs="Arial"/>
                <w:kern w:val="24"/>
                <w:sz w:val="18"/>
                <w:szCs w:val="32"/>
                <w:lang w:val="en-GB" w:eastAsia="fr-FR"/>
              </w:rPr>
              <w:t>Nivolumab</w:t>
            </w:r>
          </w:p>
        </w:tc>
        <w:tc>
          <w:tcPr>
            <w:tcW w:w="2552" w:type="dxa"/>
            <w:tcBorders>
              <w:top w:val="single" w:sz="4" w:space="0" w:color="auto"/>
              <w:bottom w:val="single" w:sz="4" w:space="0" w:color="auto"/>
            </w:tcBorders>
            <w:vAlign w:val="center"/>
            <w:hideMark/>
          </w:tcPr>
          <w:p w14:paraId="6CCBE583" w14:textId="2E4D330A" w:rsidR="00B35094" w:rsidRPr="00D44EE6" w:rsidRDefault="00045AC5" w:rsidP="00045AC5">
            <w:pPr>
              <w:rPr>
                <w:rFonts w:ascii="Arial" w:eastAsia="Times New Roman" w:hAnsi="Arial" w:cs="Arial"/>
                <w:sz w:val="18"/>
                <w:szCs w:val="36"/>
                <w:lang w:eastAsia="fr-FR"/>
              </w:rPr>
            </w:pPr>
            <w:r w:rsidRPr="00D44EE6">
              <w:rPr>
                <w:rFonts w:ascii="Arial" w:hAnsi="Arial" w:cs="Arial"/>
                <w:sz w:val="18"/>
                <w:szCs w:val="18"/>
                <w:lang w:val="en-GB"/>
              </w:rPr>
              <w:t>Low-dose interferon</w:t>
            </w:r>
          </w:p>
        </w:tc>
        <w:tc>
          <w:tcPr>
            <w:tcW w:w="2551" w:type="dxa"/>
            <w:tcBorders>
              <w:top w:val="single" w:sz="4" w:space="0" w:color="auto"/>
              <w:bottom w:val="single" w:sz="4" w:space="0" w:color="auto"/>
            </w:tcBorders>
            <w:vAlign w:val="center"/>
            <w:hideMark/>
          </w:tcPr>
          <w:p w14:paraId="6530C24E" w14:textId="77777777" w:rsidR="00B35094" w:rsidRPr="00D44EE6" w:rsidRDefault="00B35094" w:rsidP="00045AC5">
            <w:pPr>
              <w:rPr>
                <w:rFonts w:ascii="Arial" w:eastAsia="Times New Roman" w:hAnsi="Arial" w:cs="Arial"/>
                <w:sz w:val="18"/>
                <w:szCs w:val="36"/>
                <w:lang w:eastAsia="fr-FR"/>
              </w:rPr>
            </w:pPr>
            <w:r w:rsidRPr="00D44EE6">
              <w:rPr>
                <w:rFonts w:ascii="Arial" w:eastAsia="Times New Roman" w:hAnsi="Arial" w:cs="Arial"/>
                <w:kern w:val="24"/>
                <w:sz w:val="18"/>
                <w:szCs w:val="32"/>
                <w:lang w:val="en-GB" w:eastAsia="fr-FR"/>
              </w:rPr>
              <w:t>Pembrolizumab</w:t>
            </w:r>
          </w:p>
        </w:tc>
      </w:tr>
      <w:tr w:rsidR="00D44EE6" w:rsidRPr="00D44EE6" w14:paraId="79170FE3" w14:textId="77777777" w:rsidTr="0038388F">
        <w:trPr>
          <w:cnfStyle w:val="000000100000" w:firstRow="0" w:lastRow="0" w:firstColumn="0" w:lastColumn="0" w:oddVBand="0" w:evenVBand="0" w:oddHBand="1" w:evenHBand="0" w:firstRowFirstColumn="0" w:firstRowLastColumn="0" w:lastRowFirstColumn="0" w:lastRowLastColumn="0"/>
          <w:trHeight w:val="434"/>
        </w:trPr>
        <w:tc>
          <w:tcPr>
            <w:tcW w:w="2542" w:type="dxa"/>
            <w:tcBorders>
              <w:top w:val="single" w:sz="4" w:space="0" w:color="auto"/>
            </w:tcBorders>
            <w:hideMark/>
          </w:tcPr>
          <w:p w14:paraId="4CBECD2F" w14:textId="3308C1FF" w:rsidR="00B35094" w:rsidRPr="00D44EE6" w:rsidRDefault="00B35094" w:rsidP="00045AC5">
            <w:pPr>
              <w:textAlignment w:val="bottom"/>
              <w:rPr>
                <w:rFonts w:ascii="Arial" w:eastAsiaTheme="minorEastAsia" w:hAnsi="Arial" w:cs="Arial"/>
                <w:kern w:val="24"/>
                <w:sz w:val="18"/>
                <w:szCs w:val="32"/>
                <w:lang w:val="fr-FR" w:eastAsia="fr-FR"/>
              </w:rPr>
            </w:pPr>
            <w:r w:rsidRPr="00D44EE6">
              <w:rPr>
                <w:rFonts w:ascii="Arial" w:eastAsiaTheme="minorEastAsia" w:hAnsi="Arial" w:cs="Arial"/>
                <w:kern w:val="24"/>
                <w:sz w:val="18"/>
                <w:szCs w:val="32"/>
                <w:lang w:val="fr-FR" w:eastAsia="fr-FR"/>
              </w:rPr>
              <w:t>H</w:t>
            </w:r>
            <w:r w:rsidR="001B6F27" w:rsidRPr="00D44EE6">
              <w:rPr>
                <w:rFonts w:ascii="Arial" w:eastAsiaTheme="minorEastAsia" w:hAnsi="Arial" w:cs="Arial"/>
                <w:kern w:val="24"/>
                <w:sz w:val="18"/>
                <w:szCs w:val="32"/>
                <w:lang w:val="fr-FR" w:eastAsia="fr-FR"/>
              </w:rPr>
              <w:t>R</w:t>
            </w:r>
            <w:r w:rsidRPr="00D44EE6">
              <w:rPr>
                <w:rFonts w:ascii="Arial" w:eastAsiaTheme="minorEastAsia" w:hAnsi="Arial" w:cs="Arial"/>
                <w:kern w:val="24"/>
                <w:sz w:val="18"/>
                <w:szCs w:val="32"/>
                <w:lang w:val="fr-FR" w:eastAsia="fr-FR"/>
              </w:rPr>
              <w:t xml:space="preserve"> vs observation</w:t>
            </w:r>
          </w:p>
          <w:p w14:paraId="4ED26ED9" w14:textId="77777777" w:rsidR="00B35094" w:rsidRPr="00D44EE6" w:rsidRDefault="00B35094" w:rsidP="00045AC5">
            <w:pPr>
              <w:textAlignment w:val="bottom"/>
              <w:rPr>
                <w:rFonts w:ascii="Arial" w:eastAsia="Times New Roman" w:hAnsi="Arial" w:cs="Arial"/>
                <w:sz w:val="18"/>
                <w:szCs w:val="36"/>
                <w:lang w:val="fr-FR" w:eastAsia="fr-FR"/>
              </w:rPr>
            </w:pPr>
            <w:r w:rsidRPr="00D44EE6">
              <w:rPr>
                <w:rFonts w:ascii="Arial" w:eastAsiaTheme="minorEastAsia" w:hAnsi="Arial" w:cs="Arial"/>
                <w:kern w:val="24"/>
                <w:sz w:val="18"/>
                <w:szCs w:val="32"/>
                <w:lang w:val="fr-FR" w:eastAsia="fr-FR"/>
              </w:rPr>
              <w:t>[95% CI]</w:t>
            </w:r>
          </w:p>
        </w:tc>
        <w:tc>
          <w:tcPr>
            <w:tcW w:w="1984" w:type="dxa"/>
            <w:tcBorders>
              <w:top w:val="single" w:sz="4" w:space="0" w:color="auto"/>
            </w:tcBorders>
            <w:hideMark/>
          </w:tcPr>
          <w:p w14:paraId="79F34E73" w14:textId="77777777" w:rsidR="00B35094" w:rsidRPr="00D44EE6" w:rsidRDefault="00B35094" w:rsidP="00045AC5">
            <w:pPr>
              <w:textAlignment w:val="bottom"/>
              <w:rPr>
                <w:rFonts w:ascii="Arial" w:eastAsiaTheme="minorEastAsia" w:hAnsi="Arial" w:cs="Arial"/>
                <w:kern w:val="24"/>
                <w:sz w:val="18"/>
                <w:szCs w:val="32"/>
                <w:lang w:val="en-GB" w:eastAsia="fr-FR"/>
              </w:rPr>
            </w:pPr>
            <w:r w:rsidRPr="00D44EE6">
              <w:rPr>
                <w:rFonts w:ascii="Arial" w:eastAsiaTheme="minorEastAsia" w:hAnsi="Arial" w:cs="Arial"/>
                <w:kern w:val="24"/>
                <w:sz w:val="18"/>
                <w:szCs w:val="32"/>
                <w:lang w:val="en-GB" w:eastAsia="fr-FR"/>
              </w:rPr>
              <w:t>0.52</w:t>
            </w:r>
          </w:p>
          <w:p w14:paraId="061586E5" w14:textId="77777777" w:rsidR="00B35094" w:rsidRPr="00D44EE6" w:rsidRDefault="00B35094" w:rsidP="00045AC5">
            <w:pPr>
              <w:textAlignment w:val="bottom"/>
              <w:rPr>
                <w:rFonts w:ascii="Arial" w:eastAsia="Times New Roman" w:hAnsi="Arial" w:cs="Arial"/>
                <w:sz w:val="18"/>
                <w:szCs w:val="36"/>
                <w:lang w:eastAsia="fr-FR"/>
              </w:rPr>
            </w:pPr>
            <w:r w:rsidRPr="00D44EE6">
              <w:rPr>
                <w:rFonts w:ascii="Arial" w:eastAsiaTheme="minorEastAsia" w:hAnsi="Arial" w:cs="Arial"/>
                <w:kern w:val="24"/>
                <w:sz w:val="18"/>
                <w:szCs w:val="32"/>
                <w:lang w:val="en-GB" w:eastAsia="fr-FR"/>
              </w:rPr>
              <w:t>[0.40–0.67]</w:t>
            </w:r>
          </w:p>
        </w:tc>
        <w:tc>
          <w:tcPr>
            <w:tcW w:w="2552" w:type="dxa"/>
            <w:tcBorders>
              <w:top w:val="single" w:sz="4" w:space="0" w:color="auto"/>
            </w:tcBorders>
            <w:hideMark/>
          </w:tcPr>
          <w:p w14:paraId="02E4AF13" w14:textId="77777777" w:rsidR="00B35094" w:rsidRPr="00D44EE6" w:rsidRDefault="00B35094" w:rsidP="00045AC5">
            <w:pPr>
              <w:textAlignment w:val="bottom"/>
              <w:rPr>
                <w:rFonts w:ascii="Arial" w:eastAsiaTheme="minorEastAsia" w:hAnsi="Arial" w:cs="Arial"/>
                <w:kern w:val="24"/>
                <w:sz w:val="18"/>
                <w:szCs w:val="32"/>
                <w:lang w:val="en-GB" w:eastAsia="fr-FR"/>
              </w:rPr>
            </w:pPr>
            <w:r w:rsidRPr="00D44EE6">
              <w:rPr>
                <w:rFonts w:ascii="Arial" w:eastAsiaTheme="minorEastAsia" w:hAnsi="Arial" w:cs="Arial"/>
                <w:kern w:val="24"/>
                <w:sz w:val="18"/>
                <w:szCs w:val="32"/>
                <w:lang w:val="en-GB" w:eastAsia="fr-FR"/>
              </w:rPr>
              <w:t>0.88</w:t>
            </w:r>
          </w:p>
          <w:p w14:paraId="1A1D2201" w14:textId="77777777" w:rsidR="00B35094" w:rsidRPr="00D44EE6" w:rsidRDefault="00B35094" w:rsidP="00045AC5">
            <w:pPr>
              <w:textAlignment w:val="bottom"/>
              <w:rPr>
                <w:rFonts w:ascii="Arial" w:eastAsia="Times New Roman" w:hAnsi="Arial" w:cs="Arial"/>
                <w:sz w:val="18"/>
                <w:szCs w:val="36"/>
                <w:lang w:eastAsia="fr-FR"/>
              </w:rPr>
            </w:pPr>
            <w:r w:rsidRPr="00D44EE6">
              <w:rPr>
                <w:rFonts w:ascii="Arial" w:eastAsiaTheme="minorEastAsia" w:hAnsi="Arial" w:cs="Arial"/>
                <w:kern w:val="24"/>
                <w:sz w:val="18"/>
                <w:szCs w:val="32"/>
                <w:lang w:val="en-GB" w:eastAsia="fr-FR"/>
              </w:rPr>
              <w:t>[0.83–0.94]</w:t>
            </w:r>
          </w:p>
        </w:tc>
        <w:tc>
          <w:tcPr>
            <w:tcW w:w="2551" w:type="dxa"/>
            <w:tcBorders>
              <w:top w:val="single" w:sz="4" w:space="0" w:color="auto"/>
            </w:tcBorders>
            <w:hideMark/>
          </w:tcPr>
          <w:p w14:paraId="6AAE3962" w14:textId="77777777" w:rsidR="00B35094" w:rsidRPr="00D44EE6" w:rsidRDefault="00B35094" w:rsidP="00045AC5">
            <w:pPr>
              <w:textAlignment w:val="bottom"/>
              <w:rPr>
                <w:rFonts w:ascii="Arial" w:eastAsiaTheme="minorEastAsia" w:hAnsi="Arial" w:cs="Arial"/>
                <w:kern w:val="24"/>
                <w:sz w:val="18"/>
                <w:szCs w:val="32"/>
                <w:lang w:val="en-GB" w:eastAsia="fr-FR"/>
              </w:rPr>
            </w:pPr>
            <w:r w:rsidRPr="00D44EE6">
              <w:rPr>
                <w:rFonts w:ascii="Arial" w:eastAsiaTheme="minorEastAsia" w:hAnsi="Arial" w:cs="Arial"/>
                <w:kern w:val="24"/>
                <w:sz w:val="18"/>
                <w:szCs w:val="32"/>
                <w:lang w:val="en-GB" w:eastAsia="fr-FR"/>
              </w:rPr>
              <w:t>0.56</w:t>
            </w:r>
          </w:p>
          <w:p w14:paraId="38DC5E36" w14:textId="77777777" w:rsidR="00B35094" w:rsidRPr="00D44EE6" w:rsidRDefault="00B35094" w:rsidP="00045AC5">
            <w:pPr>
              <w:textAlignment w:val="bottom"/>
              <w:rPr>
                <w:rFonts w:ascii="Arial" w:eastAsia="Times New Roman" w:hAnsi="Arial" w:cs="Arial"/>
                <w:sz w:val="18"/>
                <w:szCs w:val="36"/>
                <w:lang w:eastAsia="fr-FR"/>
              </w:rPr>
            </w:pPr>
            <w:r w:rsidRPr="00D44EE6">
              <w:rPr>
                <w:rFonts w:ascii="Arial" w:eastAsiaTheme="minorEastAsia" w:hAnsi="Arial" w:cs="Arial"/>
                <w:kern w:val="24"/>
                <w:sz w:val="18"/>
                <w:szCs w:val="32"/>
                <w:lang w:val="en-GB" w:eastAsia="fr-FR"/>
              </w:rPr>
              <w:t>[0.45–0.69]</w:t>
            </w:r>
          </w:p>
        </w:tc>
      </w:tr>
      <w:tr w:rsidR="00D44EE6" w:rsidRPr="00D44EE6" w14:paraId="255D6A71" w14:textId="77777777" w:rsidTr="0038388F">
        <w:trPr>
          <w:trHeight w:val="434"/>
        </w:trPr>
        <w:tc>
          <w:tcPr>
            <w:tcW w:w="2542" w:type="dxa"/>
            <w:vAlign w:val="center"/>
            <w:hideMark/>
          </w:tcPr>
          <w:p w14:paraId="04C9623E" w14:textId="77777777" w:rsidR="00B35094" w:rsidRPr="00D44EE6" w:rsidRDefault="00B35094" w:rsidP="00045AC5">
            <w:pPr>
              <w:textAlignment w:val="bottom"/>
              <w:rPr>
                <w:rFonts w:ascii="Arial" w:eastAsia="Times New Roman" w:hAnsi="Arial" w:cs="Arial"/>
                <w:sz w:val="18"/>
                <w:szCs w:val="36"/>
                <w:lang w:eastAsia="fr-FR"/>
              </w:rPr>
            </w:pPr>
            <w:r w:rsidRPr="00D44EE6">
              <w:rPr>
                <w:rFonts w:ascii="Arial" w:eastAsia="Times New Roman" w:hAnsi="Arial" w:cs="Arial"/>
                <w:sz w:val="18"/>
                <w:szCs w:val="36"/>
                <w:lang w:eastAsia="fr-FR"/>
              </w:rPr>
              <w:t>OS</w:t>
            </w:r>
          </w:p>
        </w:tc>
        <w:tc>
          <w:tcPr>
            <w:tcW w:w="1984" w:type="dxa"/>
            <w:vAlign w:val="center"/>
          </w:tcPr>
          <w:p w14:paraId="3CCA91DB" w14:textId="77777777" w:rsidR="00B35094" w:rsidRPr="00D44EE6" w:rsidRDefault="00B35094" w:rsidP="00045AC5">
            <w:pPr>
              <w:rPr>
                <w:rFonts w:ascii="Arial" w:eastAsia="Times New Roman" w:hAnsi="Arial" w:cs="Arial"/>
                <w:sz w:val="18"/>
                <w:szCs w:val="36"/>
                <w:lang w:eastAsia="fr-FR"/>
              </w:rPr>
            </w:pPr>
            <w:r w:rsidRPr="00D44EE6">
              <w:rPr>
                <w:rFonts w:ascii="Arial" w:eastAsia="Times New Roman" w:hAnsi="Arial" w:cs="Arial"/>
                <w:kern w:val="24"/>
                <w:sz w:val="18"/>
                <w:szCs w:val="32"/>
                <w:lang w:val="en-GB" w:eastAsia="fr-FR"/>
              </w:rPr>
              <w:t>Nivolumab (correlation equation)</w:t>
            </w:r>
          </w:p>
        </w:tc>
        <w:tc>
          <w:tcPr>
            <w:tcW w:w="2552" w:type="dxa"/>
            <w:vAlign w:val="center"/>
          </w:tcPr>
          <w:p w14:paraId="424A5447" w14:textId="44871692" w:rsidR="00B35094" w:rsidRPr="00D44EE6" w:rsidRDefault="00045AC5" w:rsidP="00045AC5">
            <w:pPr>
              <w:rPr>
                <w:rFonts w:ascii="Arial" w:eastAsia="Times New Roman" w:hAnsi="Arial" w:cs="Arial"/>
                <w:sz w:val="18"/>
                <w:szCs w:val="36"/>
                <w:lang w:eastAsia="fr-FR"/>
              </w:rPr>
            </w:pPr>
            <w:r w:rsidRPr="00D44EE6">
              <w:rPr>
                <w:rFonts w:ascii="Arial" w:hAnsi="Arial" w:cs="Arial"/>
                <w:sz w:val="18"/>
                <w:szCs w:val="18"/>
                <w:lang w:val="en-GB"/>
              </w:rPr>
              <w:t>Low-dose interferon</w:t>
            </w:r>
          </w:p>
        </w:tc>
        <w:tc>
          <w:tcPr>
            <w:tcW w:w="2551" w:type="dxa"/>
            <w:vAlign w:val="center"/>
          </w:tcPr>
          <w:p w14:paraId="388FF9D7" w14:textId="1523C868" w:rsidR="00B35094" w:rsidRPr="00D44EE6" w:rsidRDefault="00B35094" w:rsidP="00045AC5">
            <w:pPr>
              <w:rPr>
                <w:rFonts w:ascii="Arial" w:eastAsia="Times New Roman" w:hAnsi="Arial" w:cs="Arial"/>
                <w:kern w:val="24"/>
                <w:sz w:val="18"/>
                <w:szCs w:val="32"/>
                <w:lang w:val="en-GB" w:eastAsia="fr-FR"/>
              </w:rPr>
            </w:pPr>
            <w:r w:rsidRPr="00D44EE6">
              <w:rPr>
                <w:rFonts w:ascii="Arial" w:eastAsia="Times New Roman" w:hAnsi="Arial" w:cs="Arial"/>
                <w:kern w:val="24"/>
                <w:sz w:val="18"/>
                <w:szCs w:val="32"/>
                <w:lang w:val="en-GB" w:eastAsia="fr-FR"/>
              </w:rPr>
              <w:t>Pembrolizumab</w:t>
            </w:r>
          </w:p>
          <w:p w14:paraId="067082FA" w14:textId="77777777" w:rsidR="00B35094" w:rsidRPr="00D44EE6" w:rsidRDefault="00B35094" w:rsidP="00045AC5">
            <w:pPr>
              <w:rPr>
                <w:rFonts w:ascii="Arial" w:eastAsia="Times New Roman" w:hAnsi="Arial" w:cs="Arial"/>
                <w:sz w:val="18"/>
                <w:szCs w:val="36"/>
                <w:lang w:eastAsia="fr-FR"/>
              </w:rPr>
            </w:pPr>
            <w:r w:rsidRPr="00D44EE6">
              <w:rPr>
                <w:rFonts w:ascii="Arial" w:eastAsia="Times New Roman" w:hAnsi="Arial" w:cs="Arial"/>
                <w:kern w:val="24"/>
                <w:sz w:val="18"/>
                <w:szCs w:val="32"/>
                <w:lang w:val="en-GB" w:eastAsia="fr-FR"/>
              </w:rPr>
              <w:t>(correlation equation)</w:t>
            </w:r>
          </w:p>
        </w:tc>
      </w:tr>
      <w:tr w:rsidR="00D44EE6" w:rsidRPr="00D44EE6" w14:paraId="50F0ECC5" w14:textId="77777777" w:rsidTr="0038388F">
        <w:trPr>
          <w:cnfStyle w:val="000000100000" w:firstRow="0" w:lastRow="0" w:firstColumn="0" w:lastColumn="0" w:oddVBand="0" w:evenVBand="0" w:oddHBand="1" w:evenHBand="0" w:firstRowFirstColumn="0" w:firstRowLastColumn="0" w:lastRowFirstColumn="0" w:lastRowLastColumn="0"/>
          <w:trHeight w:val="434"/>
        </w:trPr>
        <w:tc>
          <w:tcPr>
            <w:tcW w:w="2542" w:type="dxa"/>
            <w:tcBorders>
              <w:bottom w:val="single" w:sz="4" w:space="0" w:color="auto"/>
            </w:tcBorders>
            <w:hideMark/>
          </w:tcPr>
          <w:p w14:paraId="0BC93EAE" w14:textId="79497E35" w:rsidR="00B35094" w:rsidRPr="00D44EE6" w:rsidRDefault="00B35094" w:rsidP="00045AC5">
            <w:pPr>
              <w:textAlignment w:val="bottom"/>
              <w:rPr>
                <w:rFonts w:ascii="Arial" w:eastAsiaTheme="minorEastAsia" w:hAnsi="Arial" w:cs="Arial"/>
                <w:kern w:val="24"/>
                <w:sz w:val="18"/>
                <w:szCs w:val="32"/>
                <w:lang w:val="fr-FR" w:eastAsia="fr-FR"/>
              </w:rPr>
            </w:pPr>
            <w:r w:rsidRPr="00D44EE6">
              <w:rPr>
                <w:rFonts w:ascii="Arial" w:eastAsiaTheme="minorEastAsia" w:hAnsi="Arial" w:cs="Arial"/>
                <w:kern w:val="24"/>
                <w:sz w:val="18"/>
                <w:szCs w:val="32"/>
                <w:lang w:val="fr-FR" w:eastAsia="fr-FR"/>
              </w:rPr>
              <w:t>H</w:t>
            </w:r>
            <w:r w:rsidR="001B6F27" w:rsidRPr="00D44EE6">
              <w:rPr>
                <w:rFonts w:ascii="Arial" w:eastAsiaTheme="minorEastAsia" w:hAnsi="Arial" w:cs="Arial"/>
                <w:kern w:val="24"/>
                <w:sz w:val="18"/>
                <w:szCs w:val="32"/>
                <w:lang w:val="fr-FR" w:eastAsia="fr-FR"/>
              </w:rPr>
              <w:t>R</w:t>
            </w:r>
            <w:r w:rsidRPr="00D44EE6">
              <w:rPr>
                <w:rFonts w:ascii="Arial" w:eastAsiaTheme="minorEastAsia" w:hAnsi="Arial" w:cs="Arial"/>
                <w:kern w:val="24"/>
                <w:sz w:val="18"/>
                <w:szCs w:val="32"/>
                <w:lang w:val="fr-FR" w:eastAsia="fr-FR"/>
              </w:rPr>
              <w:t xml:space="preserve"> vs observation</w:t>
            </w:r>
          </w:p>
          <w:p w14:paraId="42765395" w14:textId="77777777" w:rsidR="00B35094" w:rsidRPr="00D44EE6" w:rsidRDefault="00B35094" w:rsidP="00045AC5">
            <w:pPr>
              <w:textAlignment w:val="bottom"/>
              <w:rPr>
                <w:rFonts w:ascii="Arial" w:eastAsia="Times New Roman" w:hAnsi="Arial" w:cs="Arial"/>
                <w:sz w:val="18"/>
                <w:szCs w:val="36"/>
                <w:lang w:val="fr-FR" w:eastAsia="fr-FR"/>
              </w:rPr>
            </w:pPr>
            <w:r w:rsidRPr="00D44EE6">
              <w:rPr>
                <w:rFonts w:ascii="Arial" w:eastAsiaTheme="minorEastAsia" w:hAnsi="Arial" w:cs="Arial"/>
                <w:kern w:val="24"/>
                <w:sz w:val="18"/>
                <w:szCs w:val="32"/>
                <w:lang w:val="fr-FR" w:eastAsia="fr-FR"/>
              </w:rPr>
              <w:t>[95% CI]</w:t>
            </w:r>
          </w:p>
        </w:tc>
        <w:tc>
          <w:tcPr>
            <w:tcW w:w="1984" w:type="dxa"/>
            <w:tcBorders>
              <w:bottom w:val="single" w:sz="4" w:space="0" w:color="auto"/>
            </w:tcBorders>
          </w:tcPr>
          <w:p w14:paraId="507141B6" w14:textId="77777777" w:rsidR="00B35094" w:rsidRPr="00D44EE6" w:rsidRDefault="00B35094" w:rsidP="00045AC5">
            <w:pPr>
              <w:textAlignment w:val="bottom"/>
              <w:rPr>
                <w:rFonts w:ascii="Arial" w:eastAsia="Times New Roman" w:hAnsi="Arial" w:cs="Arial"/>
                <w:sz w:val="18"/>
                <w:szCs w:val="36"/>
                <w:lang w:eastAsia="fr-FR"/>
              </w:rPr>
            </w:pPr>
            <w:r w:rsidRPr="00D44EE6">
              <w:rPr>
                <w:rFonts w:ascii="Arial" w:eastAsia="Times New Roman" w:hAnsi="Arial" w:cs="Arial"/>
                <w:sz w:val="18"/>
                <w:szCs w:val="36"/>
                <w:lang w:eastAsia="fr-FR"/>
              </w:rPr>
              <w:t>0.59</w:t>
            </w:r>
          </w:p>
          <w:p w14:paraId="23F2C101" w14:textId="77777777" w:rsidR="00B35094" w:rsidRPr="00D44EE6" w:rsidRDefault="00B35094" w:rsidP="00045AC5">
            <w:pPr>
              <w:textAlignment w:val="bottom"/>
              <w:rPr>
                <w:rFonts w:ascii="Arial" w:eastAsia="Times New Roman" w:hAnsi="Arial" w:cs="Arial"/>
                <w:sz w:val="18"/>
                <w:szCs w:val="36"/>
                <w:lang w:eastAsia="fr-FR"/>
              </w:rPr>
            </w:pPr>
            <w:r w:rsidRPr="00D44EE6">
              <w:rPr>
                <w:rFonts w:ascii="Arial" w:eastAsia="Times New Roman" w:hAnsi="Arial" w:cs="Arial"/>
                <w:sz w:val="18"/>
                <w:szCs w:val="36"/>
                <w:lang w:eastAsia="fr-FR"/>
              </w:rPr>
              <w:t>[0.48–0.72]</w:t>
            </w:r>
          </w:p>
        </w:tc>
        <w:tc>
          <w:tcPr>
            <w:tcW w:w="2552" w:type="dxa"/>
            <w:tcBorders>
              <w:bottom w:val="single" w:sz="4" w:space="0" w:color="auto"/>
            </w:tcBorders>
          </w:tcPr>
          <w:p w14:paraId="32E30DB1" w14:textId="77777777" w:rsidR="00B35094" w:rsidRPr="00D44EE6" w:rsidRDefault="00B35094" w:rsidP="00045AC5">
            <w:pPr>
              <w:textAlignment w:val="bottom"/>
              <w:rPr>
                <w:rFonts w:ascii="Arial" w:eastAsia="Times New Roman" w:hAnsi="Arial" w:cs="Arial"/>
                <w:sz w:val="18"/>
                <w:szCs w:val="36"/>
                <w:lang w:eastAsia="fr-FR"/>
              </w:rPr>
            </w:pPr>
            <w:r w:rsidRPr="00D44EE6">
              <w:rPr>
                <w:rFonts w:ascii="Arial" w:eastAsia="Times New Roman" w:hAnsi="Arial" w:cs="Arial"/>
                <w:sz w:val="18"/>
                <w:szCs w:val="36"/>
                <w:lang w:eastAsia="fr-FR"/>
              </w:rPr>
              <w:t>0.92</w:t>
            </w:r>
          </w:p>
          <w:p w14:paraId="4B912055" w14:textId="77777777" w:rsidR="00B35094" w:rsidRPr="00D44EE6" w:rsidRDefault="00B35094" w:rsidP="00045AC5">
            <w:pPr>
              <w:textAlignment w:val="bottom"/>
              <w:rPr>
                <w:rFonts w:ascii="Arial" w:eastAsia="Times New Roman" w:hAnsi="Arial" w:cs="Arial"/>
                <w:sz w:val="18"/>
                <w:szCs w:val="36"/>
                <w:lang w:eastAsia="fr-FR"/>
              </w:rPr>
            </w:pPr>
            <w:r w:rsidRPr="00D44EE6">
              <w:rPr>
                <w:rFonts w:ascii="Arial" w:eastAsia="Times New Roman" w:hAnsi="Arial" w:cs="Arial"/>
                <w:sz w:val="18"/>
                <w:szCs w:val="36"/>
                <w:lang w:eastAsia="fr-FR"/>
              </w:rPr>
              <w:t>[0.86–0.99]</w:t>
            </w:r>
          </w:p>
        </w:tc>
        <w:tc>
          <w:tcPr>
            <w:tcW w:w="2551" w:type="dxa"/>
            <w:tcBorders>
              <w:bottom w:val="single" w:sz="4" w:space="0" w:color="auto"/>
            </w:tcBorders>
          </w:tcPr>
          <w:p w14:paraId="19923F56" w14:textId="77777777" w:rsidR="00B35094" w:rsidRPr="00D44EE6" w:rsidRDefault="00B35094" w:rsidP="00045AC5">
            <w:pPr>
              <w:textAlignment w:val="bottom"/>
              <w:rPr>
                <w:rFonts w:ascii="Arial" w:eastAsia="Times New Roman" w:hAnsi="Arial" w:cs="Arial"/>
                <w:sz w:val="18"/>
                <w:szCs w:val="36"/>
                <w:lang w:eastAsia="fr-FR"/>
              </w:rPr>
            </w:pPr>
            <w:r w:rsidRPr="00D44EE6">
              <w:rPr>
                <w:rFonts w:ascii="Arial" w:eastAsia="Times New Roman" w:hAnsi="Arial" w:cs="Arial"/>
                <w:sz w:val="18"/>
                <w:szCs w:val="36"/>
                <w:lang w:eastAsia="fr-FR"/>
              </w:rPr>
              <w:t>0.63</w:t>
            </w:r>
          </w:p>
          <w:p w14:paraId="1A9493A5" w14:textId="77777777" w:rsidR="00B35094" w:rsidRPr="00D44EE6" w:rsidRDefault="00B35094" w:rsidP="00045AC5">
            <w:pPr>
              <w:textAlignment w:val="bottom"/>
              <w:rPr>
                <w:rFonts w:ascii="Arial" w:eastAsia="Times New Roman" w:hAnsi="Arial" w:cs="Arial"/>
                <w:sz w:val="18"/>
                <w:szCs w:val="36"/>
                <w:lang w:eastAsia="fr-FR"/>
              </w:rPr>
            </w:pPr>
            <w:r w:rsidRPr="00D44EE6">
              <w:rPr>
                <w:rFonts w:ascii="Arial" w:eastAsia="Times New Roman" w:hAnsi="Arial" w:cs="Arial"/>
                <w:sz w:val="18"/>
                <w:szCs w:val="36"/>
                <w:lang w:eastAsia="fr-FR"/>
              </w:rPr>
              <w:t>[0.53–0.74]</w:t>
            </w:r>
          </w:p>
        </w:tc>
      </w:tr>
    </w:tbl>
    <w:p w14:paraId="45B81483" w14:textId="25F08C52" w:rsidR="00B35094" w:rsidRPr="00D44EE6" w:rsidRDefault="00045AC5" w:rsidP="00B35094">
      <w:pPr>
        <w:rPr>
          <w:rFonts w:ascii="Arial" w:hAnsi="Arial" w:cs="Arial"/>
          <w:sz w:val="18"/>
          <w:szCs w:val="18"/>
          <w:lang w:val="en-GB"/>
        </w:rPr>
      </w:pPr>
      <w:r w:rsidRPr="00D44EE6">
        <w:rPr>
          <w:rFonts w:ascii="Arial" w:hAnsi="Arial" w:cs="Arial"/>
          <w:i/>
          <w:iCs/>
          <w:sz w:val="18"/>
          <w:szCs w:val="18"/>
          <w:lang w:val="en-GB"/>
        </w:rPr>
        <w:t>CI</w:t>
      </w:r>
      <w:r w:rsidRPr="00D44EE6">
        <w:rPr>
          <w:rFonts w:ascii="Arial" w:hAnsi="Arial" w:cs="Arial"/>
          <w:sz w:val="18"/>
          <w:szCs w:val="18"/>
          <w:lang w:val="en-GB"/>
        </w:rPr>
        <w:t xml:space="preserve"> confidence interval, </w:t>
      </w:r>
      <w:r w:rsidR="001B6F27" w:rsidRPr="00D44EE6">
        <w:rPr>
          <w:rFonts w:ascii="Arial" w:hAnsi="Arial" w:cs="Arial"/>
          <w:i/>
          <w:iCs/>
          <w:sz w:val="18"/>
          <w:szCs w:val="18"/>
          <w:lang w:val="en-GB"/>
        </w:rPr>
        <w:t xml:space="preserve">HR </w:t>
      </w:r>
      <w:r w:rsidR="001B6F27" w:rsidRPr="00D44EE6">
        <w:rPr>
          <w:rFonts w:ascii="Arial" w:hAnsi="Arial" w:cs="Arial"/>
          <w:sz w:val="18"/>
          <w:szCs w:val="18"/>
          <w:lang w:val="en-GB"/>
        </w:rPr>
        <w:t>hazard ratio,</w:t>
      </w:r>
      <w:r w:rsidRPr="00D44EE6">
        <w:rPr>
          <w:rFonts w:ascii="Arial" w:hAnsi="Arial" w:cs="Arial"/>
          <w:i/>
          <w:iCs/>
          <w:sz w:val="18"/>
          <w:szCs w:val="18"/>
          <w:lang w:val="en-GB"/>
        </w:rPr>
        <w:t xml:space="preserve"> OS </w:t>
      </w:r>
      <w:r w:rsidRPr="00D44EE6">
        <w:rPr>
          <w:rFonts w:ascii="Arial" w:hAnsi="Arial" w:cs="Arial"/>
          <w:sz w:val="18"/>
          <w:szCs w:val="18"/>
          <w:lang w:val="en-GB"/>
        </w:rPr>
        <w:t>overall survival,</w:t>
      </w:r>
      <w:r w:rsidR="001B6F27" w:rsidRPr="00D44EE6">
        <w:rPr>
          <w:rFonts w:ascii="Arial" w:hAnsi="Arial" w:cs="Arial"/>
          <w:sz w:val="18"/>
          <w:szCs w:val="18"/>
          <w:lang w:val="en-GB"/>
        </w:rPr>
        <w:t xml:space="preserve"> </w:t>
      </w:r>
      <w:r w:rsidR="00B35094" w:rsidRPr="00D44EE6">
        <w:rPr>
          <w:rFonts w:ascii="Arial" w:hAnsi="Arial" w:cs="Arial"/>
          <w:i/>
          <w:iCs/>
          <w:sz w:val="18"/>
          <w:szCs w:val="18"/>
          <w:lang w:val="en-GB"/>
        </w:rPr>
        <w:t xml:space="preserve">RFS </w:t>
      </w:r>
      <w:r w:rsidR="00B35094" w:rsidRPr="00D44EE6">
        <w:rPr>
          <w:rFonts w:ascii="Arial" w:hAnsi="Arial" w:cs="Arial"/>
          <w:sz w:val="18"/>
          <w:szCs w:val="18"/>
          <w:lang w:val="en-GB"/>
        </w:rPr>
        <w:t>recurrence-free survival</w:t>
      </w:r>
      <w:r w:rsidR="00B35094" w:rsidRPr="00D44EE6">
        <w:rPr>
          <w:rFonts w:ascii="Arial" w:hAnsi="Arial" w:cs="Arial"/>
          <w:i/>
          <w:iCs/>
          <w:sz w:val="18"/>
          <w:szCs w:val="18"/>
          <w:lang w:val="en-GB"/>
        </w:rPr>
        <w:t xml:space="preserve"> </w:t>
      </w:r>
    </w:p>
    <w:p w14:paraId="1CE6CCA3" w14:textId="77777777" w:rsidR="00B35094" w:rsidRPr="00D44EE6" w:rsidRDefault="00B35094">
      <w:pPr>
        <w:rPr>
          <w:rFonts w:ascii="Arial" w:hAnsi="Arial" w:cs="Arial"/>
          <w:b/>
          <w:iCs/>
          <w:sz w:val="18"/>
          <w:szCs w:val="18"/>
          <w:lang w:val="en-GB"/>
        </w:rPr>
      </w:pPr>
      <w:r w:rsidRPr="00D44EE6">
        <w:rPr>
          <w:rFonts w:ascii="Arial" w:hAnsi="Arial" w:cs="Arial"/>
          <w:b/>
          <w:i/>
          <w:lang w:val="en-GB"/>
        </w:rPr>
        <w:br w:type="page"/>
      </w:r>
    </w:p>
    <w:p w14:paraId="41F7C25A" w14:textId="509AF8B2" w:rsidR="00B35094" w:rsidRPr="00D44EE6" w:rsidRDefault="00B35094" w:rsidP="002D13FB">
      <w:pPr>
        <w:pStyle w:val="Caption"/>
        <w:spacing w:after="0" w:line="480" w:lineRule="auto"/>
        <w:rPr>
          <w:rFonts w:ascii="Arial" w:hAnsi="Arial" w:cs="Arial"/>
          <w:b/>
          <w:i w:val="0"/>
          <w:color w:val="auto"/>
          <w:sz w:val="22"/>
          <w:szCs w:val="22"/>
          <w:lang w:val="en-GB"/>
        </w:rPr>
      </w:pPr>
      <w:r w:rsidRPr="00D44EE6">
        <w:rPr>
          <w:rFonts w:ascii="Arial" w:hAnsi="Arial" w:cs="Arial"/>
          <w:b/>
          <w:i w:val="0"/>
          <w:color w:val="auto"/>
          <w:sz w:val="22"/>
          <w:szCs w:val="22"/>
          <w:lang w:val="en-GB"/>
        </w:rPr>
        <w:t xml:space="preserve">Table </w:t>
      </w:r>
      <w:r w:rsidR="00E367F5" w:rsidRPr="00D44EE6">
        <w:rPr>
          <w:rFonts w:ascii="Arial" w:hAnsi="Arial" w:cs="Arial"/>
          <w:b/>
          <w:i w:val="0"/>
          <w:color w:val="auto"/>
          <w:sz w:val="22"/>
          <w:szCs w:val="22"/>
          <w:lang w:val="en-GB"/>
        </w:rPr>
        <w:t>8</w:t>
      </w:r>
      <w:r w:rsidRPr="00D44EE6">
        <w:rPr>
          <w:rFonts w:ascii="Arial" w:hAnsi="Arial" w:cs="Arial"/>
          <w:bCs/>
          <w:i w:val="0"/>
          <w:color w:val="auto"/>
          <w:sz w:val="22"/>
          <w:szCs w:val="22"/>
          <w:lang w:val="en-GB"/>
        </w:rPr>
        <w:t xml:space="preserve"> Relative efficacy results (network meta-analysis or correlation equation) vs observation </w:t>
      </w:r>
      <w:r w:rsidR="00045AC5" w:rsidRPr="00D44EE6">
        <w:rPr>
          <w:rFonts w:ascii="Arial" w:hAnsi="Arial" w:cs="Arial"/>
          <w:bCs/>
          <w:i w:val="0"/>
          <w:color w:val="auto"/>
          <w:sz w:val="22"/>
          <w:szCs w:val="22"/>
          <w:lang w:val="en-GB"/>
        </w:rPr>
        <w:t>–</w:t>
      </w:r>
      <w:r w:rsidRPr="00D44EE6">
        <w:rPr>
          <w:rFonts w:ascii="Arial" w:hAnsi="Arial" w:cs="Arial"/>
          <w:bCs/>
          <w:i w:val="0"/>
          <w:color w:val="auto"/>
          <w:sz w:val="22"/>
          <w:szCs w:val="22"/>
          <w:lang w:val="en-GB"/>
        </w:rPr>
        <w:t xml:space="preserve"> </w:t>
      </w:r>
      <w:r w:rsidRPr="00D44EE6">
        <w:rPr>
          <w:rFonts w:ascii="Arial" w:hAnsi="Arial" w:cs="Arial"/>
          <w:bCs/>
          <w:iCs w:val="0"/>
          <w:color w:val="auto"/>
          <w:sz w:val="22"/>
          <w:szCs w:val="22"/>
          <w:lang w:val="en-GB"/>
        </w:rPr>
        <w:t>BRAF</w:t>
      </w:r>
      <w:r w:rsidRPr="00D44EE6">
        <w:rPr>
          <w:rFonts w:ascii="Arial" w:hAnsi="Arial" w:cs="Arial"/>
          <w:bCs/>
          <w:i w:val="0"/>
          <w:color w:val="auto"/>
          <w:sz w:val="22"/>
          <w:szCs w:val="22"/>
          <w:lang w:val="en-GB"/>
        </w:rPr>
        <w:t xml:space="preserve"> mutated population</w:t>
      </w:r>
    </w:p>
    <w:tbl>
      <w:tblPr>
        <w:tblStyle w:val="PlainTable2"/>
        <w:tblW w:w="9630" w:type="dxa"/>
        <w:tblBorders>
          <w:top w:val="none" w:sz="0" w:space="0" w:color="auto"/>
          <w:bottom w:val="none" w:sz="0" w:space="0" w:color="auto"/>
        </w:tblBorders>
        <w:tblLook w:val="0420" w:firstRow="1" w:lastRow="0" w:firstColumn="0" w:lastColumn="0" w:noHBand="0" w:noVBand="1"/>
      </w:tblPr>
      <w:tblGrid>
        <w:gridCol w:w="2008"/>
        <w:gridCol w:w="1707"/>
        <w:gridCol w:w="2044"/>
        <w:gridCol w:w="1891"/>
        <w:gridCol w:w="1980"/>
      </w:tblGrid>
      <w:tr w:rsidR="00D44EE6" w:rsidRPr="00D44EE6" w14:paraId="44DD6003" w14:textId="77777777" w:rsidTr="002D13FB">
        <w:trPr>
          <w:cnfStyle w:val="100000000000" w:firstRow="1" w:lastRow="0" w:firstColumn="0" w:lastColumn="0" w:oddVBand="0" w:evenVBand="0" w:oddHBand="0" w:evenHBand="0" w:firstRowFirstColumn="0" w:firstRowLastColumn="0" w:lastRowFirstColumn="0" w:lastRowLastColumn="0"/>
          <w:trHeight w:val="434"/>
        </w:trPr>
        <w:tc>
          <w:tcPr>
            <w:tcW w:w="2008" w:type="dxa"/>
            <w:tcBorders>
              <w:top w:val="single" w:sz="4" w:space="0" w:color="auto"/>
              <w:bottom w:val="single" w:sz="4" w:space="0" w:color="auto"/>
            </w:tcBorders>
            <w:vAlign w:val="center"/>
            <w:hideMark/>
          </w:tcPr>
          <w:p w14:paraId="58E7CB96" w14:textId="77777777" w:rsidR="00B35094" w:rsidRPr="00D44EE6" w:rsidRDefault="00B35094" w:rsidP="00045AC5">
            <w:pPr>
              <w:rPr>
                <w:rFonts w:ascii="Arial" w:eastAsia="Times New Roman" w:hAnsi="Arial" w:cs="Arial"/>
                <w:sz w:val="18"/>
                <w:szCs w:val="36"/>
                <w:lang w:eastAsia="fr-FR"/>
              </w:rPr>
            </w:pPr>
            <w:r w:rsidRPr="00D44EE6">
              <w:rPr>
                <w:rFonts w:ascii="Arial" w:eastAsia="Times New Roman" w:hAnsi="Arial" w:cs="Arial"/>
                <w:kern w:val="24"/>
                <w:sz w:val="18"/>
                <w:szCs w:val="32"/>
                <w:lang w:eastAsia="fr-FR"/>
              </w:rPr>
              <w:t>RFS</w:t>
            </w:r>
          </w:p>
        </w:tc>
        <w:tc>
          <w:tcPr>
            <w:tcW w:w="1707" w:type="dxa"/>
            <w:tcBorders>
              <w:top w:val="single" w:sz="4" w:space="0" w:color="auto"/>
              <w:bottom w:val="single" w:sz="4" w:space="0" w:color="auto"/>
            </w:tcBorders>
            <w:vAlign w:val="center"/>
            <w:hideMark/>
          </w:tcPr>
          <w:p w14:paraId="4F7A31FA" w14:textId="77777777" w:rsidR="00B35094" w:rsidRPr="00D44EE6" w:rsidRDefault="00B35094" w:rsidP="00045AC5">
            <w:pPr>
              <w:rPr>
                <w:rFonts w:ascii="Arial" w:eastAsia="Times New Roman" w:hAnsi="Arial" w:cs="Arial"/>
                <w:sz w:val="18"/>
                <w:szCs w:val="36"/>
                <w:lang w:eastAsia="fr-FR"/>
              </w:rPr>
            </w:pPr>
            <w:r w:rsidRPr="00D44EE6">
              <w:rPr>
                <w:rFonts w:ascii="Arial" w:eastAsia="Times New Roman" w:hAnsi="Arial" w:cs="Arial"/>
                <w:kern w:val="24"/>
                <w:sz w:val="18"/>
                <w:szCs w:val="32"/>
                <w:lang w:val="en-GB" w:eastAsia="fr-FR"/>
              </w:rPr>
              <w:t>Nivolumab</w:t>
            </w:r>
          </w:p>
        </w:tc>
        <w:tc>
          <w:tcPr>
            <w:tcW w:w="2044" w:type="dxa"/>
            <w:tcBorders>
              <w:top w:val="single" w:sz="4" w:space="0" w:color="auto"/>
              <w:bottom w:val="single" w:sz="4" w:space="0" w:color="auto"/>
            </w:tcBorders>
            <w:vAlign w:val="center"/>
            <w:hideMark/>
          </w:tcPr>
          <w:p w14:paraId="1DDC20A9" w14:textId="2E8E6640" w:rsidR="00B35094" w:rsidRPr="00D44EE6" w:rsidRDefault="00045AC5" w:rsidP="00045AC5">
            <w:pPr>
              <w:rPr>
                <w:rFonts w:ascii="Arial" w:eastAsia="Times New Roman" w:hAnsi="Arial" w:cs="Arial"/>
                <w:sz w:val="18"/>
                <w:szCs w:val="36"/>
                <w:lang w:eastAsia="fr-FR"/>
              </w:rPr>
            </w:pPr>
            <w:r w:rsidRPr="00D44EE6">
              <w:rPr>
                <w:rFonts w:ascii="Arial" w:eastAsia="Times New Roman" w:hAnsi="Arial" w:cs="Arial"/>
                <w:kern w:val="24"/>
                <w:sz w:val="18"/>
                <w:szCs w:val="32"/>
                <w:lang w:val="en-GB" w:eastAsia="fr-FR"/>
              </w:rPr>
              <w:t>Low-dose interferon</w:t>
            </w:r>
          </w:p>
        </w:tc>
        <w:tc>
          <w:tcPr>
            <w:tcW w:w="1891" w:type="dxa"/>
            <w:tcBorders>
              <w:top w:val="single" w:sz="4" w:space="0" w:color="auto"/>
              <w:bottom w:val="single" w:sz="4" w:space="0" w:color="auto"/>
            </w:tcBorders>
            <w:vAlign w:val="center"/>
          </w:tcPr>
          <w:p w14:paraId="20DDA8E5" w14:textId="77777777" w:rsidR="00B35094" w:rsidRPr="00D44EE6" w:rsidRDefault="00B35094" w:rsidP="00045AC5">
            <w:pPr>
              <w:rPr>
                <w:rFonts w:ascii="Arial" w:eastAsia="Times New Roman" w:hAnsi="Arial" w:cs="Arial"/>
                <w:kern w:val="24"/>
                <w:sz w:val="18"/>
                <w:szCs w:val="32"/>
                <w:lang w:val="en-GB" w:eastAsia="fr-FR"/>
              </w:rPr>
            </w:pPr>
            <w:r w:rsidRPr="00D44EE6">
              <w:rPr>
                <w:rFonts w:ascii="Arial" w:eastAsia="Times New Roman" w:hAnsi="Arial" w:cs="Arial"/>
                <w:kern w:val="24"/>
                <w:sz w:val="18"/>
                <w:szCs w:val="32"/>
                <w:lang w:val="en-GB" w:eastAsia="fr-FR"/>
              </w:rPr>
              <w:t>Dabrafenib plus trametinib</w:t>
            </w:r>
          </w:p>
        </w:tc>
        <w:tc>
          <w:tcPr>
            <w:tcW w:w="1980" w:type="dxa"/>
            <w:tcBorders>
              <w:top w:val="single" w:sz="4" w:space="0" w:color="auto"/>
              <w:bottom w:val="single" w:sz="4" w:space="0" w:color="auto"/>
            </w:tcBorders>
            <w:vAlign w:val="center"/>
            <w:hideMark/>
          </w:tcPr>
          <w:p w14:paraId="72A52730" w14:textId="77777777" w:rsidR="00B35094" w:rsidRPr="00D44EE6" w:rsidRDefault="00B35094" w:rsidP="00045AC5">
            <w:pPr>
              <w:rPr>
                <w:rFonts w:ascii="Arial" w:eastAsia="Times New Roman" w:hAnsi="Arial" w:cs="Arial"/>
                <w:sz w:val="18"/>
                <w:szCs w:val="36"/>
                <w:lang w:eastAsia="fr-FR"/>
              </w:rPr>
            </w:pPr>
            <w:r w:rsidRPr="00D44EE6">
              <w:rPr>
                <w:rFonts w:ascii="Arial" w:eastAsia="Times New Roman" w:hAnsi="Arial" w:cs="Arial"/>
                <w:kern w:val="24"/>
                <w:sz w:val="18"/>
                <w:szCs w:val="32"/>
                <w:lang w:val="en-GB" w:eastAsia="fr-FR"/>
              </w:rPr>
              <w:t>Pembrolizumab</w:t>
            </w:r>
          </w:p>
        </w:tc>
      </w:tr>
      <w:tr w:rsidR="00D44EE6" w:rsidRPr="00D44EE6" w14:paraId="514659DF" w14:textId="77777777" w:rsidTr="002D13FB">
        <w:trPr>
          <w:cnfStyle w:val="000000100000" w:firstRow="0" w:lastRow="0" w:firstColumn="0" w:lastColumn="0" w:oddVBand="0" w:evenVBand="0" w:oddHBand="1" w:evenHBand="0" w:firstRowFirstColumn="0" w:firstRowLastColumn="0" w:lastRowFirstColumn="0" w:lastRowLastColumn="0"/>
          <w:trHeight w:val="434"/>
        </w:trPr>
        <w:tc>
          <w:tcPr>
            <w:tcW w:w="2008" w:type="dxa"/>
            <w:tcBorders>
              <w:top w:val="single" w:sz="4" w:space="0" w:color="auto"/>
            </w:tcBorders>
            <w:hideMark/>
          </w:tcPr>
          <w:p w14:paraId="7BB92B6D" w14:textId="4C212D7C" w:rsidR="00B35094" w:rsidRPr="00D44EE6" w:rsidRDefault="00B35094" w:rsidP="00045AC5">
            <w:pPr>
              <w:textAlignment w:val="bottom"/>
              <w:rPr>
                <w:rFonts w:ascii="Arial" w:eastAsiaTheme="minorEastAsia" w:hAnsi="Arial" w:cs="Arial"/>
                <w:kern w:val="24"/>
                <w:sz w:val="18"/>
                <w:szCs w:val="32"/>
                <w:lang w:val="fr-FR" w:eastAsia="fr-FR"/>
              </w:rPr>
            </w:pPr>
            <w:r w:rsidRPr="00D44EE6">
              <w:rPr>
                <w:rFonts w:ascii="Arial" w:eastAsiaTheme="minorEastAsia" w:hAnsi="Arial" w:cs="Arial"/>
                <w:kern w:val="24"/>
                <w:sz w:val="18"/>
                <w:szCs w:val="32"/>
                <w:lang w:val="fr-FR" w:eastAsia="fr-FR"/>
              </w:rPr>
              <w:t>H</w:t>
            </w:r>
            <w:r w:rsidR="00C0772E" w:rsidRPr="00D44EE6">
              <w:rPr>
                <w:rFonts w:ascii="Arial" w:eastAsiaTheme="minorEastAsia" w:hAnsi="Arial" w:cs="Arial"/>
                <w:kern w:val="24"/>
                <w:sz w:val="18"/>
                <w:szCs w:val="32"/>
                <w:lang w:val="fr-FR" w:eastAsia="fr-FR"/>
              </w:rPr>
              <w:t>R</w:t>
            </w:r>
            <w:r w:rsidRPr="00D44EE6">
              <w:rPr>
                <w:rFonts w:ascii="Arial" w:eastAsiaTheme="minorEastAsia" w:hAnsi="Arial" w:cs="Arial"/>
                <w:kern w:val="24"/>
                <w:sz w:val="18"/>
                <w:szCs w:val="32"/>
                <w:lang w:val="fr-FR" w:eastAsia="fr-FR"/>
              </w:rPr>
              <w:t xml:space="preserve"> vs observation</w:t>
            </w:r>
          </w:p>
          <w:p w14:paraId="09C3FAB9" w14:textId="77777777" w:rsidR="00B35094" w:rsidRPr="00D44EE6" w:rsidRDefault="00B35094" w:rsidP="00045AC5">
            <w:pPr>
              <w:textAlignment w:val="bottom"/>
              <w:rPr>
                <w:rFonts w:ascii="Arial" w:eastAsia="Times New Roman" w:hAnsi="Arial" w:cs="Arial"/>
                <w:sz w:val="18"/>
                <w:szCs w:val="36"/>
                <w:lang w:val="fr-FR" w:eastAsia="fr-FR"/>
              </w:rPr>
            </w:pPr>
            <w:r w:rsidRPr="00D44EE6">
              <w:rPr>
                <w:rFonts w:ascii="Arial" w:eastAsiaTheme="minorEastAsia" w:hAnsi="Arial" w:cs="Arial"/>
                <w:kern w:val="24"/>
                <w:sz w:val="18"/>
                <w:szCs w:val="32"/>
                <w:lang w:val="fr-FR" w:eastAsia="fr-FR"/>
              </w:rPr>
              <w:t>[95% CI]</w:t>
            </w:r>
          </w:p>
        </w:tc>
        <w:tc>
          <w:tcPr>
            <w:tcW w:w="1707" w:type="dxa"/>
            <w:tcBorders>
              <w:top w:val="single" w:sz="4" w:space="0" w:color="auto"/>
            </w:tcBorders>
            <w:hideMark/>
          </w:tcPr>
          <w:p w14:paraId="3E764414" w14:textId="77777777" w:rsidR="00B35094" w:rsidRPr="00D44EE6" w:rsidRDefault="00B35094" w:rsidP="00045AC5">
            <w:pPr>
              <w:textAlignment w:val="bottom"/>
              <w:rPr>
                <w:rFonts w:ascii="Arial" w:eastAsiaTheme="minorEastAsia" w:hAnsi="Arial" w:cs="Arial"/>
                <w:kern w:val="24"/>
                <w:sz w:val="18"/>
                <w:szCs w:val="32"/>
                <w:lang w:val="en-GB" w:eastAsia="fr-FR"/>
              </w:rPr>
            </w:pPr>
            <w:r w:rsidRPr="00D44EE6">
              <w:rPr>
                <w:rFonts w:ascii="Arial" w:eastAsiaTheme="minorEastAsia" w:hAnsi="Arial" w:cs="Arial"/>
                <w:kern w:val="24"/>
                <w:sz w:val="18"/>
                <w:szCs w:val="32"/>
                <w:lang w:val="en-GB" w:eastAsia="fr-FR"/>
              </w:rPr>
              <w:t>0.56</w:t>
            </w:r>
          </w:p>
          <w:p w14:paraId="5A1E87EF" w14:textId="77777777" w:rsidR="00B35094" w:rsidRPr="00D44EE6" w:rsidRDefault="00B35094" w:rsidP="00045AC5">
            <w:pPr>
              <w:textAlignment w:val="bottom"/>
              <w:rPr>
                <w:rFonts w:ascii="Arial" w:eastAsia="Times New Roman" w:hAnsi="Arial" w:cs="Arial"/>
                <w:sz w:val="18"/>
                <w:szCs w:val="36"/>
                <w:lang w:eastAsia="fr-FR"/>
              </w:rPr>
            </w:pPr>
            <w:r w:rsidRPr="00D44EE6">
              <w:rPr>
                <w:rFonts w:ascii="Arial" w:eastAsiaTheme="minorEastAsia" w:hAnsi="Arial" w:cs="Arial"/>
                <w:kern w:val="24"/>
                <w:sz w:val="18"/>
                <w:szCs w:val="32"/>
                <w:lang w:val="en-GB" w:eastAsia="fr-FR"/>
              </w:rPr>
              <w:t>[0.39–0.78]</w:t>
            </w:r>
          </w:p>
        </w:tc>
        <w:tc>
          <w:tcPr>
            <w:tcW w:w="2044" w:type="dxa"/>
            <w:tcBorders>
              <w:top w:val="single" w:sz="4" w:space="0" w:color="auto"/>
            </w:tcBorders>
            <w:hideMark/>
          </w:tcPr>
          <w:p w14:paraId="6051BF67" w14:textId="77777777" w:rsidR="00B35094" w:rsidRPr="00D44EE6" w:rsidRDefault="00B35094" w:rsidP="00045AC5">
            <w:pPr>
              <w:textAlignment w:val="bottom"/>
              <w:rPr>
                <w:rFonts w:ascii="Arial" w:eastAsiaTheme="minorEastAsia" w:hAnsi="Arial" w:cs="Arial"/>
                <w:kern w:val="24"/>
                <w:sz w:val="18"/>
                <w:szCs w:val="32"/>
                <w:lang w:val="en-GB" w:eastAsia="fr-FR"/>
              </w:rPr>
            </w:pPr>
            <w:r w:rsidRPr="00D44EE6">
              <w:rPr>
                <w:rFonts w:ascii="Arial" w:eastAsiaTheme="minorEastAsia" w:hAnsi="Arial" w:cs="Arial"/>
                <w:kern w:val="24"/>
                <w:sz w:val="18"/>
                <w:szCs w:val="32"/>
                <w:lang w:val="en-GB" w:eastAsia="fr-FR"/>
              </w:rPr>
              <w:t>0.90</w:t>
            </w:r>
          </w:p>
          <w:p w14:paraId="3B28BB9E" w14:textId="77777777" w:rsidR="00B35094" w:rsidRPr="00D44EE6" w:rsidRDefault="00B35094" w:rsidP="00045AC5">
            <w:pPr>
              <w:textAlignment w:val="bottom"/>
              <w:rPr>
                <w:rFonts w:ascii="Arial" w:eastAsia="Times New Roman" w:hAnsi="Arial" w:cs="Arial"/>
                <w:sz w:val="18"/>
                <w:szCs w:val="36"/>
                <w:lang w:eastAsia="fr-FR"/>
              </w:rPr>
            </w:pPr>
            <w:r w:rsidRPr="00D44EE6">
              <w:rPr>
                <w:rFonts w:ascii="Arial" w:eastAsiaTheme="minorEastAsia" w:hAnsi="Arial" w:cs="Arial"/>
                <w:kern w:val="24"/>
                <w:sz w:val="18"/>
                <w:szCs w:val="32"/>
                <w:lang w:val="en-GB" w:eastAsia="fr-FR"/>
              </w:rPr>
              <w:t>[0.78–1.04]</w:t>
            </w:r>
          </w:p>
        </w:tc>
        <w:tc>
          <w:tcPr>
            <w:tcW w:w="1891" w:type="dxa"/>
            <w:tcBorders>
              <w:top w:val="single" w:sz="4" w:space="0" w:color="auto"/>
            </w:tcBorders>
          </w:tcPr>
          <w:p w14:paraId="24B27723" w14:textId="77777777" w:rsidR="00B35094" w:rsidRPr="00D44EE6" w:rsidRDefault="00B35094" w:rsidP="00045AC5">
            <w:pPr>
              <w:textAlignment w:val="bottom"/>
              <w:rPr>
                <w:rFonts w:ascii="Arial" w:eastAsiaTheme="minorEastAsia" w:hAnsi="Arial" w:cs="Arial"/>
                <w:kern w:val="24"/>
                <w:sz w:val="18"/>
                <w:szCs w:val="32"/>
                <w:lang w:val="en-GB" w:eastAsia="fr-FR"/>
              </w:rPr>
            </w:pPr>
            <w:r w:rsidRPr="00D44EE6">
              <w:rPr>
                <w:rFonts w:ascii="Arial" w:eastAsiaTheme="minorEastAsia" w:hAnsi="Arial" w:cs="Arial"/>
                <w:kern w:val="24"/>
                <w:sz w:val="18"/>
                <w:szCs w:val="32"/>
                <w:lang w:val="en-GB" w:eastAsia="fr-FR"/>
              </w:rPr>
              <w:t>0.47</w:t>
            </w:r>
          </w:p>
          <w:p w14:paraId="6D915247" w14:textId="77777777" w:rsidR="00B35094" w:rsidRPr="00D44EE6" w:rsidRDefault="00B35094" w:rsidP="00045AC5">
            <w:pPr>
              <w:textAlignment w:val="bottom"/>
              <w:rPr>
                <w:rFonts w:ascii="Arial" w:eastAsiaTheme="minorEastAsia" w:hAnsi="Arial" w:cs="Arial"/>
                <w:kern w:val="24"/>
                <w:sz w:val="18"/>
                <w:szCs w:val="32"/>
                <w:lang w:val="en-GB" w:eastAsia="fr-FR"/>
              </w:rPr>
            </w:pPr>
            <w:r w:rsidRPr="00D44EE6">
              <w:rPr>
                <w:rFonts w:ascii="Arial" w:eastAsiaTheme="minorEastAsia" w:hAnsi="Arial" w:cs="Arial"/>
                <w:kern w:val="24"/>
                <w:sz w:val="18"/>
                <w:szCs w:val="32"/>
                <w:lang w:val="en-GB" w:eastAsia="fr-FR"/>
              </w:rPr>
              <w:t>[0.39–0.57]</w:t>
            </w:r>
          </w:p>
        </w:tc>
        <w:tc>
          <w:tcPr>
            <w:tcW w:w="1980" w:type="dxa"/>
            <w:tcBorders>
              <w:top w:val="single" w:sz="4" w:space="0" w:color="auto"/>
            </w:tcBorders>
            <w:hideMark/>
          </w:tcPr>
          <w:p w14:paraId="7B0E6274" w14:textId="77777777" w:rsidR="00B35094" w:rsidRPr="00D44EE6" w:rsidRDefault="00B35094" w:rsidP="00045AC5">
            <w:pPr>
              <w:textAlignment w:val="bottom"/>
              <w:rPr>
                <w:rFonts w:ascii="Arial" w:eastAsiaTheme="minorEastAsia" w:hAnsi="Arial" w:cs="Arial"/>
                <w:kern w:val="24"/>
                <w:sz w:val="18"/>
                <w:szCs w:val="32"/>
                <w:lang w:val="en-GB" w:eastAsia="fr-FR"/>
              </w:rPr>
            </w:pPr>
            <w:r w:rsidRPr="00D44EE6">
              <w:rPr>
                <w:rFonts w:ascii="Arial" w:eastAsiaTheme="minorEastAsia" w:hAnsi="Arial" w:cs="Arial"/>
                <w:kern w:val="24"/>
                <w:sz w:val="18"/>
                <w:szCs w:val="32"/>
                <w:lang w:val="en-GB" w:eastAsia="fr-FR"/>
              </w:rPr>
              <w:t>0.57</w:t>
            </w:r>
          </w:p>
          <w:p w14:paraId="71E3F54C" w14:textId="77777777" w:rsidR="00B35094" w:rsidRPr="00D44EE6" w:rsidRDefault="00B35094" w:rsidP="00045AC5">
            <w:pPr>
              <w:textAlignment w:val="bottom"/>
              <w:rPr>
                <w:rFonts w:ascii="Arial" w:eastAsia="Times New Roman" w:hAnsi="Arial" w:cs="Arial"/>
                <w:sz w:val="18"/>
                <w:szCs w:val="36"/>
                <w:lang w:eastAsia="fr-FR"/>
              </w:rPr>
            </w:pPr>
            <w:r w:rsidRPr="00D44EE6">
              <w:rPr>
                <w:rFonts w:ascii="Arial" w:eastAsiaTheme="minorEastAsia" w:hAnsi="Arial" w:cs="Arial"/>
                <w:kern w:val="24"/>
                <w:sz w:val="18"/>
                <w:szCs w:val="32"/>
                <w:lang w:val="en-GB" w:eastAsia="fr-FR"/>
              </w:rPr>
              <w:t>[0.41–0.77]</w:t>
            </w:r>
          </w:p>
        </w:tc>
      </w:tr>
      <w:tr w:rsidR="00D44EE6" w:rsidRPr="00D44EE6" w14:paraId="0A0C0D20" w14:textId="77777777" w:rsidTr="002D13FB">
        <w:trPr>
          <w:trHeight w:val="434"/>
        </w:trPr>
        <w:tc>
          <w:tcPr>
            <w:tcW w:w="2008" w:type="dxa"/>
            <w:vAlign w:val="center"/>
            <w:hideMark/>
          </w:tcPr>
          <w:p w14:paraId="12F2A432" w14:textId="77777777" w:rsidR="00B35094" w:rsidRPr="00D44EE6" w:rsidRDefault="00B35094" w:rsidP="00045AC5">
            <w:pPr>
              <w:textAlignment w:val="bottom"/>
              <w:rPr>
                <w:rFonts w:ascii="Arial" w:eastAsia="Times New Roman" w:hAnsi="Arial" w:cs="Arial"/>
                <w:sz w:val="18"/>
                <w:szCs w:val="36"/>
                <w:lang w:eastAsia="fr-FR"/>
              </w:rPr>
            </w:pPr>
            <w:r w:rsidRPr="00D44EE6">
              <w:rPr>
                <w:rFonts w:ascii="Arial" w:eastAsia="Times New Roman" w:hAnsi="Arial" w:cs="Arial"/>
                <w:sz w:val="18"/>
                <w:szCs w:val="36"/>
                <w:lang w:eastAsia="fr-FR"/>
              </w:rPr>
              <w:t>OS</w:t>
            </w:r>
          </w:p>
        </w:tc>
        <w:tc>
          <w:tcPr>
            <w:tcW w:w="1707" w:type="dxa"/>
            <w:vAlign w:val="center"/>
          </w:tcPr>
          <w:p w14:paraId="0191C006" w14:textId="77777777" w:rsidR="00B35094" w:rsidRPr="00D44EE6" w:rsidRDefault="00B35094" w:rsidP="00045AC5">
            <w:pPr>
              <w:rPr>
                <w:rFonts w:ascii="Arial" w:eastAsia="Times New Roman" w:hAnsi="Arial" w:cs="Arial"/>
                <w:sz w:val="18"/>
                <w:szCs w:val="36"/>
                <w:lang w:eastAsia="fr-FR"/>
              </w:rPr>
            </w:pPr>
            <w:r w:rsidRPr="00D44EE6">
              <w:rPr>
                <w:rFonts w:ascii="Arial" w:eastAsia="Times New Roman" w:hAnsi="Arial" w:cs="Arial"/>
                <w:kern w:val="24"/>
                <w:sz w:val="18"/>
                <w:szCs w:val="32"/>
                <w:lang w:val="en-GB" w:eastAsia="fr-FR"/>
              </w:rPr>
              <w:t>Nivolumab (correlation equation)</w:t>
            </w:r>
          </w:p>
        </w:tc>
        <w:tc>
          <w:tcPr>
            <w:tcW w:w="2044" w:type="dxa"/>
            <w:vAlign w:val="center"/>
          </w:tcPr>
          <w:p w14:paraId="4F805FF3" w14:textId="2B79AE39" w:rsidR="00B35094" w:rsidRPr="00D44EE6" w:rsidRDefault="00045AC5" w:rsidP="00045AC5">
            <w:pPr>
              <w:rPr>
                <w:rFonts w:ascii="Arial" w:eastAsia="Times New Roman" w:hAnsi="Arial" w:cs="Arial"/>
                <w:sz w:val="18"/>
                <w:szCs w:val="36"/>
                <w:lang w:eastAsia="fr-FR"/>
              </w:rPr>
            </w:pPr>
            <w:r w:rsidRPr="00D44EE6">
              <w:rPr>
                <w:rFonts w:ascii="Arial" w:eastAsia="Times New Roman" w:hAnsi="Arial" w:cs="Arial"/>
                <w:kern w:val="24"/>
                <w:sz w:val="18"/>
                <w:szCs w:val="32"/>
                <w:lang w:val="en-GB" w:eastAsia="fr-FR"/>
              </w:rPr>
              <w:t>Low-dose interferon</w:t>
            </w:r>
          </w:p>
        </w:tc>
        <w:tc>
          <w:tcPr>
            <w:tcW w:w="1891" w:type="dxa"/>
            <w:vAlign w:val="center"/>
          </w:tcPr>
          <w:p w14:paraId="0AEDC8D8" w14:textId="125DF572" w:rsidR="00B35094" w:rsidRPr="00D44EE6" w:rsidRDefault="00B35094" w:rsidP="00045AC5">
            <w:pPr>
              <w:rPr>
                <w:rFonts w:ascii="Arial" w:eastAsia="Times New Roman" w:hAnsi="Arial" w:cs="Arial"/>
                <w:kern w:val="24"/>
                <w:sz w:val="18"/>
                <w:szCs w:val="32"/>
                <w:lang w:val="en-GB" w:eastAsia="fr-FR"/>
              </w:rPr>
            </w:pPr>
            <w:r w:rsidRPr="00D44EE6">
              <w:rPr>
                <w:rFonts w:ascii="Arial" w:eastAsia="Times New Roman" w:hAnsi="Arial" w:cs="Arial"/>
                <w:kern w:val="24"/>
                <w:sz w:val="18"/>
                <w:szCs w:val="32"/>
                <w:lang w:val="en-GB" w:eastAsia="fr-FR"/>
              </w:rPr>
              <w:t xml:space="preserve">Dabrafenib plus </w:t>
            </w:r>
            <w:r w:rsidR="00045AC5" w:rsidRPr="00D44EE6">
              <w:rPr>
                <w:rFonts w:ascii="Arial" w:eastAsia="Times New Roman" w:hAnsi="Arial" w:cs="Arial"/>
                <w:kern w:val="24"/>
                <w:sz w:val="18"/>
                <w:szCs w:val="32"/>
                <w:lang w:val="en-GB" w:eastAsia="fr-FR"/>
              </w:rPr>
              <w:t>t</w:t>
            </w:r>
            <w:r w:rsidRPr="00D44EE6">
              <w:rPr>
                <w:rFonts w:ascii="Arial" w:eastAsia="Times New Roman" w:hAnsi="Arial" w:cs="Arial"/>
                <w:kern w:val="24"/>
                <w:sz w:val="18"/>
                <w:szCs w:val="32"/>
                <w:lang w:val="en-GB" w:eastAsia="fr-FR"/>
              </w:rPr>
              <w:t>rametinib</w:t>
            </w:r>
          </w:p>
        </w:tc>
        <w:tc>
          <w:tcPr>
            <w:tcW w:w="1980" w:type="dxa"/>
            <w:vAlign w:val="center"/>
          </w:tcPr>
          <w:p w14:paraId="5F3EC40F" w14:textId="7452EE28" w:rsidR="00B35094" w:rsidRPr="00D44EE6" w:rsidRDefault="00B35094" w:rsidP="00045AC5">
            <w:pPr>
              <w:rPr>
                <w:rFonts w:ascii="Arial" w:eastAsia="Times New Roman" w:hAnsi="Arial" w:cs="Arial"/>
                <w:kern w:val="24"/>
                <w:sz w:val="18"/>
                <w:szCs w:val="32"/>
                <w:lang w:val="en-GB" w:eastAsia="fr-FR"/>
              </w:rPr>
            </w:pPr>
            <w:r w:rsidRPr="00D44EE6">
              <w:rPr>
                <w:rFonts w:ascii="Arial" w:eastAsia="Times New Roman" w:hAnsi="Arial" w:cs="Arial"/>
                <w:kern w:val="24"/>
                <w:sz w:val="18"/>
                <w:szCs w:val="32"/>
                <w:lang w:val="en-GB" w:eastAsia="fr-FR"/>
              </w:rPr>
              <w:t>Pembrolizumab</w:t>
            </w:r>
          </w:p>
          <w:p w14:paraId="05F45921" w14:textId="77777777" w:rsidR="00B35094" w:rsidRPr="00D44EE6" w:rsidRDefault="00B35094" w:rsidP="00045AC5">
            <w:pPr>
              <w:rPr>
                <w:rFonts w:ascii="Arial" w:eastAsia="Times New Roman" w:hAnsi="Arial" w:cs="Arial"/>
                <w:sz w:val="18"/>
                <w:szCs w:val="36"/>
                <w:lang w:eastAsia="fr-FR"/>
              </w:rPr>
            </w:pPr>
            <w:r w:rsidRPr="00D44EE6">
              <w:rPr>
                <w:rFonts w:ascii="Arial" w:eastAsia="Times New Roman" w:hAnsi="Arial" w:cs="Arial"/>
                <w:kern w:val="24"/>
                <w:sz w:val="18"/>
                <w:szCs w:val="32"/>
                <w:lang w:val="en-GB" w:eastAsia="fr-FR"/>
              </w:rPr>
              <w:t>(correlation equation)</w:t>
            </w:r>
          </w:p>
        </w:tc>
      </w:tr>
      <w:tr w:rsidR="00D44EE6" w:rsidRPr="00D44EE6" w14:paraId="7B65C38C" w14:textId="77777777" w:rsidTr="002D13FB">
        <w:trPr>
          <w:cnfStyle w:val="000000100000" w:firstRow="0" w:lastRow="0" w:firstColumn="0" w:lastColumn="0" w:oddVBand="0" w:evenVBand="0" w:oddHBand="1" w:evenHBand="0" w:firstRowFirstColumn="0" w:firstRowLastColumn="0" w:lastRowFirstColumn="0" w:lastRowLastColumn="0"/>
          <w:trHeight w:val="434"/>
        </w:trPr>
        <w:tc>
          <w:tcPr>
            <w:tcW w:w="2008" w:type="dxa"/>
            <w:tcBorders>
              <w:bottom w:val="single" w:sz="4" w:space="0" w:color="auto"/>
            </w:tcBorders>
            <w:hideMark/>
          </w:tcPr>
          <w:p w14:paraId="0B6038B4" w14:textId="529AE5A4" w:rsidR="00B35094" w:rsidRPr="00D44EE6" w:rsidRDefault="00B35094" w:rsidP="00045AC5">
            <w:pPr>
              <w:textAlignment w:val="bottom"/>
              <w:rPr>
                <w:rFonts w:ascii="Arial" w:eastAsiaTheme="minorEastAsia" w:hAnsi="Arial" w:cs="Arial"/>
                <w:kern w:val="24"/>
                <w:sz w:val="18"/>
                <w:szCs w:val="32"/>
                <w:lang w:val="fr-FR" w:eastAsia="fr-FR"/>
              </w:rPr>
            </w:pPr>
            <w:r w:rsidRPr="00D44EE6">
              <w:rPr>
                <w:rFonts w:ascii="Arial" w:eastAsiaTheme="minorEastAsia" w:hAnsi="Arial" w:cs="Arial"/>
                <w:kern w:val="24"/>
                <w:sz w:val="18"/>
                <w:szCs w:val="32"/>
                <w:lang w:val="fr-FR" w:eastAsia="fr-FR"/>
              </w:rPr>
              <w:t>H</w:t>
            </w:r>
            <w:r w:rsidR="00C0772E" w:rsidRPr="00D44EE6">
              <w:rPr>
                <w:rFonts w:ascii="Arial" w:eastAsiaTheme="minorEastAsia" w:hAnsi="Arial" w:cs="Arial"/>
                <w:kern w:val="24"/>
                <w:sz w:val="18"/>
                <w:szCs w:val="32"/>
                <w:lang w:val="fr-FR" w:eastAsia="fr-FR"/>
              </w:rPr>
              <w:t>R</w:t>
            </w:r>
            <w:r w:rsidRPr="00D44EE6">
              <w:rPr>
                <w:rFonts w:ascii="Arial" w:eastAsiaTheme="minorEastAsia" w:hAnsi="Arial" w:cs="Arial"/>
                <w:kern w:val="24"/>
                <w:sz w:val="18"/>
                <w:szCs w:val="32"/>
                <w:lang w:val="fr-FR" w:eastAsia="fr-FR"/>
              </w:rPr>
              <w:t xml:space="preserve"> vs observation</w:t>
            </w:r>
          </w:p>
          <w:p w14:paraId="056C0E16" w14:textId="77777777" w:rsidR="00B35094" w:rsidRPr="00D44EE6" w:rsidRDefault="00B35094" w:rsidP="00045AC5">
            <w:pPr>
              <w:textAlignment w:val="bottom"/>
              <w:rPr>
                <w:rFonts w:ascii="Arial" w:eastAsia="Times New Roman" w:hAnsi="Arial" w:cs="Arial"/>
                <w:sz w:val="18"/>
                <w:szCs w:val="36"/>
                <w:lang w:val="fr-FR" w:eastAsia="fr-FR"/>
              </w:rPr>
            </w:pPr>
            <w:r w:rsidRPr="00D44EE6">
              <w:rPr>
                <w:rFonts w:ascii="Arial" w:eastAsiaTheme="minorEastAsia" w:hAnsi="Arial" w:cs="Arial"/>
                <w:kern w:val="24"/>
                <w:sz w:val="18"/>
                <w:szCs w:val="32"/>
                <w:lang w:val="fr-FR" w:eastAsia="fr-FR"/>
              </w:rPr>
              <w:t>[95% CI]</w:t>
            </w:r>
          </w:p>
        </w:tc>
        <w:tc>
          <w:tcPr>
            <w:tcW w:w="1707" w:type="dxa"/>
            <w:tcBorders>
              <w:bottom w:val="single" w:sz="4" w:space="0" w:color="auto"/>
            </w:tcBorders>
          </w:tcPr>
          <w:p w14:paraId="1D651A6A" w14:textId="77777777" w:rsidR="00B35094" w:rsidRPr="00D44EE6" w:rsidRDefault="00B35094" w:rsidP="00045AC5">
            <w:pPr>
              <w:textAlignment w:val="bottom"/>
              <w:rPr>
                <w:rFonts w:ascii="Arial" w:eastAsia="Times New Roman" w:hAnsi="Arial" w:cs="Arial"/>
                <w:sz w:val="18"/>
                <w:szCs w:val="36"/>
                <w:lang w:eastAsia="fr-FR"/>
              </w:rPr>
            </w:pPr>
            <w:r w:rsidRPr="00D44EE6">
              <w:rPr>
                <w:rFonts w:ascii="Arial" w:eastAsia="Times New Roman" w:hAnsi="Arial" w:cs="Arial"/>
                <w:sz w:val="18"/>
                <w:szCs w:val="36"/>
                <w:lang w:eastAsia="fr-FR"/>
              </w:rPr>
              <w:t>0.63</w:t>
            </w:r>
          </w:p>
          <w:p w14:paraId="4AB325BB" w14:textId="77777777" w:rsidR="00B35094" w:rsidRPr="00D44EE6" w:rsidRDefault="00B35094" w:rsidP="00045AC5">
            <w:pPr>
              <w:textAlignment w:val="bottom"/>
              <w:rPr>
                <w:rFonts w:ascii="Arial" w:eastAsia="Times New Roman" w:hAnsi="Arial" w:cs="Arial"/>
                <w:sz w:val="18"/>
                <w:szCs w:val="36"/>
                <w:lang w:eastAsia="fr-FR"/>
              </w:rPr>
            </w:pPr>
            <w:r w:rsidRPr="00D44EE6">
              <w:rPr>
                <w:rFonts w:ascii="Arial" w:eastAsia="Times New Roman" w:hAnsi="Arial" w:cs="Arial"/>
                <w:sz w:val="18"/>
                <w:szCs w:val="36"/>
                <w:lang w:eastAsia="fr-FR"/>
              </w:rPr>
              <w:t>[0.47–0.82]</w:t>
            </w:r>
          </w:p>
        </w:tc>
        <w:tc>
          <w:tcPr>
            <w:tcW w:w="2044" w:type="dxa"/>
            <w:tcBorders>
              <w:bottom w:val="single" w:sz="4" w:space="0" w:color="auto"/>
            </w:tcBorders>
          </w:tcPr>
          <w:p w14:paraId="55BB4CE0" w14:textId="77777777" w:rsidR="00B35094" w:rsidRPr="00D44EE6" w:rsidRDefault="00B35094" w:rsidP="00045AC5">
            <w:pPr>
              <w:textAlignment w:val="bottom"/>
              <w:rPr>
                <w:rFonts w:ascii="Arial" w:eastAsia="Times New Roman" w:hAnsi="Arial" w:cs="Arial"/>
                <w:sz w:val="18"/>
                <w:szCs w:val="36"/>
                <w:lang w:eastAsia="fr-FR"/>
              </w:rPr>
            </w:pPr>
            <w:r w:rsidRPr="00D44EE6">
              <w:rPr>
                <w:rFonts w:ascii="Arial" w:eastAsia="Times New Roman" w:hAnsi="Arial" w:cs="Arial"/>
                <w:sz w:val="18"/>
                <w:szCs w:val="36"/>
                <w:lang w:eastAsia="fr-FR"/>
              </w:rPr>
              <w:t>0.92</w:t>
            </w:r>
          </w:p>
          <w:p w14:paraId="0D811454" w14:textId="77777777" w:rsidR="00B35094" w:rsidRPr="00D44EE6" w:rsidRDefault="00B35094" w:rsidP="00045AC5">
            <w:pPr>
              <w:textAlignment w:val="bottom"/>
              <w:rPr>
                <w:rFonts w:ascii="Arial" w:eastAsia="Times New Roman" w:hAnsi="Arial" w:cs="Arial"/>
                <w:sz w:val="18"/>
                <w:szCs w:val="36"/>
                <w:lang w:eastAsia="fr-FR"/>
              </w:rPr>
            </w:pPr>
            <w:r w:rsidRPr="00D44EE6">
              <w:rPr>
                <w:rFonts w:ascii="Arial" w:eastAsia="Times New Roman" w:hAnsi="Arial" w:cs="Arial"/>
                <w:sz w:val="18"/>
                <w:szCs w:val="36"/>
                <w:lang w:eastAsia="fr-FR"/>
              </w:rPr>
              <w:t>[0.86–0.99]</w:t>
            </w:r>
          </w:p>
        </w:tc>
        <w:tc>
          <w:tcPr>
            <w:tcW w:w="1891" w:type="dxa"/>
            <w:tcBorders>
              <w:bottom w:val="single" w:sz="4" w:space="0" w:color="auto"/>
            </w:tcBorders>
          </w:tcPr>
          <w:p w14:paraId="2BF5A406" w14:textId="77777777" w:rsidR="00B35094" w:rsidRPr="00D44EE6" w:rsidRDefault="00B35094" w:rsidP="00045AC5">
            <w:pPr>
              <w:textAlignment w:val="bottom"/>
              <w:rPr>
                <w:rFonts w:ascii="Arial" w:eastAsia="Times New Roman" w:hAnsi="Arial" w:cs="Arial"/>
                <w:sz w:val="18"/>
                <w:szCs w:val="36"/>
                <w:lang w:eastAsia="fr-FR"/>
              </w:rPr>
            </w:pPr>
            <w:r w:rsidRPr="00D44EE6">
              <w:rPr>
                <w:rFonts w:ascii="Arial" w:eastAsia="Times New Roman" w:hAnsi="Arial" w:cs="Arial"/>
                <w:sz w:val="18"/>
                <w:szCs w:val="36"/>
                <w:lang w:eastAsia="fr-FR"/>
              </w:rPr>
              <w:t>0.57</w:t>
            </w:r>
          </w:p>
          <w:p w14:paraId="09A234ED" w14:textId="77777777" w:rsidR="00B35094" w:rsidRPr="00D44EE6" w:rsidRDefault="00B35094" w:rsidP="00045AC5">
            <w:pPr>
              <w:textAlignment w:val="bottom"/>
              <w:rPr>
                <w:rFonts w:ascii="Arial" w:eastAsia="Times New Roman" w:hAnsi="Arial" w:cs="Arial"/>
                <w:sz w:val="18"/>
                <w:szCs w:val="36"/>
                <w:lang w:eastAsia="fr-FR"/>
              </w:rPr>
            </w:pPr>
            <w:r w:rsidRPr="00D44EE6">
              <w:rPr>
                <w:rFonts w:ascii="Arial" w:eastAsia="Times New Roman" w:hAnsi="Arial" w:cs="Arial"/>
                <w:sz w:val="18"/>
                <w:szCs w:val="36"/>
                <w:lang w:eastAsia="fr-FR"/>
              </w:rPr>
              <w:t>[0.42–0.79]</w:t>
            </w:r>
          </w:p>
        </w:tc>
        <w:tc>
          <w:tcPr>
            <w:tcW w:w="1980" w:type="dxa"/>
            <w:tcBorders>
              <w:bottom w:val="single" w:sz="4" w:space="0" w:color="auto"/>
            </w:tcBorders>
          </w:tcPr>
          <w:p w14:paraId="2ED52B29" w14:textId="77777777" w:rsidR="00B35094" w:rsidRPr="00D44EE6" w:rsidRDefault="00B35094" w:rsidP="00045AC5">
            <w:pPr>
              <w:textAlignment w:val="bottom"/>
              <w:rPr>
                <w:rFonts w:ascii="Arial" w:eastAsia="Times New Roman" w:hAnsi="Arial" w:cs="Arial"/>
                <w:sz w:val="18"/>
                <w:szCs w:val="36"/>
                <w:lang w:eastAsia="fr-FR"/>
              </w:rPr>
            </w:pPr>
            <w:r w:rsidRPr="00D44EE6">
              <w:rPr>
                <w:rFonts w:ascii="Arial" w:eastAsia="Times New Roman" w:hAnsi="Arial" w:cs="Arial"/>
                <w:sz w:val="18"/>
                <w:szCs w:val="36"/>
                <w:lang w:eastAsia="fr-FR"/>
              </w:rPr>
              <w:t>0.64</w:t>
            </w:r>
          </w:p>
          <w:p w14:paraId="42E58D2D" w14:textId="77777777" w:rsidR="00B35094" w:rsidRPr="00D44EE6" w:rsidRDefault="00B35094" w:rsidP="00045AC5">
            <w:pPr>
              <w:textAlignment w:val="bottom"/>
              <w:rPr>
                <w:rFonts w:ascii="Arial" w:eastAsia="Times New Roman" w:hAnsi="Arial" w:cs="Arial"/>
                <w:sz w:val="18"/>
                <w:szCs w:val="36"/>
                <w:lang w:eastAsia="fr-FR"/>
              </w:rPr>
            </w:pPr>
            <w:r w:rsidRPr="00D44EE6">
              <w:rPr>
                <w:rFonts w:ascii="Arial" w:eastAsia="Times New Roman" w:hAnsi="Arial" w:cs="Arial"/>
                <w:sz w:val="18"/>
                <w:szCs w:val="36"/>
                <w:lang w:eastAsia="fr-FR"/>
              </w:rPr>
              <w:t>[0.49–0.81]</w:t>
            </w:r>
          </w:p>
        </w:tc>
      </w:tr>
    </w:tbl>
    <w:p w14:paraId="4B2C7030" w14:textId="77777777" w:rsidR="00045AC5" w:rsidRPr="00D44EE6" w:rsidRDefault="00045AC5" w:rsidP="00045AC5">
      <w:pPr>
        <w:rPr>
          <w:rFonts w:ascii="Arial" w:hAnsi="Arial" w:cs="Arial"/>
          <w:sz w:val="18"/>
          <w:szCs w:val="18"/>
          <w:lang w:val="en-GB"/>
        </w:rPr>
      </w:pPr>
      <w:r w:rsidRPr="00D44EE6">
        <w:rPr>
          <w:rFonts w:ascii="Arial" w:hAnsi="Arial" w:cs="Arial"/>
          <w:i/>
          <w:iCs/>
          <w:sz w:val="18"/>
          <w:szCs w:val="18"/>
          <w:lang w:val="en-GB"/>
        </w:rPr>
        <w:t>CI</w:t>
      </w:r>
      <w:r w:rsidRPr="00D44EE6">
        <w:rPr>
          <w:rFonts w:ascii="Arial" w:hAnsi="Arial" w:cs="Arial"/>
          <w:sz w:val="18"/>
          <w:szCs w:val="18"/>
          <w:lang w:val="en-GB"/>
        </w:rPr>
        <w:t xml:space="preserve"> confidence interval, </w:t>
      </w:r>
      <w:r w:rsidRPr="00D44EE6">
        <w:rPr>
          <w:rFonts w:ascii="Arial" w:hAnsi="Arial" w:cs="Arial"/>
          <w:i/>
          <w:iCs/>
          <w:sz w:val="18"/>
          <w:szCs w:val="18"/>
          <w:lang w:val="en-GB"/>
        </w:rPr>
        <w:t xml:space="preserve">HR </w:t>
      </w:r>
      <w:r w:rsidRPr="00D44EE6">
        <w:rPr>
          <w:rFonts w:ascii="Arial" w:hAnsi="Arial" w:cs="Arial"/>
          <w:sz w:val="18"/>
          <w:szCs w:val="18"/>
          <w:lang w:val="en-GB"/>
        </w:rPr>
        <w:t>hazard ratio,</w:t>
      </w:r>
      <w:r w:rsidRPr="00D44EE6">
        <w:rPr>
          <w:rFonts w:ascii="Arial" w:hAnsi="Arial" w:cs="Arial"/>
          <w:i/>
          <w:iCs/>
          <w:sz w:val="18"/>
          <w:szCs w:val="18"/>
          <w:lang w:val="en-GB"/>
        </w:rPr>
        <w:t xml:space="preserve"> OS </w:t>
      </w:r>
      <w:r w:rsidRPr="00D44EE6">
        <w:rPr>
          <w:rFonts w:ascii="Arial" w:hAnsi="Arial" w:cs="Arial"/>
          <w:sz w:val="18"/>
          <w:szCs w:val="18"/>
          <w:lang w:val="en-GB"/>
        </w:rPr>
        <w:t xml:space="preserve">overall survival, </w:t>
      </w:r>
      <w:r w:rsidRPr="00D44EE6">
        <w:rPr>
          <w:rFonts w:ascii="Arial" w:hAnsi="Arial" w:cs="Arial"/>
          <w:i/>
          <w:iCs/>
          <w:sz w:val="18"/>
          <w:szCs w:val="18"/>
          <w:lang w:val="en-GB"/>
        </w:rPr>
        <w:t xml:space="preserve">RFS </w:t>
      </w:r>
      <w:r w:rsidRPr="00D44EE6">
        <w:rPr>
          <w:rFonts w:ascii="Arial" w:hAnsi="Arial" w:cs="Arial"/>
          <w:sz w:val="18"/>
          <w:szCs w:val="18"/>
          <w:lang w:val="en-GB"/>
        </w:rPr>
        <w:t>recurrence-free survival</w:t>
      </w:r>
      <w:r w:rsidRPr="00D44EE6">
        <w:rPr>
          <w:rFonts w:ascii="Arial" w:hAnsi="Arial" w:cs="Arial"/>
          <w:i/>
          <w:iCs/>
          <w:sz w:val="18"/>
          <w:szCs w:val="18"/>
          <w:lang w:val="en-GB"/>
        </w:rPr>
        <w:t xml:space="preserve"> </w:t>
      </w:r>
    </w:p>
    <w:p w14:paraId="4B02F2E1" w14:textId="77777777" w:rsidR="00045AC5" w:rsidRPr="00D44EE6" w:rsidRDefault="00045AC5">
      <w:pPr>
        <w:rPr>
          <w:rFonts w:ascii="Arial" w:hAnsi="Arial" w:cs="Arial"/>
          <w:b/>
          <w:i/>
          <w:lang w:val="en-GB"/>
        </w:rPr>
      </w:pPr>
    </w:p>
    <w:p w14:paraId="5C4582A4" w14:textId="6B8E3E8F" w:rsidR="00532546" w:rsidRPr="00D44EE6" w:rsidRDefault="00B35094">
      <w:pPr>
        <w:rPr>
          <w:rFonts w:ascii="Arial" w:hAnsi="Arial" w:cs="Arial"/>
          <w:u w:val="single"/>
          <w:lang w:val="en-GB"/>
        </w:rPr>
      </w:pPr>
      <w:r w:rsidRPr="00D44EE6">
        <w:rPr>
          <w:rFonts w:ascii="Arial" w:hAnsi="Arial" w:cs="Arial"/>
          <w:b/>
          <w:i/>
          <w:lang w:val="en-GB"/>
        </w:rPr>
        <w:br w:type="page"/>
      </w:r>
    </w:p>
    <w:p w14:paraId="71B1A76A" w14:textId="6379F386" w:rsidR="00532546" w:rsidRPr="00D44EE6" w:rsidRDefault="00532546" w:rsidP="00532546">
      <w:pPr>
        <w:pStyle w:val="Heading3"/>
        <w:rPr>
          <w:rFonts w:ascii="Arial" w:hAnsi="Arial" w:cs="Arial"/>
          <w:b/>
          <w:color w:val="auto"/>
          <w:lang w:val="en-GB"/>
        </w:rPr>
      </w:pPr>
      <w:r w:rsidRPr="00D44EE6">
        <w:rPr>
          <w:rFonts w:ascii="Arial" w:hAnsi="Arial" w:cs="Arial"/>
          <w:b/>
          <w:color w:val="auto"/>
          <w:lang w:val="en-GB"/>
        </w:rPr>
        <w:t>Online Resource Figures</w:t>
      </w:r>
    </w:p>
    <w:p w14:paraId="4191C5F7" w14:textId="77777777" w:rsidR="002D13FB" w:rsidRPr="00D44EE6" w:rsidRDefault="002D13FB" w:rsidP="00532546">
      <w:pPr>
        <w:pStyle w:val="Caption"/>
        <w:rPr>
          <w:rFonts w:ascii="Arial" w:hAnsi="Arial" w:cs="Arial"/>
          <w:b/>
          <w:i w:val="0"/>
          <w:color w:val="auto"/>
          <w:sz w:val="22"/>
          <w:szCs w:val="22"/>
          <w:lang w:val="en-GB"/>
        </w:rPr>
      </w:pPr>
    </w:p>
    <w:p w14:paraId="6FCDF012" w14:textId="39D52B11" w:rsidR="00E01296" w:rsidRPr="00D44EE6" w:rsidRDefault="00532546" w:rsidP="00E01296">
      <w:pPr>
        <w:rPr>
          <w:rFonts w:ascii="Arial" w:hAnsi="Arial" w:cs="Arial"/>
          <w:kern w:val="24"/>
        </w:rPr>
      </w:pPr>
      <w:r w:rsidRPr="00D44EE6">
        <w:rPr>
          <w:rFonts w:ascii="Arial" w:hAnsi="Arial" w:cs="Arial"/>
          <w:b/>
          <w:iCs/>
          <w:lang w:val="en-GB"/>
        </w:rPr>
        <w:t>Fig</w:t>
      </w:r>
      <w:r w:rsidR="00E01296" w:rsidRPr="00D44EE6">
        <w:rPr>
          <w:rFonts w:ascii="Arial" w:hAnsi="Arial" w:cs="Arial"/>
          <w:b/>
          <w:iCs/>
          <w:lang w:val="en-GB"/>
        </w:rPr>
        <w:t>.</w:t>
      </w:r>
      <w:r w:rsidRPr="00D44EE6">
        <w:rPr>
          <w:rFonts w:ascii="Arial" w:hAnsi="Arial" w:cs="Arial"/>
          <w:b/>
          <w:iCs/>
          <w:lang w:val="en-GB"/>
        </w:rPr>
        <w:t xml:space="preserve"> 1 </w:t>
      </w:r>
      <w:r w:rsidRPr="00D44EE6">
        <w:rPr>
          <w:rFonts w:ascii="Arial" w:hAnsi="Arial" w:cs="Arial"/>
          <w:bCs/>
          <w:iCs/>
          <w:lang w:val="en-GB"/>
        </w:rPr>
        <w:t xml:space="preserve">Efficiency frontier for the base case analysis in the subgroup with </w:t>
      </w:r>
      <w:r w:rsidRPr="00D44EE6">
        <w:rPr>
          <w:rFonts w:ascii="Arial" w:hAnsi="Arial" w:cs="Arial"/>
          <w:bCs/>
          <w:i/>
          <w:lang w:val="en-GB"/>
        </w:rPr>
        <w:t xml:space="preserve">BRAF </w:t>
      </w:r>
      <w:r w:rsidRPr="00D44EE6">
        <w:rPr>
          <w:rFonts w:ascii="Arial" w:hAnsi="Arial" w:cs="Arial"/>
          <w:bCs/>
          <w:iCs/>
          <w:lang w:val="en-GB"/>
        </w:rPr>
        <w:t>mutations</w:t>
      </w:r>
      <w:r w:rsidR="00E01296" w:rsidRPr="00D44EE6">
        <w:rPr>
          <w:rFonts w:ascii="Arial" w:hAnsi="Arial" w:cs="Arial"/>
          <w:bCs/>
          <w:iCs/>
          <w:lang w:val="en-GB"/>
        </w:rPr>
        <w:t xml:space="preserve">. </w:t>
      </w:r>
      <w:bookmarkStart w:id="1" w:name="_Hlk40190355"/>
      <w:r w:rsidR="00E01296" w:rsidRPr="00D44EE6">
        <w:rPr>
          <w:rFonts w:ascii="Arial" w:hAnsi="Arial" w:cs="Arial"/>
          <w:iCs/>
          <w:lang w:val="en-GB"/>
        </w:rPr>
        <w:t>All</w:t>
      </w:r>
      <w:r w:rsidR="00E01296" w:rsidRPr="00D44EE6">
        <w:rPr>
          <w:rFonts w:ascii="Arial" w:hAnsi="Arial" w:cs="Arial"/>
          <w:lang w:val="en-GB"/>
        </w:rPr>
        <w:t xml:space="preserve"> costs correspond to 2018 values</w:t>
      </w:r>
      <w:bookmarkEnd w:id="1"/>
      <w:r w:rsidR="00E01296" w:rsidRPr="00D44EE6">
        <w:rPr>
          <w:rFonts w:ascii="Arial" w:hAnsi="Arial" w:cs="Arial"/>
          <w:lang w:val="en-GB"/>
        </w:rPr>
        <w:t xml:space="preserve">. </w:t>
      </w:r>
      <w:r w:rsidR="00E01296" w:rsidRPr="00D44EE6">
        <w:rPr>
          <w:rFonts w:ascii="Arial" w:hAnsi="Arial" w:cs="Arial"/>
          <w:i/>
          <w:iCs/>
          <w:lang w:val="en-GB"/>
        </w:rPr>
        <w:t>QALY</w:t>
      </w:r>
      <w:r w:rsidR="00E01296" w:rsidRPr="00D44EE6">
        <w:rPr>
          <w:rFonts w:ascii="Arial" w:hAnsi="Arial" w:cs="Arial"/>
          <w:lang w:val="en-GB"/>
        </w:rPr>
        <w:t xml:space="preserve"> quality-adjusted life year</w:t>
      </w:r>
    </w:p>
    <w:p w14:paraId="1ACED7DF" w14:textId="77777777" w:rsidR="00F95269" w:rsidRPr="00D44EE6" w:rsidRDefault="00F95269" w:rsidP="00F95269">
      <w:pPr>
        <w:rPr>
          <w:rFonts w:ascii="Arial" w:hAnsi="Arial" w:cs="Arial"/>
          <w:b/>
          <w:iCs/>
          <w:lang w:val="en-GB"/>
        </w:rPr>
      </w:pPr>
    </w:p>
    <w:p w14:paraId="14EB8348" w14:textId="7DF77EF7" w:rsidR="00E01296" w:rsidRPr="00D44EE6" w:rsidRDefault="00532546" w:rsidP="00F95269">
      <w:pPr>
        <w:rPr>
          <w:rFonts w:ascii="Arial" w:hAnsi="Arial" w:cs="Arial"/>
          <w:b/>
          <w:iCs/>
          <w:sz w:val="18"/>
          <w:szCs w:val="18"/>
          <w:lang w:val="en-GB"/>
        </w:rPr>
      </w:pPr>
      <w:r w:rsidRPr="00D44EE6">
        <w:rPr>
          <w:rFonts w:ascii="Arial" w:hAnsi="Arial" w:cs="Arial"/>
          <w:b/>
          <w:iCs/>
          <w:lang w:val="en-GB"/>
        </w:rPr>
        <w:t>Fig</w:t>
      </w:r>
      <w:r w:rsidR="00F95269" w:rsidRPr="00D44EE6">
        <w:rPr>
          <w:rFonts w:ascii="Arial" w:hAnsi="Arial" w:cs="Arial"/>
          <w:b/>
          <w:iCs/>
          <w:lang w:val="en-GB"/>
        </w:rPr>
        <w:t>.</w:t>
      </w:r>
      <w:r w:rsidRPr="00D44EE6">
        <w:rPr>
          <w:rFonts w:ascii="Arial" w:hAnsi="Arial" w:cs="Arial"/>
          <w:b/>
          <w:iCs/>
          <w:lang w:val="en-GB"/>
        </w:rPr>
        <w:t xml:space="preserve"> 2 </w:t>
      </w:r>
      <w:r w:rsidRPr="00D44EE6">
        <w:rPr>
          <w:rFonts w:ascii="Arial" w:hAnsi="Arial" w:cs="Arial"/>
          <w:bCs/>
          <w:iCs/>
          <w:lang w:val="en-GB"/>
        </w:rPr>
        <w:t xml:space="preserve">Tornado diagram based on DSA results for nivolumab versus </w:t>
      </w:r>
      <w:r w:rsidR="00CD3421" w:rsidRPr="00D44EE6">
        <w:rPr>
          <w:rFonts w:ascii="Arial" w:hAnsi="Arial" w:cs="Arial"/>
          <w:bCs/>
          <w:iCs/>
          <w:lang w:val="en-GB"/>
        </w:rPr>
        <w:t>low-dose interferon</w:t>
      </w:r>
      <w:r w:rsidRPr="00D44EE6">
        <w:rPr>
          <w:rFonts w:ascii="Arial" w:hAnsi="Arial" w:cs="Arial"/>
          <w:bCs/>
          <w:iCs/>
          <w:lang w:val="en-GB"/>
        </w:rPr>
        <w:t xml:space="preserve"> (overall population ICUR = €37,886 QALY)</w:t>
      </w:r>
      <w:r w:rsidR="00E01296" w:rsidRPr="00D44EE6">
        <w:rPr>
          <w:rFonts w:ascii="Arial" w:hAnsi="Arial" w:cs="Arial"/>
          <w:bCs/>
          <w:iCs/>
          <w:lang w:val="en-GB"/>
        </w:rPr>
        <w:t>.</w:t>
      </w:r>
      <w:r w:rsidR="00E01296" w:rsidRPr="00D44EE6">
        <w:rPr>
          <w:rFonts w:ascii="Arial" w:hAnsi="Arial" w:cs="Arial"/>
          <w:bCs/>
          <w:i/>
          <w:lang w:val="en-GB"/>
        </w:rPr>
        <w:t xml:space="preserve"> </w:t>
      </w:r>
      <w:r w:rsidR="00E01296" w:rsidRPr="00D44EE6">
        <w:rPr>
          <w:rFonts w:ascii="Arial" w:hAnsi="Arial" w:cs="Arial"/>
          <w:lang w:val="en-GB"/>
        </w:rPr>
        <w:t xml:space="preserve">All costs correspond to 2018 values </w:t>
      </w:r>
      <w:r w:rsidR="00E01296" w:rsidRPr="00D44EE6">
        <w:rPr>
          <w:rFonts w:ascii="Arial" w:hAnsi="Arial" w:cs="Arial"/>
          <w:kern w:val="24"/>
        </w:rPr>
        <w:t xml:space="preserve">per QALY. </w:t>
      </w:r>
      <w:r w:rsidR="00E01296" w:rsidRPr="00D44EE6">
        <w:rPr>
          <w:rFonts w:ascii="Arial" w:hAnsi="Arial" w:cs="Arial"/>
          <w:lang w:val="en-GB"/>
        </w:rPr>
        <w:t>Subsequent distant cost entries reflect total treatment costs for distant metastases; correlation equation: beta reflects the beta values in the correlation equation</w:t>
      </w:r>
      <w:r w:rsidR="00E01296" w:rsidRPr="00D44EE6">
        <w:rPr>
          <w:rFonts w:ascii="Arial" w:hAnsi="Arial" w:cs="Arial"/>
          <w:kern w:val="24"/>
        </w:rPr>
        <w:t xml:space="preserve">. </w:t>
      </w:r>
      <w:r w:rsidR="00E01296" w:rsidRPr="00D44EE6">
        <w:rPr>
          <w:rFonts w:ascii="Arial" w:hAnsi="Arial" w:cs="Arial"/>
          <w:i/>
          <w:iCs/>
          <w:lang w:val="en-GB"/>
        </w:rPr>
        <w:t xml:space="preserve">DSA </w:t>
      </w:r>
      <w:r w:rsidR="00E01296" w:rsidRPr="00D44EE6">
        <w:rPr>
          <w:rFonts w:ascii="Arial" w:hAnsi="Arial" w:cs="Arial"/>
          <w:lang w:val="en-GB"/>
        </w:rPr>
        <w:t>deterministic sensitivity analysis,</w:t>
      </w:r>
      <w:r w:rsidR="00E01296" w:rsidRPr="00D44EE6">
        <w:rPr>
          <w:rFonts w:ascii="Arial" w:hAnsi="Arial" w:cs="Arial"/>
          <w:i/>
          <w:iCs/>
          <w:lang w:val="en-GB"/>
        </w:rPr>
        <w:t xml:space="preserve"> ICER </w:t>
      </w:r>
      <w:r w:rsidR="00E01296" w:rsidRPr="00D44EE6">
        <w:rPr>
          <w:rFonts w:ascii="Arial" w:hAnsi="Arial" w:cs="Arial"/>
          <w:lang w:val="en-GB"/>
        </w:rPr>
        <w:t>incremental cost-effectiveness ratio,</w:t>
      </w:r>
      <w:r w:rsidR="00E01296" w:rsidRPr="00D44EE6">
        <w:rPr>
          <w:rFonts w:ascii="Arial" w:hAnsi="Arial" w:cs="Arial"/>
          <w:i/>
          <w:iCs/>
          <w:lang w:val="en-GB"/>
        </w:rPr>
        <w:t xml:space="preserve"> ICUR</w:t>
      </w:r>
      <w:r w:rsidR="00E01296" w:rsidRPr="00D44EE6">
        <w:rPr>
          <w:rFonts w:ascii="Arial" w:hAnsi="Arial" w:cs="Arial"/>
          <w:lang w:val="en-GB"/>
        </w:rPr>
        <w:t xml:space="preserve"> incremental cost-utility ratio, </w:t>
      </w:r>
      <w:r w:rsidR="00E01296" w:rsidRPr="00D44EE6">
        <w:rPr>
          <w:rFonts w:ascii="Arial" w:hAnsi="Arial" w:cs="Arial"/>
          <w:i/>
          <w:iCs/>
          <w:lang w:val="en-GB"/>
        </w:rPr>
        <w:t xml:space="preserve">HR </w:t>
      </w:r>
      <w:r w:rsidR="00E01296" w:rsidRPr="00D44EE6">
        <w:rPr>
          <w:rFonts w:ascii="Arial" w:hAnsi="Arial" w:cs="Arial"/>
          <w:lang w:val="en-GB"/>
        </w:rPr>
        <w:t xml:space="preserve">hazard ratio, </w:t>
      </w:r>
      <w:r w:rsidR="00E01296" w:rsidRPr="00D44EE6">
        <w:rPr>
          <w:rFonts w:ascii="Arial" w:hAnsi="Arial" w:cs="Arial"/>
          <w:i/>
          <w:iCs/>
          <w:lang w:val="en-GB"/>
        </w:rPr>
        <w:t xml:space="preserve">OS </w:t>
      </w:r>
      <w:r w:rsidR="00E01296" w:rsidRPr="00D44EE6">
        <w:rPr>
          <w:rFonts w:ascii="Arial" w:hAnsi="Arial" w:cs="Arial"/>
          <w:lang w:val="en-GB"/>
        </w:rPr>
        <w:t xml:space="preserve">overall survival, </w:t>
      </w:r>
      <w:r w:rsidR="00E01296" w:rsidRPr="00D44EE6">
        <w:rPr>
          <w:rFonts w:ascii="Arial" w:hAnsi="Arial" w:cs="Arial"/>
          <w:i/>
          <w:iCs/>
          <w:lang w:val="en-GB"/>
        </w:rPr>
        <w:t>Q2W</w:t>
      </w:r>
      <w:r w:rsidR="00E01296" w:rsidRPr="00D44EE6">
        <w:rPr>
          <w:rFonts w:ascii="Arial" w:hAnsi="Arial" w:cs="Arial"/>
          <w:lang w:val="en-GB"/>
        </w:rPr>
        <w:t xml:space="preserve"> every 2 weeks, QALY quality-adjusted life year, </w:t>
      </w:r>
      <w:r w:rsidR="00E01296" w:rsidRPr="00D44EE6">
        <w:rPr>
          <w:rFonts w:ascii="Arial" w:hAnsi="Arial" w:cs="Arial"/>
          <w:i/>
          <w:iCs/>
          <w:lang w:val="en-GB"/>
        </w:rPr>
        <w:t>RFS</w:t>
      </w:r>
      <w:r w:rsidR="00E01296" w:rsidRPr="00D44EE6">
        <w:rPr>
          <w:rFonts w:ascii="Arial" w:hAnsi="Arial" w:cs="Arial"/>
          <w:lang w:val="en-GB"/>
        </w:rPr>
        <w:t xml:space="preserve"> recurrence-free survival</w:t>
      </w:r>
    </w:p>
    <w:p w14:paraId="2055850D" w14:textId="77777777" w:rsidR="00F95269" w:rsidRPr="00D44EE6" w:rsidRDefault="00F95269" w:rsidP="00E01296">
      <w:pPr>
        <w:rPr>
          <w:rFonts w:ascii="Arial" w:hAnsi="Arial" w:cs="Arial"/>
          <w:b/>
          <w:iCs/>
          <w:lang w:val="en-GB"/>
        </w:rPr>
      </w:pPr>
    </w:p>
    <w:p w14:paraId="0DE1D35A" w14:textId="7E0BA8BE" w:rsidR="00E01296" w:rsidRPr="00D44EE6" w:rsidRDefault="00532546" w:rsidP="00E01296">
      <w:pPr>
        <w:rPr>
          <w:rFonts w:ascii="Arial" w:hAnsi="Arial" w:cs="Arial"/>
          <w:sz w:val="18"/>
          <w:lang w:val="en-GB"/>
        </w:rPr>
      </w:pPr>
      <w:r w:rsidRPr="00D44EE6">
        <w:rPr>
          <w:rFonts w:ascii="Arial" w:hAnsi="Arial" w:cs="Arial"/>
          <w:b/>
          <w:iCs/>
          <w:lang w:val="en-GB"/>
        </w:rPr>
        <w:t>Fig</w:t>
      </w:r>
      <w:r w:rsidR="00E01296" w:rsidRPr="00D44EE6">
        <w:rPr>
          <w:rFonts w:ascii="Arial" w:hAnsi="Arial" w:cs="Arial"/>
          <w:b/>
          <w:iCs/>
          <w:lang w:val="en-GB"/>
        </w:rPr>
        <w:t>.</w:t>
      </w:r>
      <w:r w:rsidRPr="00D44EE6">
        <w:rPr>
          <w:rFonts w:ascii="Arial" w:hAnsi="Arial" w:cs="Arial"/>
          <w:b/>
          <w:iCs/>
          <w:lang w:val="en-GB"/>
        </w:rPr>
        <w:t xml:space="preserve"> </w:t>
      </w:r>
      <w:r w:rsidRPr="00D44EE6">
        <w:rPr>
          <w:rFonts w:ascii="Arial" w:hAnsi="Arial" w:cs="Arial"/>
          <w:b/>
          <w:iCs/>
        </w:rPr>
        <w:t>3</w:t>
      </w:r>
      <w:r w:rsidRPr="00D44EE6">
        <w:rPr>
          <w:rFonts w:ascii="Arial" w:hAnsi="Arial" w:cs="Arial"/>
          <w:bCs/>
          <w:iCs/>
          <w:lang w:val="en-GB"/>
        </w:rPr>
        <w:t xml:space="preserve"> Scatterplot of incremental costs and QALYs for nivolumab versus </w:t>
      </w:r>
      <w:r w:rsidR="00CD3421" w:rsidRPr="00D44EE6">
        <w:rPr>
          <w:rFonts w:ascii="Arial" w:hAnsi="Arial" w:cs="Arial"/>
          <w:bCs/>
          <w:iCs/>
          <w:lang w:val="en-GB"/>
        </w:rPr>
        <w:t>low-dose interferon</w:t>
      </w:r>
      <w:r w:rsidRPr="00D44EE6">
        <w:rPr>
          <w:rFonts w:ascii="Arial" w:hAnsi="Arial" w:cs="Arial"/>
          <w:bCs/>
          <w:iCs/>
          <w:lang w:val="en-GB"/>
        </w:rPr>
        <w:t xml:space="preserve"> (1000 iterations of PSA)</w:t>
      </w:r>
      <w:r w:rsidR="00E01296" w:rsidRPr="00D44EE6">
        <w:rPr>
          <w:rFonts w:ascii="Arial" w:hAnsi="Arial" w:cs="Arial"/>
          <w:bCs/>
          <w:iCs/>
          <w:lang w:val="en-GB"/>
        </w:rPr>
        <w:t>.</w:t>
      </w:r>
      <w:r w:rsidR="00E01296" w:rsidRPr="00D44EE6">
        <w:rPr>
          <w:rFonts w:ascii="Arial" w:hAnsi="Arial" w:cs="Arial"/>
          <w:bCs/>
          <w:i/>
          <w:lang w:val="en-GB"/>
        </w:rPr>
        <w:t xml:space="preserve"> </w:t>
      </w:r>
      <w:r w:rsidR="00E01296" w:rsidRPr="00D44EE6">
        <w:rPr>
          <w:rFonts w:ascii="Arial" w:hAnsi="Arial" w:cs="Arial"/>
          <w:i/>
          <w:iCs/>
          <w:lang w:val="en-GB"/>
        </w:rPr>
        <w:t>PSA</w:t>
      </w:r>
      <w:r w:rsidR="00E01296" w:rsidRPr="00D44EE6">
        <w:rPr>
          <w:rFonts w:ascii="Arial" w:hAnsi="Arial" w:cs="Arial"/>
          <w:lang w:val="en-GB"/>
        </w:rPr>
        <w:t xml:space="preserve"> probabilistic sensitivity analysis, </w:t>
      </w:r>
      <w:r w:rsidR="00E01296" w:rsidRPr="00D44EE6">
        <w:rPr>
          <w:rFonts w:ascii="Arial" w:hAnsi="Arial" w:cs="Arial"/>
          <w:i/>
          <w:iCs/>
          <w:lang w:val="en-GB"/>
        </w:rPr>
        <w:t>QALY</w:t>
      </w:r>
      <w:r w:rsidR="00E01296" w:rsidRPr="00D44EE6">
        <w:rPr>
          <w:rFonts w:ascii="Arial" w:hAnsi="Arial" w:cs="Arial"/>
          <w:lang w:val="en-GB"/>
        </w:rPr>
        <w:t xml:space="preserve"> quality-adjusted life year</w:t>
      </w:r>
    </w:p>
    <w:p w14:paraId="3F8E7783" w14:textId="3AB35C1F" w:rsidR="00532546" w:rsidRPr="00D44EE6" w:rsidRDefault="00532546" w:rsidP="009B478D">
      <w:pPr>
        <w:pStyle w:val="Caption"/>
        <w:spacing w:after="0" w:line="480" w:lineRule="auto"/>
        <w:rPr>
          <w:rFonts w:ascii="Arial" w:hAnsi="Arial" w:cs="Arial"/>
          <w:b/>
          <w:i w:val="0"/>
          <w:color w:val="auto"/>
          <w:sz w:val="22"/>
          <w:szCs w:val="22"/>
          <w:lang w:val="en-GB"/>
        </w:rPr>
      </w:pPr>
    </w:p>
    <w:p w14:paraId="578BB23B" w14:textId="00C35C10" w:rsidR="00532546" w:rsidRPr="00D44EE6" w:rsidRDefault="00532546" w:rsidP="00532546">
      <w:pPr>
        <w:rPr>
          <w:rFonts w:ascii="Arial" w:hAnsi="Arial" w:cs="Arial"/>
          <w:lang w:val="en-GB"/>
        </w:rPr>
      </w:pPr>
    </w:p>
    <w:p w14:paraId="51753770" w14:textId="3AC63DCB" w:rsidR="00532546" w:rsidRPr="00D44EE6" w:rsidRDefault="00532546">
      <w:pPr>
        <w:rPr>
          <w:rFonts w:asciiTheme="majorHAnsi" w:eastAsiaTheme="majorEastAsia" w:hAnsiTheme="majorHAnsi" w:cstheme="majorBidi"/>
          <w:b/>
          <w:sz w:val="24"/>
          <w:szCs w:val="24"/>
          <w:lang w:val="en-GB"/>
        </w:rPr>
      </w:pPr>
      <w:r w:rsidRPr="00D44EE6">
        <w:rPr>
          <w:rFonts w:ascii="Arial" w:hAnsi="Arial" w:cs="Arial"/>
          <w:b/>
          <w:lang w:val="en-GB"/>
        </w:rPr>
        <w:br w:type="page"/>
      </w:r>
    </w:p>
    <w:p w14:paraId="0513BEC7" w14:textId="5659E363" w:rsidR="0003475D" w:rsidRPr="00D44EE6" w:rsidRDefault="00881C05" w:rsidP="00E71808">
      <w:pPr>
        <w:rPr>
          <w:rFonts w:ascii="Arial" w:hAnsi="Arial" w:cs="Arial"/>
          <w:b/>
          <w:lang w:val="en-GB"/>
        </w:rPr>
      </w:pPr>
      <w:r w:rsidRPr="00D44EE6">
        <w:rPr>
          <w:rFonts w:ascii="Arial" w:hAnsi="Arial" w:cs="Arial"/>
          <w:b/>
          <w:lang w:val="en-GB"/>
        </w:rPr>
        <w:t>References</w:t>
      </w:r>
    </w:p>
    <w:p w14:paraId="2D5C8ABD" w14:textId="5969FD8B" w:rsidR="00FF45B1" w:rsidRPr="00D44EE6" w:rsidRDefault="00FF45B1" w:rsidP="006A06F2">
      <w:pPr>
        <w:pStyle w:val="EndNoteBibliography"/>
        <w:spacing w:after="0"/>
        <w:ind w:left="720" w:hanging="720"/>
      </w:pPr>
      <w:r w:rsidRPr="00D44EE6">
        <w:t>1.</w:t>
      </w:r>
      <w:r w:rsidRPr="00D44EE6">
        <w:tab/>
        <w:t xml:space="preserve">Hancock BW, Wheatley K, Harris S, et al. Adjuvant interferon in high-risk melanoma: the AIM HIGH Study--United Kingdom Coordinating Committee on Cancer Research randomized study of adjuvant low-dose extended-duration interferon Alfa-2a in high-risk resected malignant melanoma. J Clin Oncol. 2004;22(1):53-61. </w:t>
      </w:r>
    </w:p>
    <w:p w14:paraId="219338B7" w14:textId="77777777" w:rsidR="00FF45B1" w:rsidRPr="00D44EE6" w:rsidRDefault="00FF45B1" w:rsidP="006A06F2">
      <w:pPr>
        <w:pStyle w:val="EndNoteBibliography"/>
        <w:spacing w:after="0"/>
        <w:ind w:left="720" w:hanging="720"/>
      </w:pPr>
      <w:r w:rsidRPr="00D44EE6">
        <w:t>2.</w:t>
      </w:r>
      <w:r w:rsidRPr="00D44EE6">
        <w:tab/>
        <w:t xml:space="preserve">Eggermont AM, Suciu S, Santinami M, et al. Adjuvant therapy with pegylated interferon alfa-2b versus observation alone in resected stage III melanoma: final results of EORTC 18991, a randomised phase III trial. Lancet. 2008;372(9633):117-26. </w:t>
      </w:r>
    </w:p>
    <w:p w14:paraId="3BDC28CF" w14:textId="77777777" w:rsidR="00FF45B1" w:rsidRPr="00D44EE6" w:rsidRDefault="00FF45B1" w:rsidP="00FF29F0">
      <w:pPr>
        <w:pStyle w:val="EndNoteBibliography"/>
        <w:spacing w:after="0"/>
        <w:ind w:left="720" w:hanging="720"/>
      </w:pPr>
      <w:r w:rsidRPr="00D44EE6">
        <w:t>3.</w:t>
      </w:r>
      <w:r w:rsidRPr="00D44EE6">
        <w:tab/>
        <w:t xml:space="preserve">Garbe C, Radny P, Linse R, et al. Adjuvant low-dose interferon {alpha}2a with or without dacarbazine compared with surgery alone: a prospective-randomized phase III DeCOG trial in melanoma patients with regional lymph node metastasis. Ann Oncol. 2008;19(6):1195-201. </w:t>
      </w:r>
    </w:p>
    <w:p w14:paraId="6B3BE27E" w14:textId="77777777" w:rsidR="00FF45B1" w:rsidRPr="00D44EE6" w:rsidRDefault="00FF45B1" w:rsidP="00FF29F0">
      <w:pPr>
        <w:pStyle w:val="EndNoteBibliography"/>
        <w:spacing w:after="0"/>
        <w:ind w:left="720" w:hanging="720"/>
      </w:pPr>
      <w:r w:rsidRPr="00D44EE6">
        <w:t>4.</w:t>
      </w:r>
      <w:r w:rsidRPr="00D44EE6">
        <w:tab/>
        <w:t xml:space="preserve">Agarwala SS, Lee SJ, Yip W, et al. Phase III randomized study of 4 weeks of high-dose interferon-alpha-2b in stage T2bNO, T3a-bNO, T4a-bNO, and T1-4N1a-2a (microscopic) melanoma: a trial of the Eastern Cooperative Oncology Group-American College of Radiology Imaging Network Cancer Research Group (E1697). J Clin Oncol. 2017;35(8):885-92. </w:t>
      </w:r>
    </w:p>
    <w:p w14:paraId="18E930E4" w14:textId="77777777" w:rsidR="00FF45B1" w:rsidRPr="00D44EE6" w:rsidRDefault="00FF45B1" w:rsidP="00FF29F0">
      <w:pPr>
        <w:pStyle w:val="EndNoteBibliography"/>
        <w:spacing w:after="0"/>
        <w:ind w:left="720" w:hanging="720"/>
      </w:pPr>
      <w:r w:rsidRPr="00D44EE6">
        <w:t>5.</w:t>
      </w:r>
      <w:r w:rsidRPr="00D44EE6">
        <w:tab/>
        <w:t xml:space="preserve">Eggermont AMM, Blank CU, Mandala M, et al. Adjuvant pembrolizumab versus placebo in resected stage III melanoma. N Engl J Med. 2018;378(19):1789-801. </w:t>
      </w:r>
    </w:p>
    <w:p w14:paraId="0161C6D4" w14:textId="77777777" w:rsidR="00FF45B1" w:rsidRPr="00D44EE6" w:rsidRDefault="00FF45B1" w:rsidP="00FF29F0">
      <w:pPr>
        <w:pStyle w:val="EndNoteBibliography"/>
        <w:spacing w:after="0"/>
        <w:ind w:left="720" w:hanging="720"/>
      </w:pPr>
      <w:r w:rsidRPr="00D44EE6">
        <w:t>6.</w:t>
      </w:r>
      <w:r w:rsidRPr="00D44EE6">
        <w:tab/>
        <w:t xml:space="preserve">Griffiths A, Paracha N, Davies A, et al. Analyzing health-related quality of life data to estimate parameters for cost-effectiveness models: an example using longitudinal EQ-5D data from the SHIFT randomized controlled trial. Adv Ther. 2017;34(3):753-64. </w:t>
      </w:r>
    </w:p>
    <w:p w14:paraId="1057E07D" w14:textId="77777777" w:rsidR="00FF45B1" w:rsidRPr="00D44EE6" w:rsidRDefault="00FF45B1" w:rsidP="00FF29F0">
      <w:pPr>
        <w:pStyle w:val="EndNoteBibliography"/>
        <w:spacing w:after="0"/>
        <w:ind w:left="720" w:hanging="720"/>
      </w:pPr>
      <w:r w:rsidRPr="00D44EE6">
        <w:t>7.</w:t>
      </w:r>
      <w:r w:rsidRPr="00D44EE6">
        <w:tab/>
        <w:t xml:space="preserve">Chevalier J, de Pouvourville G. Valuing EQ-5D using time trade-off in France. Eur J Health Econ. 2013;14(1):57-66. </w:t>
      </w:r>
    </w:p>
    <w:p w14:paraId="64384339" w14:textId="77777777" w:rsidR="00FF45B1" w:rsidRPr="00D44EE6" w:rsidRDefault="00FF45B1" w:rsidP="00FF29F0">
      <w:pPr>
        <w:pStyle w:val="EndNoteBibliography"/>
        <w:spacing w:after="0"/>
        <w:ind w:left="720" w:hanging="720"/>
      </w:pPr>
      <w:r w:rsidRPr="00D44EE6">
        <w:t>8.</w:t>
      </w:r>
      <w:r w:rsidRPr="00D44EE6">
        <w:tab/>
        <w:t xml:space="preserve">Beusterien KM, Szabo SM, Kotapati S, et al. Societal preference values for advanced melanoma health states in the United Kingdom and Australia. Br J Cancer. 2009;101(3):387-9. </w:t>
      </w:r>
    </w:p>
    <w:p w14:paraId="1E5B172D" w14:textId="77777777" w:rsidR="00FF45B1" w:rsidRPr="00D44EE6" w:rsidRDefault="00FF45B1" w:rsidP="00FF29F0">
      <w:pPr>
        <w:pStyle w:val="EndNoteBibliography"/>
        <w:spacing w:after="0"/>
        <w:ind w:left="720" w:hanging="720"/>
      </w:pPr>
      <w:r w:rsidRPr="00D44EE6">
        <w:t>9.</w:t>
      </w:r>
      <w:r w:rsidRPr="00D44EE6">
        <w:tab/>
        <w:t xml:space="preserve">Beusterien KM, Davies J, Leach M, et al. Population preference values for treatment outcomes in chronic lymphocytic leukaemia: a cross-sectional utility study. Health Qual Life Outcomes. 2010;8:50. </w:t>
      </w:r>
    </w:p>
    <w:p w14:paraId="121DF0DB" w14:textId="77777777" w:rsidR="00FF45B1" w:rsidRPr="00D44EE6" w:rsidRDefault="00FF45B1" w:rsidP="00FF29F0">
      <w:pPr>
        <w:pStyle w:val="EndNoteBibliography"/>
        <w:spacing w:after="0"/>
        <w:ind w:left="720" w:hanging="720"/>
      </w:pPr>
      <w:r w:rsidRPr="00D44EE6">
        <w:t>10.</w:t>
      </w:r>
      <w:r w:rsidRPr="00D44EE6">
        <w:tab/>
        <w:t xml:space="preserve">Nafees B, Stafford M, Gavriel S, et al. Health state utilities for non small cell lung cancer. Health Qual Life Outcomes. 2008;6:84. </w:t>
      </w:r>
    </w:p>
    <w:p w14:paraId="331AFA0C" w14:textId="77777777" w:rsidR="00FF45B1" w:rsidRPr="00D44EE6" w:rsidRDefault="00FF45B1" w:rsidP="00FF29F0">
      <w:pPr>
        <w:pStyle w:val="EndNoteBibliography"/>
        <w:spacing w:after="0"/>
        <w:ind w:left="720" w:hanging="720"/>
      </w:pPr>
      <w:r w:rsidRPr="00D44EE6">
        <w:t>11.</w:t>
      </w:r>
      <w:r w:rsidRPr="00D44EE6">
        <w:tab/>
        <w:t xml:space="preserve">Gallop K, Acaster S, Nafees B, et al. Disutilities associated with central nervous system (CNS) side effects of antiretroviral therapy (ART) in HIV. Value Health. 2015;18(7):A590. </w:t>
      </w:r>
    </w:p>
    <w:p w14:paraId="75B57367" w14:textId="77777777" w:rsidR="00FF45B1" w:rsidRPr="00D44EE6" w:rsidRDefault="00FF45B1" w:rsidP="00FF29F0">
      <w:pPr>
        <w:pStyle w:val="EndNoteBibliography"/>
        <w:spacing w:after="0"/>
        <w:ind w:left="720" w:hanging="720"/>
      </w:pPr>
      <w:r w:rsidRPr="00D44EE6">
        <w:t>12.</w:t>
      </w:r>
      <w:r w:rsidRPr="00D44EE6">
        <w:tab/>
        <w:t xml:space="preserve">Hagiwara Y, Shiroiwa T, Shimozuma K, et al. Impact of adverse events on health utility and health-related quality of life in patients receiving first-line chemotherapy for metastatic breast cancer: results from the SELECT BC study. Pharmacoeconomics. 2018;36(2):215-23. </w:t>
      </w:r>
    </w:p>
    <w:p w14:paraId="6D5A6B29" w14:textId="656B5989" w:rsidR="00FF45B1" w:rsidRPr="00D44EE6" w:rsidRDefault="00FF45B1" w:rsidP="00FF29F0">
      <w:pPr>
        <w:pStyle w:val="EndNoteBibliography"/>
        <w:spacing w:after="0"/>
        <w:ind w:left="720" w:hanging="720"/>
      </w:pPr>
      <w:r w:rsidRPr="00D44EE6">
        <w:t>13.</w:t>
      </w:r>
      <w:r w:rsidRPr="00D44EE6">
        <w:tab/>
        <w:t>Grang</w:t>
      </w:r>
      <w:r w:rsidR="00982F98" w:rsidRPr="00D44EE6">
        <w:t>é</w:t>
      </w:r>
      <w:r w:rsidRPr="00D44EE6">
        <w:t xml:space="preserve"> F, Mohr P, Harries M, et al. Economic burden of advanced melanoma in France, Germany and the UK: a retrospective observational study (Melanoma Burden-of-Illness Study). Melanoma Res. 2017;27(6):607-18. </w:t>
      </w:r>
    </w:p>
    <w:p w14:paraId="1153BE99" w14:textId="6478AF14" w:rsidR="00FF45B1" w:rsidRPr="00D44EE6" w:rsidRDefault="00FF45B1" w:rsidP="00FF29F0">
      <w:pPr>
        <w:pStyle w:val="EndNoteBibliography"/>
        <w:spacing w:after="0"/>
        <w:ind w:left="720" w:hanging="720"/>
      </w:pPr>
      <w:r w:rsidRPr="00D44EE6">
        <w:t>14.</w:t>
      </w:r>
      <w:r w:rsidRPr="00D44EE6">
        <w:tab/>
        <w:t xml:space="preserve">Cour des comptes. September 2012. Sécurité sociale 2012. Les transports de patients à la charge de l’assurance maladie. https://www.ccomptes.fr/sites/default/files/EzPublish/rapport_securite_sociale_2012_version_integrale.pdf. </w:t>
      </w:r>
      <w:r w:rsidR="004A5273" w:rsidRPr="00D44EE6">
        <w:t>Last a</w:t>
      </w:r>
      <w:r w:rsidRPr="00D44EE6">
        <w:t xml:space="preserve">ccessed </w:t>
      </w:r>
      <w:r w:rsidR="004A5273" w:rsidRPr="00D44EE6">
        <w:t>June 6</w:t>
      </w:r>
      <w:r w:rsidRPr="00D44EE6">
        <w:t>, 2020.</w:t>
      </w:r>
    </w:p>
    <w:p w14:paraId="587B27B7" w14:textId="77777777" w:rsidR="00FF45B1" w:rsidRPr="00D44EE6" w:rsidRDefault="00FF45B1" w:rsidP="00FF29F0">
      <w:pPr>
        <w:pStyle w:val="EndNoteBibliography"/>
        <w:spacing w:after="0"/>
        <w:ind w:left="720" w:hanging="720"/>
      </w:pPr>
      <w:r w:rsidRPr="00D44EE6">
        <w:t>15.</w:t>
      </w:r>
      <w:r w:rsidRPr="00D44EE6">
        <w:tab/>
        <w:t xml:space="preserve">Mickisch G, Gore M, Escudier B, et al. Costs of managing adverse events in the treatment of first-line metastatic renal cell carcinoma: bevacizumab in combination with interferon-alpha2a compared with sunitinib. Br J Cancer. 2010;102(1):80-6. </w:t>
      </w:r>
    </w:p>
    <w:p w14:paraId="16972E6E" w14:textId="77777777" w:rsidR="00FF45B1" w:rsidRPr="00D44EE6" w:rsidRDefault="00FF45B1" w:rsidP="00FF29F0">
      <w:pPr>
        <w:pStyle w:val="EndNoteBibliography"/>
        <w:spacing w:after="0"/>
        <w:ind w:left="720" w:hanging="720"/>
      </w:pPr>
      <w:r w:rsidRPr="00D44EE6">
        <w:t>16.</w:t>
      </w:r>
      <w:r w:rsidRPr="00D44EE6">
        <w:tab/>
        <w:t xml:space="preserve">Fernandes J, Bregman B, Combemale P, et al. Hospitalisation costs of metastatic melanoma in France; the MELISSA study (MELanoma In hoSpital coSts Assessment). BMC Health Serv Res. 2017;17(1):542. </w:t>
      </w:r>
    </w:p>
    <w:p w14:paraId="75CDC62F" w14:textId="77777777" w:rsidR="00FF45B1" w:rsidRPr="00D44EE6" w:rsidRDefault="00FF45B1" w:rsidP="00FF29F0">
      <w:pPr>
        <w:pStyle w:val="EndNoteBibliography"/>
        <w:spacing w:after="0"/>
        <w:ind w:left="720" w:hanging="720"/>
      </w:pPr>
      <w:r w:rsidRPr="00D44EE6">
        <w:t>17.</w:t>
      </w:r>
      <w:r w:rsidRPr="00D44EE6">
        <w:tab/>
        <w:t xml:space="preserve">Cemka Eval. Direct and indirect costs of recurrent or metastatic head and neck cancer in France: a nationwide insurance database analysis. Interim report 2016-103. May 12, 2017. </w:t>
      </w:r>
    </w:p>
    <w:p w14:paraId="642035D7" w14:textId="77777777" w:rsidR="00FF45B1" w:rsidRPr="00D44EE6" w:rsidRDefault="00FF45B1" w:rsidP="00FF29F0">
      <w:pPr>
        <w:pStyle w:val="EndNoteBibliography"/>
        <w:spacing w:after="0"/>
        <w:ind w:left="720" w:hanging="720"/>
      </w:pPr>
      <w:r w:rsidRPr="00D44EE6">
        <w:t>18.</w:t>
      </w:r>
      <w:r w:rsidRPr="00D44EE6">
        <w:tab/>
        <w:t xml:space="preserve">Brown B, Diamantopoulos A, Bernier J, et al. An economic evaluation of cetuximab combined with radiotherapy for patients with locally advanced head and neck cancer in Belgium, France, Italy, Switzerland, and the United Kingdom. Value Health. 2008;11(5):791-9. </w:t>
      </w:r>
    </w:p>
    <w:p w14:paraId="433CBC17" w14:textId="312F80A1" w:rsidR="00FF45B1" w:rsidRPr="00D44EE6" w:rsidRDefault="00FF45B1" w:rsidP="00FF29F0">
      <w:pPr>
        <w:pStyle w:val="EndNoteBibliography"/>
        <w:spacing w:after="0"/>
        <w:ind w:left="720" w:hanging="720"/>
      </w:pPr>
      <w:r w:rsidRPr="00D44EE6">
        <w:t>19.</w:t>
      </w:r>
      <w:r w:rsidRPr="00D44EE6">
        <w:tab/>
        <w:t xml:space="preserve">Haute Autorité de Santé. March 22, 2016. Avis d’efficience Mekinist®. https://www.has-sante.fr/upload/docs/application/pdf/2017-01/mekinist_-_avis_defficience.pdf. </w:t>
      </w:r>
      <w:r w:rsidR="004A5273" w:rsidRPr="00D44EE6">
        <w:t>Last accessed</w:t>
      </w:r>
      <w:r w:rsidRPr="00D44EE6">
        <w:t xml:space="preserve"> </w:t>
      </w:r>
      <w:r w:rsidR="004A5273" w:rsidRPr="00D44EE6">
        <w:t>June</w:t>
      </w:r>
      <w:r w:rsidRPr="00D44EE6">
        <w:t xml:space="preserve"> </w:t>
      </w:r>
      <w:r w:rsidR="004A5273" w:rsidRPr="00D44EE6">
        <w:t>6</w:t>
      </w:r>
      <w:r w:rsidRPr="00D44EE6">
        <w:t>, 2020.</w:t>
      </w:r>
    </w:p>
    <w:p w14:paraId="55B10B19" w14:textId="47E30201" w:rsidR="00FF45B1" w:rsidRPr="00D44EE6" w:rsidRDefault="00FF45B1" w:rsidP="00FF29F0">
      <w:pPr>
        <w:pStyle w:val="EndNoteBibliography"/>
        <w:ind w:left="720" w:hanging="720"/>
      </w:pPr>
      <w:r w:rsidRPr="00D44EE6">
        <w:t>20.</w:t>
      </w:r>
      <w:r w:rsidRPr="00D44EE6">
        <w:tab/>
        <w:t xml:space="preserve">Mekinist® EPAR Product Information. https://www.ema.europa.eu/en/medicines/human/EPAR/mekinist#product-information-section. </w:t>
      </w:r>
      <w:r w:rsidR="004A5273" w:rsidRPr="00D44EE6">
        <w:t>Last a</w:t>
      </w:r>
      <w:r w:rsidRPr="00D44EE6">
        <w:t>ccessed June 6, 20</w:t>
      </w:r>
      <w:r w:rsidR="004A5273" w:rsidRPr="00D44EE6">
        <w:t>20</w:t>
      </w:r>
      <w:r w:rsidRPr="00D44EE6">
        <w:t>.</w:t>
      </w:r>
    </w:p>
    <w:p w14:paraId="659DA8DE" w14:textId="04E17C4B" w:rsidR="009B63AF" w:rsidRPr="00D44EE6" w:rsidRDefault="009B63AF" w:rsidP="00E71808">
      <w:pPr>
        <w:rPr>
          <w:rFonts w:ascii="Arial" w:hAnsi="Arial" w:cs="Arial"/>
          <w:b/>
          <w:lang w:val="en-GB"/>
        </w:rPr>
      </w:pPr>
    </w:p>
    <w:sectPr w:rsidR="009B63AF" w:rsidRPr="00D44EE6" w:rsidSect="004E3626">
      <w:footerReference w:type="default" r:id="rId11"/>
      <w:endnotePr>
        <w:numFmt w:val="decimal"/>
      </w:endnotePr>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D4A98C" w14:textId="77777777" w:rsidR="0037218A" w:rsidRDefault="0037218A" w:rsidP="009B63AF">
      <w:pPr>
        <w:spacing w:after="0" w:line="240" w:lineRule="auto"/>
      </w:pPr>
      <w:r>
        <w:separator/>
      </w:r>
    </w:p>
  </w:endnote>
  <w:endnote w:type="continuationSeparator" w:id="0">
    <w:p w14:paraId="669BDA37" w14:textId="77777777" w:rsidR="0037218A" w:rsidRDefault="0037218A" w:rsidP="009B6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1287480"/>
      <w:docPartObj>
        <w:docPartGallery w:val="Page Numbers (Bottom of Page)"/>
        <w:docPartUnique/>
      </w:docPartObj>
    </w:sdtPr>
    <w:sdtEndPr/>
    <w:sdtContent>
      <w:p w14:paraId="56CC829E" w14:textId="66062996" w:rsidR="0037218A" w:rsidRDefault="0037218A">
        <w:pPr>
          <w:pStyle w:val="Footer"/>
          <w:jc w:val="center"/>
        </w:pPr>
        <w:r>
          <w:fldChar w:fldCharType="begin"/>
        </w:r>
        <w:r>
          <w:instrText>PAGE   \* MERGEFORMAT</w:instrText>
        </w:r>
        <w:r>
          <w:fldChar w:fldCharType="separate"/>
        </w:r>
        <w:r>
          <w:rPr>
            <w:noProof/>
          </w:rPr>
          <w:t>6</w:t>
        </w:r>
        <w:r>
          <w:fldChar w:fldCharType="end"/>
        </w:r>
      </w:p>
    </w:sdtContent>
  </w:sdt>
  <w:p w14:paraId="7EBBD8D6" w14:textId="77777777" w:rsidR="0037218A" w:rsidRDefault="003721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B72C70" w14:textId="77777777" w:rsidR="0037218A" w:rsidRDefault="0037218A" w:rsidP="009B63AF">
      <w:pPr>
        <w:spacing w:after="0" w:line="240" w:lineRule="auto"/>
      </w:pPr>
      <w:r>
        <w:separator/>
      </w:r>
    </w:p>
  </w:footnote>
  <w:footnote w:type="continuationSeparator" w:id="0">
    <w:p w14:paraId="01E65BCA" w14:textId="77777777" w:rsidR="0037218A" w:rsidRDefault="0037218A" w:rsidP="009B63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B066C6C0"/>
    <w:lvl w:ilvl="0">
      <w:start w:val="1"/>
      <w:numFmt w:val="decimal"/>
      <w:lvlText w:val="%1."/>
      <w:lvlJc w:val="left"/>
      <w:pPr>
        <w:tabs>
          <w:tab w:val="num" w:pos="1492"/>
        </w:tabs>
        <w:ind w:left="1492" w:hanging="360"/>
      </w:pPr>
    </w:lvl>
  </w:abstractNum>
  <w:abstractNum w:abstractNumId="1">
    <w:nsid w:val="FFFFFF7D"/>
    <w:multiLevelType w:val="singleLevel"/>
    <w:tmpl w:val="948E8730"/>
    <w:lvl w:ilvl="0">
      <w:start w:val="1"/>
      <w:numFmt w:val="decimal"/>
      <w:lvlText w:val="%1."/>
      <w:lvlJc w:val="left"/>
      <w:pPr>
        <w:tabs>
          <w:tab w:val="num" w:pos="1209"/>
        </w:tabs>
        <w:ind w:left="1209" w:hanging="360"/>
      </w:pPr>
    </w:lvl>
  </w:abstractNum>
  <w:abstractNum w:abstractNumId="2">
    <w:nsid w:val="FFFFFF7E"/>
    <w:multiLevelType w:val="singleLevel"/>
    <w:tmpl w:val="7A7A2C02"/>
    <w:lvl w:ilvl="0">
      <w:start w:val="1"/>
      <w:numFmt w:val="decimal"/>
      <w:lvlText w:val="%1."/>
      <w:lvlJc w:val="left"/>
      <w:pPr>
        <w:tabs>
          <w:tab w:val="num" w:pos="926"/>
        </w:tabs>
        <w:ind w:left="926" w:hanging="360"/>
      </w:pPr>
    </w:lvl>
  </w:abstractNum>
  <w:abstractNum w:abstractNumId="3">
    <w:nsid w:val="FFFFFF7F"/>
    <w:multiLevelType w:val="singleLevel"/>
    <w:tmpl w:val="21D65AC4"/>
    <w:lvl w:ilvl="0">
      <w:start w:val="1"/>
      <w:numFmt w:val="decimal"/>
      <w:lvlText w:val="%1."/>
      <w:lvlJc w:val="left"/>
      <w:pPr>
        <w:tabs>
          <w:tab w:val="num" w:pos="643"/>
        </w:tabs>
        <w:ind w:left="643" w:hanging="360"/>
      </w:pPr>
    </w:lvl>
  </w:abstractNum>
  <w:abstractNum w:abstractNumId="4">
    <w:nsid w:val="FFFFFF80"/>
    <w:multiLevelType w:val="singleLevel"/>
    <w:tmpl w:val="513A948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3D64CC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02C3DE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2BC9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758A41A"/>
    <w:lvl w:ilvl="0">
      <w:start w:val="1"/>
      <w:numFmt w:val="decimal"/>
      <w:lvlText w:val="%1."/>
      <w:lvlJc w:val="left"/>
      <w:pPr>
        <w:tabs>
          <w:tab w:val="num" w:pos="360"/>
        </w:tabs>
        <w:ind w:left="360" w:hanging="360"/>
      </w:pPr>
    </w:lvl>
  </w:abstractNum>
  <w:abstractNum w:abstractNumId="9">
    <w:nsid w:val="FFFFFF89"/>
    <w:multiLevelType w:val="singleLevel"/>
    <w:tmpl w:val="1F6AA4E2"/>
    <w:lvl w:ilvl="0">
      <w:start w:val="1"/>
      <w:numFmt w:val="bullet"/>
      <w:lvlText w:val=""/>
      <w:lvlJc w:val="left"/>
      <w:pPr>
        <w:tabs>
          <w:tab w:val="num" w:pos="360"/>
        </w:tabs>
        <w:ind w:left="360" w:hanging="360"/>
      </w:pPr>
      <w:rPr>
        <w:rFonts w:ascii="Symbol" w:hAnsi="Symbol" w:hint="default"/>
      </w:rPr>
    </w:lvl>
  </w:abstractNum>
  <w:abstractNum w:abstractNumId="10">
    <w:nsid w:val="0ED35B33"/>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3360DBA"/>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C475EA5"/>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6A7353C"/>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554F033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74F04EF"/>
    <w:multiLevelType w:val="multilevel"/>
    <w:tmpl w:val="040C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2"/>
  </w:num>
  <w:num w:numId="12">
    <w:abstractNumId w:val="14"/>
  </w:num>
  <w:num w:numId="13">
    <w:abstractNumId w:val="15"/>
  </w:num>
  <w:num w:numId="14">
    <w:abstractNumId w:val="13"/>
  </w:num>
  <w:num w:numId="15">
    <w:abstractNumId w:val="11"/>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1"/>
  <w:stylePaneFormatFilter w:val="5524" w:allStyles="0" w:customStyles="0" w:latentStyles="1" w:stylesInUse="0" w:headingStyles="1" w:numberingStyles="0" w:tableStyles="0" w:directFormattingOnRuns="1" w:directFormattingOnParagraphs="0" w:directFormattingOnNumbering="1" w:directFormattingOnTables="0" w:clearFormatting="1" w:top3HeadingStyles="0" w:visibleStyles="1" w:alternateStyleNames="0"/>
  <w:stylePaneSortMethod w:val="0002"/>
  <w:defaultTabStop w:val="720"/>
  <w:hyphenationZone w:val="425"/>
  <w:characterSpacingControl w:val="doNotCompress"/>
  <w:hdrShapeDefaults>
    <o:shapedefaults v:ext="edit" spidmax="1024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MSCT_UpdatedStyles" w:val="Y"/>
    <w:docVar w:name="EN.InstantFormat" w:val="&lt;ENInstantFormat&gt;&lt;Enabled&gt;0&lt;/Enabled&gt;&lt;ScanUnformatted&gt;1&lt;/ScanUnformatted&gt;&lt;ScanChanges&gt;1&lt;/ScanChanges&gt;&lt;Suspended&gt;0&lt;/Suspended&gt;&lt;/ENInstantFormat&gt;"/>
    <w:docVar w:name="EN.Layout" w:val="&lt;ENLayout&gt;&lt;Style&gt;Pharmacoeconomics_20&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s9vw2rd72wxfleee5x5e20u0wxprtxw9sez&quot;&gt;CEA adj mel FR MS&lt;record-ids&gt;&lt;item&gt;5&lt;/item&gt;&lt;item&gt;10&lt;/item&gt;&lt;item&gt;13&lt;/item&gt;&lt;item&gt;26&lt;/item&gt;&lt;item&gt;62&lt;/item&gt;&lt;item&gt;67&lt;/item&gt;&lt;item&gt;68&lt;/item&gt;&lt;item&gt;69&lt;/item&gt;&lt;item&gt;70&lt;/item&gt;&lt;item&gt;71&lt;/item&gt;&lt;item&gt;73&lt;/item&gt;&lt;item&gt;75&lt;/item&gt;&lt;item&gt;76&lt;/item&gt;&lt;item&gt;77&lt;/item&gt;&lt;item&gt;80&lt;/item&gt;&lt;item&gt;81&lt;/item&gt;&lt;item&gt;82&lt;/item&gt;&lt;item&gt;83&lt;/item&gt;&lt;item&gt;84&lt;/item&gt;&lt;item&gt;89&lt;/item&gt;&lt;/record-ids&gt;&lt;/item&gt;&lt;/Libraries&gt;"/>
  </w:docVars>
  <w:rsids>
    <w:rsidRoot w:val="009B63AF"/>
    <w:rsid w:val="000051F9"/>
    <w:rsid w:val="00013CA2"/>
    <w:rsid w:val="00020AEC"/>
    <w:rsid w:val="000239AC"/>
    <w:rsid w:val="000258F8"/>
    <w:rsid w:val="0003475D"/>
    <w:rsid w:val="00036881"/>
    <w:rsid w:val="00041E7C"/>
    <w:rsid w:val="0004235C"/>
    <w:rsid w:val="00045AC5"/>
    <w:rsid w:val="00061FB2"/>
    <w:rsid w:val="00065961"/>
    <w:rsid w:val="00066C19"/>
    <w:rsid w:val="00070289"/>
    <w:rsid w:val="000706B7"/>
    <w:rsid w:val="00076A66"/>
    <w:rsid w:val="000800EA"/>
    <w:rsid w:val="0008101B"/>
    <w:rsid w:val="00086AFB"/>
    <w:rsid w:val="00086D21"/>
    <w:rsid w:val="000879BD"/>
    <w:rsid w:val="00092D08"/>
    <w:rsid w:val="0009589A"/>
    <w:rsid w:val="000A6D86"/>
    <w:rsid w:val="000B0C56"/>
    <w:rsid w:val="000B134E"/>
    <w:rsid w:val="000B4315"/>
    <w:rsid w:val="000B4689"/>
    <w:rsid w:val="000B4B94"/>
    <w:rsid w:val="000B68CC"/>
    <w:rsid w:val="000C24A0"/>
    <w:rsid w:val="000C305F"/>
    <w:rsid w:val="000C36A4"/>
    <w:rsid w:val="000C5D5C"/>
    <w:rsid w:val="000C6631"/>
    <w:rsid w:val="000C7405"/>
    <w:rsid w:val="000D0CD4"/>
    <w:rsid w:val="000D0DC7"/>
    <w:rsid w:val="000D46EE"/>
    <w:rsid w:val="000E1DE6"/>
    <w:rsid w:val="000E29C5"/>
    <w:rsid w:val="000E2B9F"/>
    <w:rsid w:val="000E3524"/>
    <w:rsid w:val="000E54F4"/>
    <w:rsid w:val="000E54FF"/>
    <w:rsid w:val="000F14ED"/>
    <w:rsid w:val="000F15F1"/>
    <w:rsid w:val="000F19E5"/>
    <w:rsid w:val="000F3BD3"/>
    <w:rsid w:val="000F7E1C"/>
    <w:rsid w:val="001074B5"/>
    <w:rsid w:val="001105BB"/>
    <w:rsid w:val="001135B8"/>
    <w:rsid w:val="00115224"/>
    <w:rsid w:val="00115C62"/>
    <w:rsid w:val="001168E9"/>
    <w:rsid w:val="001169CB"/>
    <w:rsid w:val="00116CE6"/>
    <w:rsid w:val="0012056F"/>
    <w:rsid w:val="0012070A"/>
    <w:rsid w:val="00123589"/>
    <w:rsid w:val="0012404D"/>
    <w:rsid w:val="00124794"/>
    <w:rsid w:val="001247EE"/>
    <w:rsid w:val="00125C92"/>
    <w:rsid w:val="00125E7B"/>
    <w:rsid w:val="00132745"/>
    <w:rsid w:val="00135958"/>
    <w:rsid w:val="00135C16"/>
    <w:rsid w:val="0014651D"/>
    <w:rsid w:val="00146A44"/>
    <w:rsid w:val="00153B10"/>
    <w:rsid w:val="0015578E"/>
    <w:rsid w:val="0015783A"/>
    <w:rsid w:val="00157A59"/>
    <w:rsid w:val="001609D3"/>
    <w:rsid w:val="00161F5E"/>
    <w:rsid w:val="00162450"/>
    <w:rsid w:val="001669C9"/>
    <w:rsid w:val="00174B5B"/>
    <w:rsid w:val="0017501B"/>
    <w:rsid w:val="001760E7"/>
    <w:rsid w:val="00180362"/>
    <w:rsid w:val="0018129C"/>
    <w:rsid w:val="00183E4A"/>
    <w:rsid w:val="00187366"/>
    <w:rsid w:val="001923BF"/>
    <w:rsid w:val="001925CC"/>
    <w:rsid w:val="00193E6F"/>
    <w:rsid w:val="0019457F"/>
    <w:rsid w:val="001A109E"/>
    <w:rsid w:val="001A4B99"/>
    <w:rsid w:val="001A649D"/>
    <w:rsid w:val="001A78BA"/>
    <w:rsid w:val="001A7C40"/>
    <w:rsid w:val="001B0E64"/>
    <w:rsid w:val="001B6F27"/>
    <w:rsid w:val="001C0AD6"/>
    <w:rsid w:val="001C161A"/>
    <w:rsid w:val="001C5DCB"/>
    <w:rsid w:val="001D2DFD"/>
    <w:rsid w:val="001D7B16"/>
    <w:rsid w:val="001E1518"/>
    <w:rsid w:val="001F677C"/>
    <w:rsid w:val="002015A7"/>
    <w:rsid w:val="0020383B"/>
    <w:rsid w:val="00204352"/>
    <w:rsid w:val="00212E64"/>
    <w:rsid w:val="00212F5C"/>
    <w:rsid w:val="00214DA5"/>
    <w:rsid w:val="00225555"/>
    <w:rsid w:val="00227D12"/>
    <w:rsid w:val="002339D7"/>
    <w:rsid w:val="00233CA9"/>
    <w:rsid w:val="00234B51"/>
    <w:rsid w:val="0023584D"/>
    <w:rsid w:val="00240C80"/>
    <w:rsid w:val="00241D00"/>
    <w:rsid w:val="002421D9"/>
    <w:rsid w:val="00244028"/>
    <w:rsid w:val="0024429E"/>
    <w:rsid w:val="00245AAD"/>
    <w:rsid w:val="00245C18"/>
    <w:rsid w:val="00245CAD"/>
    <w:rsid w:val="00246CF9"/>
    <w:rsid w:val="00250E38"/>
    <w:rsid w:val="0025170F"/>
    <w:rsid w:val="00253F27"/>
    <w:rsid w:val="00254ACE"/>
    <w:rsid w:val="002576AC"/>
    <w:rsid w:val="002640D3"/>
    <w:rsid w:val="00270596"/>
    <w:rsid w:val="00271767"/>
    <w:rsid w:val="00272EAC"/>
    <w:rsid w:val="0027505F"/>
    <w:rsid w:val="0027554A"/>
    <w:rsid w:val="00275A7D"/>
    <w:rsid w:val="00275DA1"/>
    <w:rsid w:val="002763BA"/>
    <w:rsid w:val="00277F60"/>
    <w:rsid w:val="00283A06"/>
    <w:rsid w:val="00283D49"/>
    <w:rsid w:val="002872BB"/>
    <w:rsid w:val="00290CC7"/>
    <w:rsid w:val="00295F26"/>
    <w:rsid w:val="002A2031"/>
    <w:rsid w:val="002A7677"/>
    <w:rsid w:val="002B176A"/>
    <w:rsid w:val="002B1BCF"/>
    <w:rsid w:val="002B3DD4"/>
    <w:rsid w:val="002B766C"/>
    <w:rsid w:val="002C4A70"/>
    <w:rsid w:val="002D13FB"/>
    <w:rsid w:val="002D350A"/>
    <w:rsid w:val="002E0585"/>
    <w:rsid w:val="002E3723"/>
    <w:rsid w:val="002E3A09"/>
    <w:rsid w:val="002E52D3"/>
    <w:rsid w:val="002E7A67"/>
    <w:rsid w:val="002F1D1F"/>
    <w:rsid w:val="002F6615"/>
    <w:rsid w:val="00300560"/>
    <w:rsid w:val="0030395A"/>
    <w:rsid w:val="00303B33"/>
    <w:rsid w:val="0030495E"/>
    <w:rsid w:val="00306BF1"/>
    <w:rsid w:val="00310836"/>
    <w:rsid w:val="00310F51"/>
    <w:rsid w:val="003114BC"/>
    <w:rsid w:val="003137A7"/>
    <w:rsid w:val="00313B71"/>
    <w:rsid w:val="00315317"/>
    <w:rsid w:val="00316361"/>
    <w:rsid w:val="00320B04"/>
    <w:rsid w:val="00320B47"/>
    <w:rsid w:val="0032236A"/>
    <w:rsid w:val="00335020"/>
    <w:rsid w:val="0033533C"/>
    <w:rsid w:val="00340441"/>
    <w:rsid w:val="00340FD9"/>
    <w:rsid w:val="003442EA"/>
    <w:rsid w:val="00344FB5"/>
    <w:rsid w:val="00346480"/>
    <w:rsid w:val="00352C27"/>
    <w:rsid w:val="0035601E"/>
    <w:rsid w:val="00356D25"/>
    <w:rsid w:val="0036327A"/>
    <w:rsid w:val="003639C3"/>
    <w:rsid w:val="00363A98"/>
    <w:rsid w:val="00365CAF"/>
    <w:rsid w:val="00365F90"/>
    <w:rsid w:val="00366EE1"/>
    <w:rsid w:val="003714D1"/>
    <w:rsid w:val="0037218A"/>
    <w:rsid w:val="00373E31"/>
    <w:rsid w:val="003759AD"/>
    <w:rsid w:val="003764CE"/>
    <w:rsid w:val="0038076D"/>
    <w:rsid w:val="0038388F"/>
    <w:rsid w:val="00386AD0"/>
    <w:rsid w:val="0039514A"/>
    <w:rsid w:val="003A2254"/>
    <w:rsid w:val="003A374A"/>
    <w:rsid w:val="003A56CC"/>
    <w:rsid w:val="003A58A4"/>
    <w:rsid w:val="003A6080"/>
    <w:rsid w:val="003B2990"/>
    <w:rsid w:val="003B2F4E"/>
    <w:rsid w:val="003B3F52"/>
    <w:rsid w:val="003B5D94"/>
    <w:rsid w:val="003B5F4F"/>
    <w:rsid w:val="003C13F3"/>
    <w:rsid w:val="003C5231"/>
    <w:rsid w:val="003D05BD"/>
    <w:rsid w:val="003D1A1A"/>
    <w:rsid w:val="003E04B3"/>
    <w:rsid w:val="003E6721"/>
    <w:rsid w:val="003F2560"/>
    <w:rsid w:val="003F5639"/>
    <w:rsid w:val="003F5EF5"/>
    <w:rsid w:val="004006A5"/>
    <w:rsid w:val="00400D07"/>
    <w:rsid w:val="00401F3B"/>
    <w:rsid w:val="00403680"/>
    <w:rsid w:val="00404865"/>
    <w:rsid w:val="00410125"/>
    <w:rsid w:val="0041317B"/>
    <w:rsid w:val="00414CBC"/>
    <w:rsid w:val="00415AEE"/>
    <w:rsid w:val="00415C55"/>
    <w:rsid w:val="00416D76"/>
    <w:rsid w:val="0042095F"/>
    <w:rsid w:val="0042296F"/>
    <w:rsid w:val="00423FAA"/>
    <w:rsid w:val="00423FB3"/>
    <w:rsid w:val="00424B76"/>
    <w:rsid w:val="00431147"/>
    <w:rsid w:val="00431372"/>
    <w:rsid w:val="00433369"/>
    <w:rsid w:val="004343DE"/>
    <w:rsid w:val="00434C59"/>
    <w:rsid w:val="00441502"/>
    <w:rsid w:val="004423AB"/>
    <w:rsid w:val="00443347"/>
    <w:rsid w:val="00445D97"/>
    <w:rsid w:val="00451192"/>
    <w:rsid w:val="004512A0"/>
    <w:rsid w:val="00452EBA"/>
    <w:rsid w:val="00453E6B"/>
    <w:rsid w:val="004542FE"/>
    <w:rsid w:val="00454330"/>
    <w:rsid w:val="0045617A"/>
    <w:rsid w:val="00456F87"/>
    <w:rsid w:val="00457457"/>
    <w:rsid w:val="00464106"/>
    <w:rsid w:val="00464253"/>
    <w:rsid w:val="004654BF"/>
    <w:rsid w:val="004664DB"/>
    <w:rsid w:val="00467D49"/>
    <w:rsid w:val="00471F4F"/>
    <w:rsid w:val="004730E3"/>
    <w:rsid w:val="00476DE2"/>
    <w:rsid w:val="00476FA8"/>
    <w:rsid w:val="00482291"/>
    <w:rsid w:val="00484E2F"/>
    <w:rsid w:val="00490126"/>
    <w:rsid w:val="00493510"/>
    <w:rsid w:val="004A0763"/>
    <w:rsid w:val="004A09A8"/>
    <w:rsid w:val="004A1819"/>
    <w:rsid w:val="004A5273"/>
    <w:rsid w:val="004A64C8"/>
    <w:rsid w:val="004A77AF"/>
    <w:rsid w:val="004B00B3"/>
    <w:rsid w:val="004B21A6"/>
    <w:rsid w:val="004B2F78"/>
    <w:rsid w:val="004B32FB"/>
    <w:rsid w:val="004B465D"/>
    <w:rsid w:val="004B48FE"/>
    <w:rsid w:val="004B68FB"/>
    <w:rsid w:val="004C0D2D"/>
    <w:rsid w:val="004C33C4"/>
    <w:rsid w:val="004C558C"/>
    <w:rsid w:val="004C5B61"/>
    <w:rsid w:val="004D11E0"/>
    <w:rsid w:val="004D2531"/>
    <w:rsid w:val="004E12E0"/>
    <w:rsid w:val="004E15FF"/>
    <w:rsid w:val="004E1D2A"/>
    <w:rsid w:val="004E3626"/>
    <w:rsid w:val="004E394C"/>
    <w:rsid w:val="004E4C74"/>
    <w:rsid w:val="004E50C0"/>
    <w:rsid w:val="004F20E8"/>
    <w:rsid w:val="004F4111"/>
    <w:rsid w:val="004F7747"/>
    <w:rsid w:val="005134BB"/>
    <w:rsid w:val="0051386D"/>
    <w:rsid w:val="00515CDA"/>
    <w:rsid w:val="00521362"/>
    <w:rsid w:val="00523F70"/>
    <w:rsid w:val="00525474"/>
    <w:rsid w:val="00526B79"/>
    <w:rsid w:val="00532546"/>
    <w:rsid w:val="00542267"/>
    <w:rsid w:val="00547586"/>
    <w:rsid w:val="00554898"/>
    <w:rsid w:val="00555147"/>
    <w:rsid w:val="00557B50"/>
    <w:rsid w:val="00560D6B"/>
    <w:rsid w:val="005621E8"/>
    <w:rsid w:val="00562DD3"/>
    <w:rsid w:val="0056314E"/>
    <w:rsid w:val="00566EAE"/>
    <w:rsid w:val="00571014"/>
    <w:rsid w:val="00575FD6"/>
    <w:rsid w:val="005776B5"/>
    <w:rsid w:val="00577FD3"/>
    <w:rsid w:val="00580F54"/>
    <w:rsid w:val="00581B3F"/>
    <w:rsid w:val="005867B4"/>
    <w:rsid w:val="00586E9D"/>
    <w:rsid w:val="005937F7"/>
    <w:rsid w:val="0059531E"/>
    <w:rsid w:val="00597250"/>
    <w:rsid w:val="005A016F"/>
    <w:rsid w:val="005A05B5"/>
    <w:rsid w:val="005A2585"/>
    <w:rsid w:val="005A2D21"/>
    <w:rsid w:val="005A55EC"/>
    <w:rsid w:val="005A5ECC"/>
    <w:rsid w:val="005B1424"/>
    <w:rsid w:val="005B279D"/>
    <w:rsid w:val="005B43B5"/>
    <w:rsid w:val="005B7F21"/>
    <w:rsid w:val="005C0261"/>
    <w:rsid w:val="005C18B3"/>
    <w:rsid w:val="005C2264"/>
    <w:rsid w:val="005C6E6B"/>
    <w:rsid w:val="005C72DF"/>
    <w:rsid w:val="005D1C23"/>
    <w:rsid w:val="005D366B"/>
    <w:rsid w:val="005D4FD7"/>
    <w:rsid w:val="005D5DEC"/>
    <w:rsid w:val="005D6BDF"/>
    <w:rsid w:val="005E662F"/>
    <w:rsid w:val="005F257F"/>
    <w:rsid w:val="005F763A"/>
    <w:rsid w:val="005F79A2"/>
    <w:rsid w:val="00600C2D"/>
    <w:rsid w:val="00600D02"/>
    <w:rsid w:val="00603D68"/>
    <w:rsid w:val="006045EB"/>
    <w:rsid w:val="00604905"/>
    <w:rsid w:val="00604EDF"/>
    <w:rsid w:val="006139E3"/>
    <w:rsid w:val="00620F2A"/>
    <w:rsid w:val="00623D68"/>
    <w:rsid w:val="00626A4C"/>
    <w:rsid w:val="0062744E"/>
    <w:rsid w:val="00630B16"/>
    <w:rsid w:val="00637E3A"/>
    <w:rsid w:val="00641C12"/>
    <w:rsid w:val="006449CD"/>
    <w:rsid w:val="00645431"/>
    <w:rsid w:val="00646498"/>
    <w:rsid w:val="00650344"/>
    <w:rsid w:val="00651C30"/>
    <w:rsid w:val="0065328A"/>
    <w:rsid w:val="00653AA5"/>
    <w:rsid w:val="00664ED3"/>
    <w:rsid w:val="006656B4"/>
    <w:rsid w:val="00666B73"/>
    <w:rsid w:val="00670356"/>
    <w:rsid w:val="006705B0"/>
    <w:rsid w:val="00670BAD"/>
    <w:rsid w:val="00672205"/>
    <w:rsid w:val="00673309"/>
    <w:rsid w:val="00681DF2"/>
    <w:rsid w:val="00682162"/>
    <w:rsid w:val="00682298"/>
    <w:rsid w:val="00683B94"/>
    <w:rsid w:val="00690C31"/>
    <w:rsid w:val="006A06F2"/>
    <w:rsid w:val="006A1091"/>
    <w:rsid w:val="006A6D7E"/>
    <w:rsid w:val="006A71D3"/>
    <w:rsid w:val="006B030C"/>
    <w:rsid w:val="006B06CF"/>
    <w:rsid w:val="006B14B2"/>
    <w:rsid w:val="006B3372"/>
    <w:rsid w:val="006B4882"/>
    <w:rsid w:val="006B4907"/>
    <w:rsid w:val="006B60B2"/>
    <w:rsid w:val="006B68C3"/>
    <w:rsid w:val="006C12CB"/>
    <w:rsid w:val="006C2109"/>
    <w:rsid w:val="006C2484"/>
    <w:rsid w:val="006C5449"/>
    <w:rsid w:val="006C6664"/>
    <w:rsid w:val="006D3474"/>
    <w:rsid w:val="006D3F04"/>
    <w:rsid w:val="006D5494"/>
    <w:rsid w:val="006E1FFC"/>
    <w:rsid w:val="006E376F"/>
    <w:rsid w:val="006E4983"/>
    <w:rsid w:val="006E7A4A"/>
    <w:rsid w:val="006E7BEC"/>
    <w:rsid w:val="006E7F41"/>
    <w:rsid w:val="006F0FF7"/>
    <w:rsid w:val="006F2088"/>
    <w:rsid w:val="006F3534"/>
    <w:rsid w:val="006F3D06"/>
    <w:rsid w:val="006F4743"/>
    <w:rsid w:val="006F78A7"/>
    <w:rsid w:val="007009D7"/>
    <w:rsid w:val="007014B7"/>
    <w:rsid w:val="007106B1"/>
    <w:rsid w:val="00710B03"/>
    <w:rsid w:val="007112D5"/>
    <w:rsid w:val="00712A9F"/>
    <w:rsid w:val="00712D05"/>
    <w:rsid w:val="007137AC"/>
    <w:rsid w:val="00713E8E"/>
    <w:rsid w:val="00721AC4"/>
    <w:rsid w:val="00721B11"/>
    <w:rsid w:val="0072412A"/>
    <w:rsid w:val="00735CD1"/>
    <w:rsid w:val="007369A9"/>
    <w:rsid w:val="007370DD"/>
    <w:rsid w:val="00740DD0"/>
    <w:rsid w:val="00745587"/>
    <w:rsid w:val="00746B60"/>
    <w:rsid w:val="00752134"/>
    <w:rsid w:val="00753E58"/>
    <w:rsid w:val="0075508F"/>
    <w:rsid w:val="007559AF"/>
    <w:rsid w:val="00756547"/>
    <w:rsid w:val="00756A45"/>
    <w:rsid w:val="00762753"/>
    <w:rsid w:val="00770B4B"/>
    <w:rsid w:val="00772560"/>
    <w:rsid w:val="00773E5F"/>
    <w:rsid w:val="0077440E"/>
    <w:rsid w:val="00784F32"/>
    <w:rsid w:val="007870EB"/>
    <w:rsid w:val="0078739B"/>
    <w:rsid w:val="00787E0D"/>
    <w:rsid w:val="00790159"/>
    <w:rsid w:val="00793D3D"/>
    <w:rsid w:val="00797C21"/>
    <w:rsid w:val="007A0131"/>
    <w:rsid w:val="007A1E52"/>
    <w:rsid w:val="007A3792"/>
    <w:rsid w:val="007A7069"/>
    <w:rsid w:val="007B342E"/>
    <w:rsid w:val="007B56CC"/>
    <w:rsid w:val="007B71E2"/>
    <w:rsid w:val="007B762C"/>
    <w:rsid w:val="007C1E88"/>
    <w:rsid w:val="007C3B96"/>
    <w:rsid w:val="007C5950"/>
    <w:rsid w:val="007C5E1C"/>
    <w:rsid w:val="007D2393"/>
    <w:rsid w:val="007D2A7B"/>
    <w:rsid w:val="007D3D17"/>
    <w:rsid w:val="007D4452"/>
    <w:rsid w:val="007D7898"/>
    <w:rsid w:val="007E2FE6"/>
    <w:rsid w:val="007E4009"/>
    <w:rsid w:val="007E5B21"/>
    <w:rsid w:val="007E69FB"/>
    <w:rsid w:val="007E792A"/>
    <w:rsid w:val="007E7F72"/>
    <w:rsid w:val="007F294C"/>
    <w:rsid w:val="007F2A9A"/>
    <w:rsid w:val="007F39F0"/>
    <w:rsid w:val="007F7861"/>
    <w:rsid w:val="008017F9"/>
    <w:rsid w:val="008039FA"/>
    <w:rsid w:val="00804F7E"/>
    <w:rsid w:val="00805EE4"/>
    <w:rsid w:val="00811748"/>
    <w:rsid w:val="00815070"/>
    <w:rsid w:val="0081611D"/>
    <w:rsid w:val="008172E8"/>
    <w:rsid w:val="008178C1"/>
    <w:rsid w:val="0082202B"/>
    <w:rsid w:val="00823B1A"/>
    <w:rsid w:val="00830C70"/>
    <w:rsid w:val="00834CFE"/>
    <w:rsid w:val="00835871"/>
    <w:rsid w:val="00835BE5"/>
    <w:rsid w:val="00836EB4"/>
    <w:rsid w:val="0084041E"/>
    <w:rsid w:val="00840A8E"/>
    <w:rsid w:val="008425CA"/>
    <w:rsid w:val="00842B32"/>
    <w:rsid w:val="00842F3E"/>
    <w:rsid w:val="008441BF"/>
    <w:rsid w:val="0084547C"/>
    <w:rsid w:val="008467C8"/>
    <w:rsid w:val="00856164"/>
    <w:rsid w:val="0085713F"/>
    <w:rsid w:val="008618F9"/>
    <w:rsid w:val="00861917"/>
    <w:rsid w:val="00862576"/>
    <w:rsid w:val="00863AE6"/>
    <w:rsid w:val="00865C3D"/>
    <w:rsid w:val="0087211B"/>
    <w:rsid w:val="008724CD"/>
    <w:rsid w:val="00872AAC"/>
    <w:rsid w:val="00881C05"/>
    <w:rsid w:val="008829AB"/>
    <w:rsid w:val="00886184"/>
    <w:rsid w:val="00887791"/>
    <w:rsid w:val="0089123F"/>
    <w:rsid w:val="008961FF"/>
    <w:rsid w:val="00897AF4"/>
    <w:rsid w:val="008A1CFF"/>
    <w:rsid w:val="008A1D92"/>
    <w:rsid w:val="008A2414"/>
    <w:rsid w:val="008A58C0"/>
    <w:rsid w:val="008A6AF7"/>
    <w:rsid w:val="008B4931"/>
    <w:rsid w:val="008B620E"/>
    <w:rsid w:val="008B7289"/>
    <w:rsid w:val="008B7629"/>
    <w:rsid w:val="008C679F"/>
    <w:rsid w:val="008C69DC"/>
    <w:rsid w:val="008C6D63"/>
    <w:rsid w:val="008D5809"/>
    <w:rsid w:val="008E48CF"/>
    <w:rsid w:val="008E6BF7"/>
    <w:rsid w:val="008E707E"/>
    <w:rsid w:val="008F16B1"/>
    <w:rsid w:val="008F40C2"/>
    <w:rsid w:val="008F4DE8"/>
    <w:rsid w:val="008F6B95"/>
    <w:rsid w:val="0090397C"/>
    <w:rsid w:val="00907D2E"/>
    <w:rsid w:val="0091520F"/>
    <w:rsid w:val="009168A3"/>
    <w:rsid w:val="00916EFB"/>
    <w:rsid w:val="0091728F"/>
    <w:rsid w:val="0092093E"/>
    <w:rsid w:val="0092121D"/>
    <w:rsid w:val="009227DB"/>
    <w:rsid w:val="00931929"/>
    <w:rsid w:val="00932DBA"/>
    <w:rsid w:val="00932EA2"/>
    <w:rsid w:val="009349ED"/>
    <w:rsid w:val="00936D60"/>
    <w:rsid w:val="009401FA"/>
    <w:rsid w:val="00945461"/>
    <w:rsid w:val="0095003A"/>
    <w:rsid w:val="009503E1"/>
    <w:rsid w:val="00950F96"/>
    <w:rsid w:val="00953639"/>
    <w:rsid w:val="00957822"/>
    <w:rsid w:val="00960A35"/>
    <w:rsid w:val="00961DED"/>
    <w:rsid w:val="00961FC5"/>
    <w:rsid w:val="00961FD8"/>
    <w:rsid w:val="00973FD2"/>
    <w:rsid w:val="00977F4D"/>
    <w:rsid w:val="00980C01"/>
    <w:rsid w:val="00982F98"/>
    <w:rsid w:val="00991B25"/>
    <w:rsid w:val="00995522"/>
    <w:rsid w:val="00995956"/>
    <w:rsid w:val="009964F8"/>
    <w:rsid w:val="009A05FF"/>
    <w:rsid w:val="009A0C71"/>
    <w:rsid w:val="009A169F"/>
    <w:rsid w:val="009A38F6"/>
    <w:rsid w:val="009B1F37"/>
    <w:rsid w:val="009B1F7C"/>
    <w:rsid w:val="009B27B5"/>
    <w:rsid w:val="009B31BF"/>
    <w:rsid w:val="009B478D"/>
    <w:rsid w:val="009B63AF"/>
    <w:rsid w:val="009C1486"/>
    <w:rsid w:val="009C583E"/>
    <w:rsid w:val="009D5CC3"/>
    <w:rsid w:val="009E3402"/>
    <w:rsid w:val="009E62C4"/>
    <w:rsid w:val="009F0A2D"/>
    <w:rsid w:val="009F5077"/>
    <w:rsid w:val="009F6765"/>
    <w:rsid w:val="00A01918"/>
    <w:rsid w:val="00A06F62"/>
    <w:rsid w:val="00A15568"/>
    <w:rsid w:val="00A17C07"/>
    <w:rsid w:val="00A24E13"/>
    <w:rsid w:val="00A2519C"/>
    <w:rsid w:val="00A26514"/>
    <w:rsid w:val="00A3157F"/>
    <w:rsid w:val="00A357F9"/>
    <w:rsid w:val="00A368C4"/>
    <w:rsid w:val="00A40895"/>
    <w:rsid w:val="00A435E6"/>
    <w:rsid w:val="00A57020"/>
    <w:rsid w:val="00A57528"/>
    <w:rsid w:val="00A57A07"/>
    <w:rsid w:val="00A67CAF"/>
    <w:rsid w:val="00A73117"/>
    <w:rsid w:val="00A804EF"/>
    <w:rsid w:val="00A80B47"/>
    <w:rsid w:val="00A81B34"/>
    <w:rsid w:val="00A874D8"/>
    <w:rsid w:val="00A87676"/>
    <w:rsid w:val="00A91010"/>
    <w:rsid w:val="00A91FCC"/>
    <w:rsid w:val="00AA17AE"/>
    <w:rsid w:val="00AB072E"/>
    <w:rsid w:val="00AB188E"/>
    <w:rsid w:val="00AB1A63"/>
    <w:rsid w:val="00AB5559"/>
    <w:rsid w:val="00AC0FC2"/>
    <w:rsid w:val="00AC14AF"/>
    <w:rsid w:val="00AC1BB3"/>
    <w:rsid w:val="00AC2EDE"/>
    <w:rsid w:val="00AD023C"/>
    <w:rsid w:val="00AD0473"/>
    <w:rsid w:val="00AD1541"/>
    <w:rsid w:val="00AD1FC2"/>
    <w:rsid w:val="00AD2DE3"/>
    <w:rsid w:val="00AD3F32"/>
    <w:rsid w:val="00AD5574"/>
    <w:rsid w:val="00AE0918"/>
    <w:rsid w:val="00AE3F9D"/>
    <w:rsid w:val="00AE4245"/>
    <w:rsid w:val="00AE6BBA"/>
    <w:rsid w:val="00AF03D7"/>
    <w:rsid w:val="00AF1D73"/>
    <w:rsid w:val="00AF2DD9"/>
    <w:rsid w:val="00AF3333"/>
    <w:rsid w:val="00AF3D81"/>
    <w:rsid w:val="00AF5C8F"/>
    <w:rsid w:val="00AF7A07"/>
    <w:rsid w:val="00AF7B4F"/>
    <w:rsid w:val="00B01CC7"/>
    <w:rsid w:val="00B031D6"/>
    <w:rsid w:val="00B04241"/>
    <w:rsid w:val="00B04BA3"/>
    <w:rsid w:val="00B04EC4"/>
    <w:rsid w:val="00B0779F"/>
    <w:rsid w:val="00B13086"/>
    <w:rsid w:val="00B13E09"/>
    <w:rsid w:val="00B148F3"/>
    <w:rsid w:val="00B16149"/>
    <w:rsid w:val="00B161CE"/>
    <w:rsid w:val="00B16DEE"/>
    <w:rsid w:val="00B1716E"/>
    <w:rsid w:val="00B234BF"/>
    <w:rsid w:val="00B25C3F"/>
    <w:rsid w:val="00B25E18"/>
    <w:rsid w:val="00B26127"/>
    <w:rsid w:val="00B30A3D"/>
    <w:rsid w:val="00B31D3C"/>
    <w:rsid w:val="00B327A4"/>
    <w:rsid w:val="00B35094"/>
    <w:rsid w:val="00B43D0E"/>
    <w:rsid w:val="00B44808"/>
    <w:rsid w:val="00B44C88"/>
    <w:rsid w:val="00B51F62"/>
    <w:rsid w:val="00B5580A"/>
    <w:rsid w:val="00B60A6D"/>
    <w:rsid w:val="00B6106C"/>
    <w:rsid w:val="00B632D9"/>
    <w:rsid w:val="00B63C9B"/>
    <w:rsid w:val="00B672AA"/>
    <w:rsid w:val="00B71D84"/>
    <w:rsid w:val="00B72278"/>
    <w:rsid w:val="00B72FBD"/>
    <w:rsid w:val="00B812A4"/>
    <w:rsid w:val="00B81652"/>
    <w:rsid w:val="00B93942"/>
    <w:rsid w:val="00B93C38"/>
    <w:rsid w:val="00BA06B8"/>
    <w:rsid w:val="00BA2539"/>
    <w:rsid w:val="00BA494C"/>
    <w:rsid w:val="00BA4EEC"/>
    <w:rsid w:val="00BA62FA"/>
    <w:rsid w:val="00BA7886"/>
    <w:rsid w:val="00BB098F"/>
    <w:rsid w:val="00BB20BE"/>
    <w:rsid w:val="00BB2869"/>
    <w:rsid w:val="00BB4124"/>
    <w:rsid w:val="00BB534C"/>
    <w:rsid w:val="00BB7B87"/>
    <w:rsid w:val="00BC2D6A"/>
    <w:rsid w:val="00BC61D5"/>
    <w:rsid w:val="00BD08F9"/>
    <w:rsid w:val="00BD4851"/>
    <w:rsid w:val="00BD5418"/>
    <w:rsid w:val="00BD6634"/>
    <w:rsid w:val="00BE4446"/>
    <w:rsid w:val="00BE6A82"/>
    <w:rsid w:val="00BF0416"/>
    <w:rsid w:val="00BF0F22"/>
    <w:rsid w:val="00BF244D"/>
    <w:rsid w:val="00BF2C54"/>
    <w:rsid w:val="00BF309A"/>
    <w:rsid w:val="00BF3353"/>
    <w:rsid w:val="00BF3C86"/>
    <w:rsid w:val="00BF4975"/>
    <w:rsid w:val="00C01607"/>
    <w:rsid w:val="00C03A4B"/>
    <w:rsid w:val="00C0700C"/>
    <w:rsid w:val="00C0772E"/>
    <w:rsid w:val="00C07C21"/>
    <w:rsid w:val="00C105F3"/>
    <w:rsid w:val="00C15677"/>
    <w:rsid w:val="00C2178E"/>
    <w:rsid w:val="00C23CAD"/>
    <w:rsid w:val="00C2516C"/>
    <w:rsid w:val="00C2789C"/>
    <w:rsid w:val="00C3429D"/>
    <w:rsid w:val="00C3439A"/>
    <w:rsid w:val="00C34A0A"/>
    <w:rsid w:val="00C34B94"/>
    <w:rsid w:val="00C41233"/>
    <w:rsid w:val="00C46A32"/>
    <w:rsid w:val="00C47FEB"/>
    <w:rsid w:val="00C500A0"/>
    <w:rsid w:val="00C500AF"/>
    <w:rsid w:val="00C52E2B"/>
    <w:rsid w:val="00C57DEB"/>
    <w:rsid w:val="00C61D70"/>
    <w:rsid w:val="00C64503"/>
    <w:rsid w:val="00C65764"/>
    <w:rsid w:val="00C66BF4"/>
    <w:rsid w:val="00C6739E"/>
    <w:rsid w:val="00C676E1"/>
    <w:rsid w:val="00C757D8"/>
    <w:rsid w:val="00C75878"/>
    <w:rsid w:val="00C774C9"/>
    <w:rsid w:val="00C805FF"/>
    <w:rsid w:val="00C8327A"/>
    <w:rsid w:val="00C851E3"/>
    <w:rsid w:val="00C86CE3"/>
    <w:rsid w:val="00C90ED3"/>
    <w:rsid w:val="00C94F3B"/>
    <w:rsid w:val="00C95040"/>
    <w:rsid w:val="00C95668"/>
    <w:rsid w:val="00CA54C2"/>
    <w:rsid w:val="00CA6D54"/>
    <w:rsid w:val="00CB2E50"/>
    <w:rsid w:val="00CC0FD3"/>
    <w:rsid w:val="00CC2020"/>
    <w:rsid w:val="00CC4EF6"/>
    <w:rsid w:val="00CD316F"/>
    <w:rsid w:val="00CD3421"/>
    <w:rsid w:val="00CD36D9"/>
    <w:rsid w:val="00CE089D"/>
    <w:rsid w:val="00CE167A"/>
    <w:rsid w:val="00CE4580"/>
    <w:rsid w:val="00CE5104"/>
    <w:rsid w:val="00CE7F07"/>
    <w:rsid w:val="00CF100B"/>
    <w:rsid w:val="00CF12BA"/>
    <w:rsid w:val="00CF2B99"/>
    <w:rsid w:val="00CF56CF"/>
    <w:rsid w:val="00CF57D2"/>
    <w:rsid w:val="00CF79C2"/>
    <w:rsid w:val="00D013DA"/>
    <w:rsid w:val="00D02413"/>
    <w:rsid w:val="00D0254E"/>
    <w:rsid w:val="00D04907"/>
    <w:rsid w:val="00D0563D"/>
    <w:rsid w:val="00D117AF"/>
    <w:rsid w:val="00D11832"/>
    <w:rsid w:val="00D15C6B"/>
    <w:rsid w:val="00D17845"/>
    <w:rsid w:val="00D17B26"/>
    <w:rsid w:val="00D17B9E"/>
    <w:rsid w:val="00D26725"/>
    <w:rsid w:val="00D26EE1"/>
    <w:rsid w:val="00D27B76"/>
    <w:rsid w:val="00D32375"/>
    <w:rsid w:val="00D32FCD"/>
    <w:rsid w:val="00D331E3"/>
    <w:rsid w:val="00D34A6B"/>
    <w:rsid w:val="00D4320C"/>
    <w:rsid w:val="00D44EE6"/>
    <w:rsid w:val="00D500A5"/>
    <w:rsid w:val="00D50511"/>
    <w:rsid w:val="00D50652"/>
    <w:rsid w:val="00D51175"/>
    <w:rsid w:val="00D51783"/>
    <w:rsid w:val="00D56CCF"/>
    <w:rsid w:val="00D64658"/>
    <w:rsid w:val="00D70C9E"/>
    <w:rsid w:val="00D719DC"/>
    <w:rsid w:val="00D72094"/>
    <w:rsid w:val="00D72E6F"/>
    <w:rsid w:val="00D7513E"/>
    <w:rsid w:val="00D86AC6"/>
    <w:rsid w:val="00D87A43"/>
    <w:rsid w:val="00D9091F"/>
    <w:rsid w:val="00D96FA7"/>
    <w:rsid w:val="00DA2614"/>
    <w:rsid w:val="00DA5072"/>
    <w:rsid w:val="00DA5740"/>
    <w:rsid w:val="00DA63F8"/>
    <w:rsid w:val="00DA6EDF"/>
    <w:rsid w:val="00DA7768"/>
    <w:rsid w:val="00DB0F82"/>
    <w:rsid w:val="00DB1699"/>
    <w:rsid w:val="00DB2CCA"/>
    <w:rsid w:val="00DB5D47"/>
    <w:rsid w:val="00DB77ED"/>
    <w:rsid w:val="00DB77F6"/>
    <w:rsid w:val="00DC6372"/>
    <w:rsid w:val="00DC6A6F"/>
    <w:rsid w:val="00DC7491"/>
    <w:rsid w:val="00DD3D32"/>
    <w:rsid w:val="00DE4B9C"/>
    <w:rsid w:val="00DE5AE1"/>
    <w:rsid w:val="00DE6C81"/>
    <w:rsid w:val="00DE761D"/>
    <w:rsid w:val="00DF0287"/>
    <w:rsid w:val="00DF1BF0"/>
    <w:rsid w:val="00DF42EA"/>
    <w:rsid w:val="00DF4B3A"/>
    <w:rsid w:val="00DF5423"/>
    <w:rsid w:val="00DF769F"/>
    <w:rsid w:val="00E01062"/>
    <w:rsid w:val="00E01296"/>
    <w:rsid w:val="00E02DF3"/>
    <w:rsid w:val="00E06075"/>
    <w:rsid w:val="00E063A9"/>
    <w:rsid w:val="00E0703E"/>
    <w:rsid w:val="00E07DF5"/>
    <w:rsid w:val="00E10D12"/>
    <w:rsid w:val="00E15CD2"/>
    <w:rsid w:val="00E17812"/>
    <w:rsid w:val="00E2051C"/>
    <w:rsid w:val="00E26DC2"/>
    <w:rsid w:val="00E30637"/>
    <w:rsid w:val="00E307B3"/>
    <w:rsid w:val="00E30B12"/>
    <w:rsid w:val="00E3538B"/>
    <w:rsid w:val="00E367F5"/>
    <w:rsid w:val="00E401A6"/>
    <w:rsid w:val="00E4552D"/>
    <w:rsid w:val="00E45DA9"/>
    <w:rsid w:val="00E475CC"/>
    <w:rsid w:val="00E50F31"/>
    <w:rsid w:val="00E514BD"/>
    <w:rsid w:val="00E51E38"/>
    <w:rsid w:val="00E53954"/>
    <w:rsid w:val="00E54CB7"/>
    <w:rsid w:val="00E567F3"/>
    <w:rsid w:val="00E601FF"/>
    <w:rsid w:val="00E6611A"/>
    <w:rsid w:val="00E70243"/>
    <w:rsid w:val="00E71808"/>
    <w:rsid w:val="00E729A6"/>
    <w:rsid w:val="00E755A0"/>
    <w:rsid w:val="00E8185C"/>
    <w:rsid w:val="00E81E85"/>
    <w:rsid w:val="00E8202A"/>
    <w:rsid w:val="00E82B42"/>
    <w:rsid w:val="00E902C7"/>
    <w:rsid w:val="00E91C5F"/>
    <w:rsid w:val="00E9205C"/>
    <w:rsid w:val="00EA3386"/>
    <w:rsid w:val="00EA35C5"/>
    <w:rsid w:val="00EA583D"/>
    <w:rsid w:val="00EA753C"/>
    <w:rsid w:val="00EA7799"/>
    <w:rsid w:val="00EB017C"/>
    <w:rsid w:val="00EB38A1"/>
    <w:rsid w:val="00EB7DF2"/>
    <w:rsid w:val="00EC24FF"/>
    <w:rsid w:val="00EC35CB"/>
    <w:rsid w:val="00EC4AE5"/>
    <w:rsid w:val="00EC6E7C"/>
    <w:rsid w:val="00EC6FE4"/>
    <w:rsid w:val="00ED188D"/>
    <w:rsid w:val="00ED2295"/>
    <w:rsid w:val="00ED3579"/>
    <w:rsid w:val="00ED5AA9"/>
    <w:rsid w:val="00ED65E3"/>
    <w:rsid w:val="00EE34F1"/>
    <w:rsid w:val="00EE3F72"/>
    <w:rsid w:val="00EE60AA"/>
    <w:rsid w:val="00EE7E2D"/>
    <w:rsid w:val="00EF0E9D"/>
    <w:rsid w:val="00EF3090"/>
    <w:rsid w:val="00EF477A"/>
    <w:rsid w:val="00EF47DB"/>
    <w:rsid w:val="00EF7DD1"/>
    <w:rsid w:val="00F00009"/>
    <w:rsid w:val="00F01F15"/>
    <w:rsid w:val="00F02EF7"/>
    <w:rsid w:val="00F03E8B"/>
    <w:rsid w:val="00F04A85"/>
    <w:rsid w:val="00F05335"/>
    <w:rsid w:val="00F07E87"/>
    <w:rsid w:val="00F1156E"/>
    <w:rsid w:val="00F1422F"/>
    <w:rsid w:val="00F159A2"/>
    <w:rsid w:val="00F15AD6"/>
    <w:rsid w:val="00F16753"/>
    <w:rsid w:val="00F17FC0"/>
    <w:rsid w:val="00F223EF"/>
    <w:rsid w:val="00F24A79"/>
    <w:rsid w:val="00F2574A"/>
    <w:rsid w:val="00F25A66"/>
    <w:rsid w:val="00F31549"/>
    <w:rsid w:val="00F32B01"/>
    <w:rsid w:val="00F35424"/>
    <w:rsid w:val="00F361E1"/>
    <w:rsid w:val="00F37521"/>
    <w:rsid w:val="00F43951"/>
    <w:rsid w:val="00F43DB2"/>
    <w:rsid w:val="00F50943"/>
    <w:rsid w:val="00F50E1B"/>
    <w:rsid w:val="00F53435"/>
    <w:rsid w:val="00F53EE1"/>
    <w:rsid w:val="00F55978"/>
    <w:rsid w:val="00F5663C"/>
    <w:rsid w:val="00F64D7B"/>
    <w:rsid w:val="00F70D3B"/>
    <w:rsid w:val="00F73A10"/>
    <w:rsid w:val="00F770AE"/>
    <w:rsid w:val="00F77EE9"/>
    <w:rsid w:val="00F85B49"/>
    <w:rsid w:val="00F93519"/>
    <w:rsid w:val="00F95269"/>
    <w:rsid w:val="00F954C6"/>
    <w:rsid w:val="00FA02EC"/>
    <w:rsid w:val="00FA04D7"/>
    <w:rsid w:val="00FA334D"/>
    <w:rsid w:val="00FA347A"/>
    <w:rsid w:val="00FA510A"/>
    <w:rsid w:val="00FA5854"/>
    <w:rsid w:val="00FA5CB6"/>
    <w:rsid w:val="00FA5F34"/>
    <w:rsid w:val="00FC2AED"/>
    <w:rsid w:val="00FC2DC7"/>
    <w:rsid w:val="00FC6075"/>
    <w:rsid w:val="00FC648F"/>
    <w:rsid w:val="00FC681B"/>
    <w:rsid w:val="00FD492C"/>
    <w:rsid w:val="00FD5DBC"/>
    <w:rsid w:val="00FD79C6"/>
    <w:rsid w:val="00FE4365"/>
    <w:rsid w:val="00FE49ED"/>
    <w:rsid w:val="00FF0CF6"/>
    <w:rsid w:val="00FF29F0"/>
    <w:rsid w:val="00FF45B1"/>
    <w:rsid w:val="00FF667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3CC80C"/>
  <w15:chartTrackingRefBased/>
  <w15:docId w15:val="{5C335481-9468-4493-9329-084361A7C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6D86"/>
    <w:rPr>
      <w:lang w:val="en-US"/>
    </w:rPr>
  </w:style>
  <w:style w:type="paragraph" w:styleId="Heading1">
    <w:name w:val="heading 1"/>
    <w:aliases w:val="BMS Heading 1"/>
    <w:basedOn w:val="Normal"/>
    <w:next w:val="Normal"/>
    <w:link w:val="Heading1Char"/>
    <w:uiPriority w:val="9"/>
    <w:qFormat/>
    <w:rsid w:val="00CE167A"/>
    <w:pPr>
      <w:keepNext/>
      <w:keepLines/>
      <w:tabs>
        <w:tab w:val="left" w:pos="1152"/>
      </w:tabs>
      <w:spacing w:before="120" w:after="120" w:line="240" w:lineRule="auto"/>
      <w:outlineLvl w:val="0"/>
    </w:pPr>
    <w:rPr>
      <w:rFonts w:asciiTheme="majorHAnsi" w:eastAsiaTheme="majorEastAsia" w:hAnsiTheme="majorHAnsi" w:cstheme="majorBidi"/>
      <w:color w:val="2E74B5" w:themeColor="accent1" w:themeShade="BF"/>
      <w:sz w:val="32"/>
      <w:szCs w:val="32"/>
      <w:lang w:val="fr-FR"/>
    </w:rPr>
  </w:style>
  <w:style w:type="paragraph" w:styleId="Heading2">
    <w:name w:val="heading 2"/>
    <w:aliases w:val="BMS Heading 2"/>
    <w:basedOn w:val="Normal"/>
    <w:next w:val="Normal"/>
    <w:link w:val="Heading2Char"/>
    <w:uiPriority w:val="9"/>
    <w:unhideWhenUsed/>
    <w:qFormat/>
    <w:rsid w:val="00CE167A"/>
    <w:pPr>
      <w:keepNext/>
      <w:keepLines/>
      <w:tabs>
        <w:tab w:val="left" w:pos="1152"/>
      </w:tabs>
      <w:spacing w:before="120" w:after="120" w:line="240" w:lineRule="auto"/>
      <w:outlineLvl w:val="1"/>
    </w:pPr>
    <w:rPr>
      <w:rFonts w:asciiTheme="majorHAnsi" w:eastAsiaTheme="majorEastAsia" w:hAnsiTheme="majorHAnsi" w:cstheme="majorBidi"/>
      <w:color w:val="2E74B5" w:themeColor="accent1" w:themeShade="BF"/>
      <w:sz w:val="26"/>
      <w:szCs w:val="26"/>
      <w:lang w:val="fr-FR"/>
    </w:rPr>
  </w:style>
  <w:style w:type="paragraph" w:styleId="Heading3">
    <w:name w:val="heading 3"/>
    <w:aliases w:val="BMS Heading 3"/>
    <w:basedOn w:val="Normal"/>
    <w:next w:val="Normal"/>
    <w:link w:val="Heading3Char"/>
    <w:uiPriority w:val="9"/>
    <w:unhideWhenUsed/>
    <w:qFormat/>
    <w:rsid w:val="00CE167A"/>
    <w:pPr>
      <w:keepNext/>
      <w:keepLines/>
      <w:tabs>
        <w:tab w:val="left" w:pos="1152"/>
      </w:tabs>
      <w:spacing w:before="120" w:after="120" w:line="240" w:lineRule="auto"/>
      <w:outlineLvl w:val="2"/>
    </w:pPr>
    <w:rPr>
      <w:rFonts w:asciiTheme="majorHAnsi" w:eastAsiaTheme="majorEastAsia" w:hAnsiTheme="majorHAnsi" w:cstheme="majorBidi"/>
      <w:color w:val="1F4D78" w:themeColor="accent1" w:themeShade="7F"/>
      <w:sz w:val="24"/>
      <w:szCs w:val="24"/>
      <w:lang w:val="fr-FR"/>
    </w:rPr>
  </w:style>
  <w:style w:type="paragraph" w:styleId="Heading4">
    <w:name w:val="heading 4"/>
    <w:aliases w:val="BMS Heading 4"/>
    <w:basedOn w:val="Normal"/>
    <w:next w:val="Normal"/>
    <w:link w:val="Heading4Char"/>
    <w:uiPriority w:val="9"/>
    <w:unhideWhenUsed/>
    <w:qFormat/>
    <w:rsid w:val="00CE167A"/>
    <w:pPr>
      <w:keepNext/>
      <w:keepLines/>
      <w:tabs>
        <w:tab w:val="left" w:pos="1152"/>
      </w:tabs>
      <w:spacing w:before="120" w:after="120" w:line="240" w:lineRule="auto"/>
      <w:outlineLvl w:val="3"/>
    </w:pPr>
    <w:rPr>
      <w:rFonts w:asciiTheme="majorHAnsi" w:eastAsiaTheme="majorEastAsia" w:hAnsiTheme="majorHAnsi" w:cstheme="majorBidi"/>
      <w:i/>
      <w:iCs/>
      <w:color w:val="2E74B5" w:themeColor="accent1" w:themeShade="BF"/>
      <w:lang w:val="fr-FR"/>
    </w:rPr>
  </w:style>
  <w:style w:type="paragraph" w:styleId="Heading5">
    <w:name w:val="heading 5"/>
    <w:basedOn w:val="Normal"/>
    <w:next w:val="Normal"/>
    <w:link w:val="Heading5Char"/>
    <w:uiPriority w:val="9"/>
    <w:unhideWhenUsed/>
    <w:qFormat/>
    <w:rsid w:val="00CE167A"/>
    <w:pPr>
      <w:keepNext/>
      <w:keepLines/>
      <w:spacing w:before="40" w:after="0"/>
      <w:outlineLvl w:val="4"/>
    </w:pPr>
    <w:rPr>
      <w:rFonts w:asciiTheme="majorHAnsi" w:eastAsiaTheme="majorEastAsia" w:hAnsiTheme="majorHAnsi" w:cstheme="majorBidi"/>
      <w:color w:val="2E74B5" w:themeColor="accent1" w:themeShade="BF"/>
      <w:lang w:val="fr-FR"/>
    </w:rPr>
  </w:style>
  <w:style w:type="paragraph" w:styleId="Heading6">
    <w:name w:val="heading 6"/>
    <w:basedOn w:val="Normal"/>
    <w:next w:val="Normal"/>
    <w:link w:val="Heading6Char"/>
    <w:uiPriority w:val="9"/>
    <w:unhideWhenUsed/>
    <w:qFormat/>
    <w:rsid w:val="00CE167A"/>
    <w:pPr>
      <w:keepNext/>
      <w:keepLines/>
      <w:spacing w:before="40" w:after="0"/>
      <w:outlineLvl w:val="5"/>
    </w:pPr>
    <w:rPr>
      <w:rFonts w:asciiTheme="majorHAnsi" w:eastAsiaTheme="majorEastAsia" w:hAnsiTheme="majorHAnsi" w:cstheme="majorBidi"/>
      <w:color w:val="1F4D78" w:themeColor="accent1" w:themeShade="7F"/>
      <w:lang w:val="fr-FR"/>
    </w:rPr>
  </w:style>
  <w:style w:type="paragraph" w:styleId="Heading7">
    <w:name w:val="heading 7"/>
    <w:basedOn w:val="Normal"/>
    <w:link w:val="Heading7Char"/>
    <w:uiPriority w:val="9"/>
    <w:semiHidden/>
    <w:unhideWhenUsed/>
    <w:qFormat/>
    <w:rsid w:val="00B26127"/>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link w:val="Heading8Char"/>
    <w:uiPriority w:val="9"/>
    <w:semiHidden/>
    <w:unhideWhenUsed/>
    <w:qFormat/>
    <w:rsid w:val="00B2612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link w:val="Heading9Char"/>
    <w:uiPriority w:val="9"/>
    <w:semiHidden/>
    <w:unhideWhenUsed/>
    <w:qFormat/>
    <w:rsid w:val="00B2612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aliases w:val="Note de fin Car1 Car,Note de fin Car Car Car,Note de fin Car1 Car Car Car,Note de fin Car Car Car Car Car,Note de fin Car1 Car Car Car Car Car,Note de fin Car Car Car Car Car Car Car"/>
    <w:basedOn w:val="Normal"/>
    <w:link w:val="EndnoteTextChar"/>
    <w:unhideWhenUsed/>
    <w:qFormat/>
    <w:rsid w:val="009B63AF"/>
    <w:pPr>
      <w:spacing w:after="0" w:line="240" w:lineRule="auto"/>
    </w:pPr>
    <w:rPr>
      <w:sz w:val="20"/>
      <w:szCs w:val="20"/>
    </w:rPr>
  </w:style>
  <w:style w:type="character" w:customStyle="1" w:styleId="EndnoteTextChar">
    <w:name w:val="Endnote Text Char"/>
    <w:aliases w:val="Note de fin Car1 Car Char,Note de fin Car Car Car Char,Note de fin Car1 Car Car Car Char,Note de fin Car Car Car Car Car Char,Note de fin Car1 Car Car Car Car Car Char,Note de fin Car Car Car Car Car Car Car Char"/>
    <w:basedOn w:val="DefaultParagraphFont"/>
    <w:link w:val="EndnoteText"/>
    <w:rsid w:val="009B63AF"/>
    <w:rPr>
      <w:sz w:val="20"/>
      <w:szCs w:val="20"/>
    </w:rPr>
  </w:style>
  <w:style w:type="character" w:styleId="EndnoteReference">
    <w:name w:val="endnote reference"/>
    <w:basedOn w:val="DefaultParagraphFont"/>
    <w:uiPriority w:val="99"/>
    <w:unhideWhenUsed/>
    <w:rsid w:val="009B63AF"/>
    <w:rPr>
      <w:vertAlign w:val="superscript"/>
    </w:rPr>
  </w:style>
  <w:style w:type="paragraph" w:styleId="BodyText">
    <w:name w:val="Body Text"/>
    <w:basedOn w:val="Normal"/>
    <w:link w:val="BodyTextChar"/>
    <w:uiPriority w:val="99"/>
    <w:unhideWhenUsed/>
    <w:rsid w:val="00B5580A"/>
    <w:pPr>
      <w:spacing w:after="120"/>
    </w:pPr>
  </w:style>
  <w:style w:type="character" w:customStyle="1" w:styleId="BodyTextChar">
    <w:name w:val="Body Text Char"/>
    <w:basedOn w:val="DefaultParagraphFont"/>
    <w:link w:val="BodyText"/>
    <w:rsid w:val="00B5580A"/>
  </w:style>
  <w:style w:type="paragraph" w:styleId="FootnoteText">
    <w:name w:val="footnote text"/>
    <w:basedOn w:val="Normal"/>
    <w:link w:val="FootnoteTextChar"/>
    <w:uiPriority w:val="99"/>
    <w:semiHidden/>
    <w:unhideWhenUsed/>
    <w:rsid w:val="001A649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649D"/>
    <w:rPr>
      <w:sz w:val="20"/>
      <w:szCs w:val="20"/>
    </w:rPr>
  </w:style>
  <w:style w:type="character" w:styleId="FootnoteReference">
    <w:name w:val="footnote reference"/>
    <w:basedOn w:val="DefaultParagraphFont"/>
    <w:uiPriority w:val="99"/>
    <w:semiHidden/>
    <w:unhideWhenUsed/>
    <w:rsid w:val="001A649D"/>
    <w:rPr>
      <w:vertAlign w:val="superscript"/>
    </w:rPr>
  </w:style>
  <w:style w:type="character" w:styleId="Hyperlink">
    <w:name w:val="Hyperlink"/>
    <w:basedOn w:val="DefaultParagraphFont"/>
    <w:uiPriority w:val="99"/>
    <w:unhideWhenUsed/>
    <w:rsid w:val="00283D49"/>
    <w:rPr>
      <w:color w:val="0000FF"/>
      <w:u w:val="single"/>
    </w:rPr>
  </w:style>
  <w:style w:type="paragraph" w:styleId="Header">
    <w:name w:val="header"/>
    <w:basedOn w:val="Normal"/>
    <w:link w:val="HeaderChar"/>
    <w:uiPriority w:val="99"/>
    <w:unhideWhenUsed/>
    <w:rsid w:val="00146A44"/>
    <w:pPr>
      <w:tabs>
        <w:tab w:val="center" w:pos="4536"/>
        <w:tab w:val="right" w:pos="9072"/>
      </w:tabs>
      <w:spacing w:after="0" w:line="240" w:lineRule="auto"/>
    </w:pPr>
  </w:style>
  <w:style w:type="character" w:customStyle="1" w:styleId="HeaderChar">
    <w:name w:val="Header Char"/>
    <w:basedOn w:val="DefaultParagraphFont"/>
    <w:link w:val="Header"/>
    <w:uiPriority w:val="99"/>
    <w:rsid w:val="00146A44"/>
  </w:style>
  <w:style w:type="paragraph" w:styleId="Footer">
    <w:name w:val="footer"/>
    <w:basedOn w:val="Normal"/>
    <w:link w:val="FooterChar"/>
    <w:uiPriority w:val="99"/>
    <w:unhideWhenUsed/>
    <w:rsid w:val="00146A44"/>
    <w:pPr>
      <w:tabs>
        <w:tab w:val="center" w:pos="4536"/>
        <w:tab w:val="right" w:pos="9072"/>
      </w:tabs>
      <w:spacing w:after="0" w:line="240" w:lineRule="auto"/>
    </w:pPr>
  </w:style>
  <w:style w:type="character" w:customStyle="1" w:styleId="FooterChar">
    <w:name w:val="Footer Char"/>
    <w:basedOn w:val="DefaultParagraphFont"/>
    <w:link w:val="Footer"/>
    <w:uiPriority w:val="99"/>
    <w:rsid w:val="00146A44"/>
  </w:style>
  <w:style w:type="paragraph" w:customStyle="1" w:styleId="Default">
    <w:name w:val="Default"/>
    <w:rsid w:val="004B32FB"/>
    <w:pPr>
      <w:autoSpaceDE w:val="0"/>
      <w:autoSpaceDN w:val="0"/>
      <w:adjustRightInd w:val="0"/>
      <w:spacing w:after="0" w:line="240" w:lineRule="auto"/>
    </w:pPr>
    <w:rPr>
      <w:rFonts w:ascii="Verdana" w:hAnsi="Verdana" w:cs="Verdana"/>
      <w:color w:val="000000"/>
      <w:sz w:val="24"/>
      <w:szCs w:val="24"/>
    </w:rPr>
  </w:style>
  <w:style w:type="character" w:customStyle="1" w:styleId="Heading1Char">
    <w:name w:val="Heading 1 Char"/>
    <w:aliases w:val="BMS Heading 1 Char"/>
    <w:basedOn w:val="DefaultParagraphFont"/>
    <w:link w:val="Heading1"/>
    <w:uiPriority w:val="9"/>
    <w:rsid w:val="00CE167A"/>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BMS Heading 2 Char"/>
    <w:basedOn w:val="DefaultParagraphFont"/>
    <w:link w:val="Heading2"/>
    <w:uiPriority w:val="9"/>
    <w:rsid w:val="00CE167A"/>
    <w:rPr>
      <w:rFonts w:asciiTheme="majorHAnsi" w:eastAsiaTheme="majorEastAsia" w:hAnsiTheme="majorHAnsi" w:cstheme="majorBidi"/>
      <w:color w:val="2E74B5" w:themeColor="accent1" w:themeShade="BF"/>
      <w:sz w:val="26"/>
      <w:szCs w:val="26"/>
    </w:rPr>
  </w:style>
  <w:style w:type="character" w:customStyle="1" w:styleId="Heading3Char">
    <w:name w:val="Heading 3 Char"/>
    <w:aliases w:val="BMS Heading 3 Char"/>
    <w:basedOn w:val="DefaultParagraphFont"/>
    <w:link w:val="Heading3"/>
    <w:uiPriority w:val="9"/>
    <w:rsid w:val="00CE167A"/>
    <w:rPr>
      <w:rFonts w:asciiTheme="majorHAnsi" w:eastAsiaTheme="majorEastAsia" w:hAnsiTheme="majorHAnsi" w:cstheme="majorBidi"/>
      <w:color w:val="1F4D78" w:themeColor="accent1" w:themeShade="7F"/>
      <w:sz w:val="24"/>
      <w:szCs w:val="24"/>
    </w:rPr>
  </w:style>
  <w:style w:type="character" w:customStyle="1" w:styleId="Heading4Char">
    <w:name w:val="Heading 4 Char"/>
    <w:aliases w:val="BMS Heading 4 Char"/>
    <w:basedOn w:val="DefaultParagraphFont"/>
    <w:link w:val="Heading4"/>
    <w:uiPriority w:val="9"/>
    <w:rsid w:val="00CE167A"/>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CE167A"/>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sid w:val="00CE167A"/>
    <w:rPr>
      <w:rFonts w:asciiTheme="majorHAnsi" w:eastAsiaTheme="majorEastAsia" w:hAnsiTheme="majorHAnsi" w:cstheme="majorBidi"/>
      <w:color w:val="1F4D78" w:themeColor="accent1" w:themeShade="7F"/>
    </w:rPr>
  </w:style>
  <w:style w:type="paragraph" w:styleId="Caption">
    <w:name w:val="caption"/>
    <w:basedOn w:val="Normal"/>
    <w:next w:val="Normal"/>
    <w:uiPriority w:val="35"/>
    <w:unhideWhenUsed/>
    <w:qFormat/>
    <w:rsid w:val="006E1FFC"/>
    <w:pPr>
      <w:spacing w:after="200" w:line="240" w:lineRule="auto"/>
    </w:pPr>
    <w:rPr>
      <w:i/>
      <w:iCs/>
      <w:color w:val="44546A" w:themeColor="text2"/>
      <w:sz w:val="18"/>
      <w:szCs w:val="18"/>
    </w:rPr>
  </w:style>
  <w:style w:type="table" w:customStyle="1" w:styleId="PlainTable21">
    <w:name w:val="Plain Table 21"/>
    <w:basedOn w:val="TableNormal"/>
    <w:next w:val="PlainTable2"/>
    <w:uiPriority w:val="42"/>
    <w:rsid w:val="00CA54C2"/>
    <w:pPr>
      <w:spacing w:after="0" w:line="240" w:lineRule="auto"/>
    </w:pPr>
    <w:rPr>
      <w:rFonts w:ascii="Times New Roman" w:eastAsia="Times New Roman" w:hAnsi="Times New Roman" w:cs="Times New Roman"/>
      <w:sz w:val="20"/>
      <w:szCs w:val="20"/>
      <w:lang w:eastAsia="fr-FR"/>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CA54C2"/>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B81652"/>
    <w:pPr>
      <w:spacing w:after="0" w:line="260" w:lineRule="atLeast"/>
    </w:pPr>
    <w:rPr>
      <w:rFonts w:ascii="Times New Roman" w:eastAsia="Times New Roman" w:hAnsi="Times New Roman" w:cs="Times New Roman"/>
      <w:sz w:val="20"/>
      <w:szCs w:val="20"/>
      <w:lang w:eastAsia="fr-FR"/>
    </w:rPr>
    <w:tblPr>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0" w:type="dxa"/>
        <w:left w:w="108" w:type="dxa"/>
        <w:bottom w:w="0" w:type="dxa"/>
        <w:right w:w="108" w:type="dxa"/>
      </w:tblCellMar>
    </w:tblPr>
    <w:tcPr>
      <w:vAlign w:val="center"/>
    </w:tcPr>
    <w:tblStylePr w:type="firstRow">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l2br w:val="nil"/>
          <w:tr2bl w:val="nil"/>
        </w:tcBorders>
      </w:tcPr>
    </w:tblStylePr>
  </w:style>
  <w:style w:type="table" w:customStyle="1" w:styleId="Grilledutableau09gnriqueEPP">
    <w:name w:val="Grille du tableau 09 (générique EPP)"/>
    <w:basedOn w:val="TableGrid"/>
    <w:rsid w:val="001925CC"/>
    <w:tblPr>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0" w:type="dxa"/>
        <w:left w:w="108" w:type="dxa"/>
        <w:bottom w:w="0" w:type="dxa"/>
        <w:right w:w="108" w:type="dxa"/>
      </w:tblCellMar>
    </w:tblPr>
    <w:tcPr>
      <w:vAlign w:val="center"/>
    </w:tcPr>
    <w:tblStylePr w:type="firstRow">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l2br w:val="nil"/>
          <w:tr2bl w:val="nil"/>
        </w:tcBorders>
        <w:shd w:val="clear" w:color="auto" w:fill="00AFAD"/>
      </w:tcPr>
    </w:tblStylePr>
  </w:style>
  <w:style w:type="table" w:customStyle="1" w:styleId="HEVAHEORbiblio">
    <w:name w:val="HEVA HEOR biblio"/>
    <w:basedOn w:val="TableNormal"/>
    <w:uiPriority w:val="99"/>
    <w:rsid w:val="00836EB4"/>
    <w:pPr>
      <w:spacing w:after="0" w:line="240" w:lineRule="auto"/>
    </w:pPr>
    <w:rPr>
      <w:rFonts w:eastAsiaTheme="minorEastAsia"/>
      <w:sz w:val="20"/>
      <w:szCs w:val="20"/>
      <w:lang w:eastAsia="ja-JP"/>
    </w:rPr>
    <w:tblPr>
      <w:tblStyleRowBandSize w:val="1"/>
      <w:tblInd w:w="0" w:type="dxa"/>
      <w:tblBorders>
        <w:top w:val="single" w:sz="4" w:space="0" w:color="1A8D96"/>
        <w:left w:val="single" w:sz="4" w:space="0" w:color="1A8D96"/>
        <w:bottom w:val="single" w:sz="4" w:space="0" w:color="1A8D96"/>
        <w:right w:val="single" w:sz="4" w:space="0" w:color="1A8D96"/>
        <w:insideH w:val="single" w:sz="4" w:space="0" w:color="1A8D96"/>
        <w:insideV w:val="single" w:sz="4" w:space="0" w:color="1A8D96"/>
      </w:tblBorders>
      <w:tblCellMar>
        <w:top w:w="0" w:type="dxa"/>
        <w:left w:w="108" w:type="dxa"/>
        <w:bottom w:w="0" w:type="dxa"/>
        <w:right w:w="108" w:type="dxa"/>
      </w:tblCellMar>
    </w:tblPr>
    <w:tblStylePr w:type="firstRow">
      <w:tblPr/>
      <w:tcPr>
        <w:shd w:val="clear" w:color="auto" w:fill="23BFC9"/>
      </w:tcPr>
    </w:tblStylePr>
    <w:tblStylePr w:type="band2Horz">
      <w:tblPr/>
      <w:tcPr>
        <w:shd w:val="clear" w:color="auto" w:fill="F2F2F2" w:themeFill="background1" w:themeFillShade="F2"/>
      </w:tcPr>
    </w:tblStylePr>
  </w:style>
  <w:style w:type="paragraph" w:customStyle="1" w:styleId="TableParagraph">
    <w:name w:val="Table Paragraph"/>
    <w:basedOn w:val="Normal"/>
    <w:uiPriority w:val="1"/>
    <w:qFormat/>
    <w:rsid w:val="00310836"/>
    <w:pPr>
      <w:widowControl w:val="0"/>
      <w:spacing w:after="0" w:line="240" w:lineRule="auto"/>
    </w:pPr>
  </w:style>
  <w:style w:type="paragraph" w:styleId="NormalWeb">
    <w:name w:val="Normal (Web)"/>
    <w:basedOn w:val="Normal"/>
    <w:uiPriority w:val="99"/>
    <w:unhideWhenUsed/>
    <w:rsid w:val="00BA4EE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CommentReference">
    <w:name w:val="annotation reference"/>
    <w:basedOn w:val="DefaultParagraphFont"/>
    <w:uiPriority w:val="99"/>
    <w:semiHidden/>
    <w:unhideWhenUsed/>
    <w:rsid w:val="005F257F"/>
    <w:rPr>
      <w:sz w:val="16"/>
      <w:szCs w:val="16"/>
    </w:rPr>
  </w:style>
  <w:style w:type="paragraph" w:styleId="CommentText">
    <w:name w:val="annotation text"/>
    <w:basedOn w:val="Normal"/>
    <w:link w:val="CommentTextChar"/>
    <w:uiPriority w:val="99"/>
    <w:unhideWhenUsed/>
    <w:rsid w:val="005F257F"/>
    <w:pPr>
      <w:spacing w:line="240" w:lineRule="auto"/>
    </w:pPr>
    <w:rPr>
      <w:sz w:val="20"/>
      <w:szCs w:val="20"/>
    </w:rPr>
  </w:style>
  <w:style w:type="character" w:customStyle="1" w:styleId="CommentTextChar">
    <w:name w:val="Comment Text Char"/>
    <w:basedOn w:val="DefaultParagraphFont"/>
    <w:link w:val="CommentText"/>
    <w:uiPriority w:val="99"/>
    <w:rsid w:val="005F257F"/>
    <w:rPr>
      <w:sz w:val="20"/>
      <w:szCs w:val="20"/>
    </w:rPr>
  </w:style>
  <w:style w:type="paragraph" w:styleId="CommentSubject">
    <w:name w:val="annotation subject"/>
    <w:basedOn w:val="CommentText"/>
    <w:next w:val="CommentText"/>
    <w:link w:val="CommentSubjectChar"/>
    <w:uiPriority w:val="99"/>
    <w:semiHidden/>
    <w:unhideWhenUsed/>
    <w:rsid w:val="005F257F"/>
    <w:rPr>
      <w:b/>
      <w:bCs/>
    </w:rPr>
  </w:style>
  <w:style w:type="character" w:customStyle="1" w:styleId="CommentSubjectChar">
    <w:name w:val="Comment Subject Char"/>
    <w:basedOn w:val="CommentTextChar"/>
    <w:link w:val="CommentSubject"/>
    <w:uiPriority w:val="99"/>
    <w:semiHidden/>
    <w:rsid w:val="005F257F"/>
    <w:rPr>
      <w:b/>
      <w:bCs/>
      <w:sz w:val="20"/>
      <w:szCs w:val="20"/>
    </w:rPr>
  </w:style>
  <w:style w:type="paragraph" w:styleId="BalloonText">
    <w:name w:val="Balloon Text"/>
    <w:basedOn w:val="Normal"/>
    <w:link w:val="BalloonTextChar"/>
    <w:uiPriority w:val="99"/>
    <w:semiHidden/>
    <w:unhideWhenUsed/>
    <w:rsid w:val="005F25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257F"/>
    <w:rPr>
      <w:rFonts w:ascii="Segoe UI" w:hAnsi="Segoe UI" w:cs="Segoe UI"/>
      <w:sz w:val="18"/>
      <w:szCs w:val="18"/>
    </w:rPr>
  </w:style>
  <w:style w:type="character" w:styleId="Strong">
    <w:name w:val="Strong"/>
    <w:basedOn w:val="DefaultParagraphFont"/>
    <w:uiPriority w:val="22"/>
    <w:qFormat/>
    <w:rsid w:val="005F257F"/>
    <w:rPr>
      <w:b/>
      <w:bCs/>
    </w:rPr>
  </w:style>
  <w:style w:type="paragraph" w:styleId="TOC1">
    <w:name w:val="toc 1"/>
    <w:basedOn w:val="Normal"/>
    <w:next w:val="Normal"/>
    <w:autoRedefine/>
    <w:uiPriority w:val="39"/>
    <w:semiHidden/>
    <w:unhideWhenUsed/>
    <w:rsid w:val="00B26127"/>
    <w:pPr>
      <w:tabs>
        <w:tab w:val="right" w:leader="dot" w:pos="9360"/>
      </w:tabs>
      <w:spacing w:after="100"/>
    </w:pPr>
  </w:style>
  <w:style w:type="paragraph" w:styleId="TOC2">
    <w:name w:val="toc 2"/>
    <w:basedOn w:val="Normal"/>
    <w:next w:val="Normal"/>
    <w:autoRedefine/>
    <w:uiPriority w:val="39"/>
    <w:semiHidden/>
    <w:unhideWhenUsed/>
    <w:rsid w:val="00B26127"/>
    <w:pPr>
      <w:tabs>
        <w:tab w:val="right" w:leader="dot" w:pos="9360"/>
      </w:tabs>
      <w:spacing w:after="100"/>
      <w:ind w:left="220"/>
    </w:pPr>
  </w:style>
  <w:style w:type="paragraph" w:styleId="TOC3">
    <w:name w:val="toc 3"/>
    <w:basedOn w:val="Normal"/>
    <w:next w:val="Normal"/>
    <w:autoRedefine/>
    <w:uiPriority w:val="39"/>
    <w:semiHidden/>
    <w:unhideWhenUsed/>
    <w:rsid w:val="00B26127"/>
    <w:pPr>
      <w:tabs>
        <w:tab w:val="right" w:leader="dot" w:pos="9360"/>
      </w:tabs>
      <w:spacing w:after="100"/>
      <w:ind w:left="440"/>
    </w:pPr>
  </w:style>
  <w:style w:type="paragraph" w:styleId="TOC4">
    <w:name w:val="toc 4"/>
    <w:basedOn w:val="Normal"/>
    <w:next w:val="Normal"/>
    <w:autoRedefine/>
    <w:uiPriority w:val="39"/>
    <w:semiHidden/>
    <w:unhideWhenUsed/>
    <w:rsid w:val="00B26127"/>
    <w:pPr>
      <w:tabs>
        <w:tab w:val="right" w:leader="dot" w:pos="9360"/>
      </w:tabs>
      <w:spacing w:after="100"/>
      <w:ind w:left="660"/>
    </w:pPr>
  </w:style>
  <w:style w:type="character" w:customStyle="1" w:styleId="Heading7Char">
    <w:name w:val="Heading 7 Char"/>
    <w:basedOn w:val="DefaultParagraphFont"/>
    <w:link w:val="Heading7"/>
    <w:uiPriority w:val="9"/>
    <w:semiHidden/>
    <w:rsid w:val="00B26127"/>
    <w:rPr>
      <w:rFonts w:asciiTheme="majorHAnsi" w:eastAsiaTheme="majorEastAsia" w:hAnsiTheme="majorHAnsi" w:cstheme="majorBidi"/>
      <w:i/>
      <w:iCs/>
      <w:color w:val="1F4D78" w:themeColor="accent1" w:themeShade="7F"/>
      <w:lang w:val="en-US"/>
    </w:rPr>
  </w:style>
  <w:style w:type="character" w:customStyle="1" w:styleId="Heading8Char">
    <w:name w:val="Heading 8 Char"/>
    <w:basedOn w:val="DefaultParagraphFont"/>
    <w:link w:val="Heading8"/>
    <w:uiPriority w:val="9"/>
    <w:semiHidden/>
    <w:rsid w:val="00B26127"/>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B26127"/>
    <w:rPr>
      <w:rFonts w:asciiTheme="majorHAnsi" w:eastAsiaTheme="majorEastAsia" w:hAnsiTheme="majorHAnsi" w:cstheme="majorBidi"/>
      <w:i/>
      <w:iCs/>
      <w:color w:val="272727" w:themeColor="text1" w:themeTint="D8"/>
      <w:sz w:val="21"/>
      <w:szCs w:val="21"/>
      <w:lang w:val="en-US"/>
    </w:rPr>
  </w:style>
  <w:style w:type="character" w:styleId="FollowedHyperlink">
    <w:name w:val="FollowedHyperlink"/>
    <w:basedOn w:val="DefaultParagraphFont"/>
    <w:uiPriority w:val="99"/>
    <w:semiHidden/>
    <w:unhideWhenUsed/>
    <w:rsid w:val="00F07E87"/>
    <w:rPr>
      <w:color w:val="954F72" w:themeColor="followedHyperlink"/>
      <w:u w:val="single"/>
    </w:rPr>
  </w:style>
  <w:style w:type="paragraph" w:customStyle="1" w:styleId="EndNoteBibliographyTitle">
    <w:name w:val="EndNote Bibliography Title"/>
    <w:basedOn w:val="Normal"/>
    <w:link w:val="EndNoteBibliographyTitleChar"/>
    <w:rsid w:val="0084041E"/>
    <w:pPr>
      <w:spacing w:after="0"/>
      <w:jc w:val="center"/>
    </w:pPr>
    <w:rPr>
      <w:rFonts w:ascii="Calibri" w:hAnsi="Calibri" w:cs="Calibri"/>
      <w:noProof/>
    </w:rPr>
  </w:style>
  <w:style w:type="character" w:customStyle="1" w:styleId="EndNoteBibliographyTitleChar">
    <w:name w:val="EndNote Bibliography Title Char"/>
    <w:basedOn w:val="EndnoteTextChar"/>
    <w:link w:val="EndNoteBibliographyTitle"/>
    <w:rsid w:val="0084041E"/>
    <w:rPr>
      <w:rFonts w:ascii="Calibri" w:hAnsi="Calibri" w:cs="Calibri"/>
      <w:noProof/>
      <w:sz w:val="20"/>
      <w:szCs w:val="20"/>
      <w:lang w:val="en-US"/>
    </w:rPr>
  </w:style>
  <w:style w:type="paragraph" w:customStyle="1" w:styleId="EndNoteBibliography">
    <w:name w:val="EndNote Bibliography"/>
    <w:basedOn w:val="Normal"/>
    <w:link w:val="EndNoteBibliographyChar"/>
    <w:rsid w:val="0084041E"/>
    <w:pPr>
      <w:spacing w:line="240" w:lineRule="auto"/>
    </w:pPr>
    <w:rPr>
      <w:rFonts w:ascii="Calibri" w:hAnsi="Calibri" w:cs="Calibri"/>
      <w:noProof/>
    </w:rPr>
  </w:style>
  <w:style w:type="character" w:customStyle="1" w:styleId="EndNoteBibliographyChar">
    <w:name w:val="EndNote Bibliography Char"/>
    <w:basedOn w:val="EndnoteTextChar"/>
    <w:link w:val="EndNoteBibliography"/>
    <w:rsid w:val="0084041E"/>
    <w:rPr>
      <w:rFonts w:ascii="Calibri" w:hAnsi="Calibri" w:cs="Calibri"/>
      <w:noProof/>
      <w:sz w:val="20"/>
      <w:szCs w:val="20"/>
      <w:lang w:val="en-US"/>
    </w:rPr>
  </w:style>
  <w:style w:type="character" w:customStyle="1" w:styleId="UnresolvedMention1">
    <w:name w:val="Unresolved Mention1"/>
    <w:basedOn w:val="DefaultParagraphFont"/>
    <w:uiPriority w:val="99"/>
    <w:semiHidden/>
    <w:unhideWhenUsed/>
    <w:rsid w:val="00DC6372"/>
    <w:rPr>
      <w:color w:val="605E5C"/>
      <w:shd w:val="clear" w:color="auto" w:fill="E1DFDD"/>
    </w:rPr>
  </w:style>
  <w:style w:type="character" w:customStyle="1" w:styleId="UnresolvedMention">
    <w:name w:val="Unresolved Mention"/>
    <w:basedOn w:val="DefaultParagraphFont"/>
    <w:uiPriority w:val="99"/>
    <w:semiHidden/>
    <w:unhideWhenUsed/>
    <w:rsid w:val="003721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079182">
      <w:bodyDiv w:val="1"/>
      <w:marLeft w:val="0"/>
      <w:marRight w:val="0"/>
      <w:marTop w:val="0"/>
      <w:marBottom w:val="0"/>
      <w:divBdr>
        <w:top w:val="none" w:sz="0" w:space="0" w:color="auto"/>
        <w:left w:val="none" w:sz="0" w:space="0" w:color="auto"/>
        <w:bottom w:val="none" w:sz="0" w:space="0" w:color="auto"/>
        <w:right w:val="none" w:sz="0" w:space="0" w:color="auto"/>
      </w:divBdr>
    </w:div>
    <w:div w:id="791823496">
      <w:bodyDiv w:val="1"/>
      <w:marLeft w:val="0"/>
      <w:marRight w:val="0"/>
      <w:marTop w:val="0"/>
      <w:marBottom w:val="0"/>
      <w:divBdr>
        <w:top w:val="none" w:sz="0" w:space="0" w:color="auto"/>
        <w:left w:val="none" w:sz="0" w:space="0" w:color="auto"/>
        <w:bottom w:val="none" w:sz="0" w:space="0" w:color="auto"/>
        <w:right w:val="none" w:sz="0" w:space="0" w:color="auto"/>
      </w:divBdr>
    </w:div>
    <w:div w:id="897086773">
      <w:bodyDiv w:val="1"/>
      <w:marLeft w:val="0"/>
      <w:marRight w:val="0"/>
      <w:marTop w:val="0"/>
      <w:marBottom w:val="0"/>
      <w:divBdr>
        <w:top w:val="none" w:sz="0" w:space="0" w:color="auto"/>
        <w:left w:val="none" w:sz="0" w:space="0" w:color="auto"/>
        <w:bottom w:val="none" w:sz="0" w:space="0" w:color="auto"/>
        <w:right w:val="none" w:sz="0" w:space="0" w:color="auto"/>
      </w:divBdr>
    </w:div>
    <w:div w:id="1010451784">
      <w:bodyDiv w:val="1"/>
      <w:marLeft w:val="0"/>
      <w:marRight w:val="0"/>
      <w:marTop w:val="0"/>
      <w:marBottom w:val="0"/>
      <w:divBdr>
        <w:top w:val="none" w:sz="0" w:space="0" w:color="auto"/>
        <w:left w:val="none" w:sz="0" w:space="0" w:color="auto"/>
        <w:bottom w:val="none" w:sz="0" w:space="0" w:color="auto"/>
        <w:right w:val="none" w:sz="0" w:space="0" w:color="auto"/>
      </w:divBdr>
    </w:div>
    <w:div w:id="1286430607">
      <w:bodyDiv w:val="1"/>
      <w:marLeft w:val="0"/>
      <w:marRight w:val="0"/>
      <w:marTop w:val="0"/>
      <w:marBottom w:val="0"/>
      <w:divBdr>
        <w:top w:val="none" w:sz="0" w:space="0" w:color="auto"/>
        <w:left w:val="none" w:sz="0" w:space="0" w:color="auto"/>
        <w:bottom w:val="none" w:sz="0" w:space="0" w:color="auto"/>
        <w:right w:val="none" w:sz="0" w:space="0" w:color="auto"/>
      </w:divBdr>
    </w:div>
    <w:div w:id="1466967082">
      <w:bodyDiv w:val="1"/>
      <w:marLeft w:val="0"/>
      <w:marRight w:val="0"/>
      <w:marTop w:val="0"/>
      <w:marBottom w:val="0"/>
      <w:divBdr>
        <w:top w:val="none" w:sz="0" w:space="0" w:color="auto"/>
        <w:left w:val="none" w:sz="0" w:space="0" w:color="auto"/>
        <w:bottom w:val="none" w:sz="0" w:space="0" w:color="auto"/>
        <w:right w:val="none" w:sz="0" w:space="0" w:color="auto"/>
      </w:divBdr>
    </w:div>
    <w:div w:id="1879855904">
      <w:bodyDiv w:val="1"/>
      <w:marLeft w:val="0"/>
      <w:marRight w:val="0"/>
      <w:marTop w:val="0"/>
      <w:marBottom w:val="0"/>
      <w:divBdr>
        <w:top w:val="none" w:sz="0" w:space="0" w:color="auto"/>
        <w:left w:val="none" w:sz="0" w:space="0" w:color="auto"/>
        <w:bottom w:val="none" w:sz="0" w:space="0" w:color="auto"/>
        <w:right w:val="none" w:sz="0" w:space="0" w:color="auto"/>
      </w:divBdr>
    </w:div>
    <w:div w:id="194506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AF4FBD0EF6344282D2A6B5A41CE740" ma:contentTypeVersion="4" ma:contentTypeDescription="Create a new document." ma:contentTypeScope="" ma:versionID="f557fc4f21556950849af809294e6e3b">
  <xsd:schema xmlns:xsd="http://www.w3.org/2001/XMLSchema" xmlns:xs="http://www.w3.org/2001/XMLSchema" xmlns:p="http://schemas.microsoft.com/office/2006/metadata/properties" xmlns:ns3="42a8c8f4-2b3f-487c-a2c0-52867899e17f" targetNamespace="http://schemas.microsoft.com/office/2006/metadata/properties" ma:root="true" ma:fieldsID="6ee3ee53fed40e5c4c0b0249d0243edd" ns3:_="">
    <xsd:import namespace="42a8c8f4-2b3f-487c-a2c0-52867899e17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8c8f4-2b3f-487c-a2c0-52867899e17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704EF7-4842-4BF5-87F2-501FB97C0D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8c8f4-2b3f-487c-a2c0-52867899e1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6D4C76-8407-4F9F-B7AA-1E35C045E642}">
  <ds:schemaRefs>
    <ds:schemaRef ds:uri="http://schemas.microsoft.com/sharepoint/v3/contenttype/forms"/>
  </ds:schemaRefs>
</ds:datastoreItem>
</file>

<file path=customXml/itemProps3.xml><?xml version="1.0" encoding="utf-8"?>
<ds:datastoreItem xmlns:ds="http://schemas.openxmlformats.org/officeDocument/2006/customXml" ds:itemID="{726860BD-E2DE-4412-AF03-18EDD531B0B2}">
  <ds:schemaRefs>
    <ds:schemaRef ds:uri="42a8c8f4-2b3f-487c-a2c0-52867899e17f"/>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D036F39F-8551-4016-9BE9-D020E8721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1</Pages>
  <Words>2538</Words>
  <Characters>14471</Characters>
  <Application>Microsoft Office Word</Application>
  <DocSecurity>0</DocSecurity>
  <Lines>120</Lines>
  <Paragraphs>33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Bristol-Myers Squibb Company</Company>
  <LinksUpToDate>false</LinksUpToDate>
  <CharactersWithSpaces>16976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Bregman, Bruno</dc:creator>
  <cp:keywords/>
  <dc:description/>
  <cp:lastModifiedBy>Lavanya M.</cp:lastModifiedBy>
  <cp:revision>11</cp:revision>
  <cp:lastPrinted>2020-05-27T14:13:00Z</cp:lastPrinted>
  <dcterms:created xsi:type="dcterms:W3CDTF">2020-06-04T15:13:00Z</dcterms:created>
  <dcterms:modified xsi:type="dcterms:W3CDTF">2020-09-05T13:00:00Z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0x01010057AF4FBD0EF6344282D2A6B5A41CE740</vt:lpwstr>
  </property>
</Properties>
</file>