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79"/>
        <w:ind w:right="1207"/>
      </w:pPr>
      <w:r>
        <w:rPr>
          <w:i/>
        </w:rPr>
        <w:t>Title</w:t>
      </w:r>
      <w:r>
        <w:rPr/>
        <w:t>:</w:t>
      </w:r>
      <w:r>
        <w:rPr>
          <w:spacing w:val="-4"/>
        </w:rPr>
        <w:t> </w:t>
      </w:r>
      <w:r>
        <w:rPr/>
        <w:t>Apremilast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palmoplantar</w:t>
      </w:r>
      <w:r>
        <w:rPr>
          <w:spacing w:val="-4"/>
        </w:rPr>
        <w:t> </w:t>
      </w:r>
      <w:r>
        <w:rPr/>
        <w:t>psoriasis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palmoplantar</w:t>
      </w:r>
      <w:r>
        <w:rPr>
          <w:spacing w:val="-6"/>
        </w:rPr>
        <w:t> </w:t>
      </w:r>
      <w:r>
        <w:rPr/>
        <w:t>pustulosis: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systematic</w:t>
      </w:r>
      <w:r>
        <w:rPr>
          <w:spacing w:val="-5"/>
        </w:rPr>
        <w:t> </w:t>
      </w:r>
      <w:r>
        <w:rPr/>
        <w:t>review</w:t>
      </w:r>
      <w:r>
        <w:rPr>
          <w:spacing w:val="-3"/>
        </w:rPr>
        <w:t> </w:t>
      </w:r>
      <w:r>
        <w:rPr/>
        <w:t>and </w:t>
      </w:r>
      <w:r>
        <w:rPr>
          <w:spacing w:val="-2"/>
        </w:rPr>
        <w:t>meta-analysis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line="480" w:lineRule="auto"/>
        <w:ind w:right="1207"/>
      </w:pPr>
      <w:r>
        <w:rPr>
          <w:i/>
        </w:rPr>
        <w:t>Authors</w:t>
      </w:r>
      <w:r>
        <w:rPr/>
        <w:t>:</w:t>
      </w:r>
      <w:r>
        <w:rPr>
          <w:spacing w:val="-4"/>
        </w:rPr>
        <w:t> </w:t>
      </w:r>
      <w:r>
        <w:rPr/>
        <w:t>Riley</w:t>
      </w:r>
      <w:r>
        <w:rPr>
          <w:spacing w:val="-3"/>
        </w:rPr>
        <w:t> </w:t>
      </w:r>
      <w:r>
        <w:rPr/>
        <w:t>K.</w:t>
      </w:r>
      <w:r>
        <w:rPr>
          <w:spacing w:val="-4"/>
        </w:rPr>
        <w:t> </w:t>
      </w:r>
      <w:r>
        <w:rPr/>
        <w:t>Spencer,</w:t>
      </w:r>
      <w:r>
        <w:rPr>
          <w:spacing w:val="-3"/>
        </w:rPr>
        <w:t> </w:t>
      </w:r>
      <w:r>
        <w:rPr/>
        <w:t>M.A.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Kareem</w:t>
      </w:r>
      <w:r>
        <w:rPr>
          <w:spacing w:val="-1"/>
          <w:vertAlign w:val="baseline"/>
        </w:rPr>
        <w:t> </w:t>
      </w:r>
      <w:r>
        <w:rPr>
          <w:vertAlign w:val="baseline"/>
        </w:rPr>
        <w:t>G.</w:t>
      </w:r>
      <w:r>
        <w:rPr>
          <w:spacing w:val="-4"/>
          <w:vertAlign w:val="baseline"/>
        </w:rPr>
        <w:t> </w:t>
      </w:r>
      <w:r>
        <w:rPr>
          <w:vertAlign w:val="baseline"/>
        </w:rPr>
        <w:t>Elhage,</w:t>
      </w:r>
      <w:r>
        <w:rPr>
          <w:spacing w:val="-3"/>
          <w:vertAlign w:val="baseline"/>
        </w:rPr>
        <w:t> </w:t>
      </w:r>
      <w:r>
        <w:rPr>
          <w:vertAlign w:val="baseline"/>
        </w:rPr>
        <w:t>B.A.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Joy</w:t>
      </w:r>
      <w:r>
        <w:rPr>
          <w:spacing w:val="-3"/>
          <w:vertAlign w:val="baseline"/>
        </w:rPr>
        <w:t> </w:t>
      </w:r>
      <w:r>
        <w:rPr>
          <w:vertAlign w:val="baseline"/>
        </w:rPr>
        <w:t>Q.</w:t>
      </w:r>
      <w:r>
        <w:rPr>
          <w:spacing w:val="-3"/>
          <w:vertAlign w:val="baseline"/>
        </w:rPr>
        <w:t> </w:t>
      </w:r>
      <w:r>
        <w:rPr>
          <w:vertAlign w:val="baseline"/>
        </w:rPr>
        <w:t>Jin,</w:t>
      </w:r>
      <w:r>
        <w:rPr>
          <w:spacing w:val="-3"/>
          <w:vertAlign w:val="baseline"/>
        </w:rPr>
        <w:t> </w:t>
      </w:r>
      <w:r>
        <w:rPr>
          <w:vertAlign w:val="baseline"/>
        </w:rPr>
        <w:t>A.B.</w:t>
      </w:r>
      <w:r>
        <w:rPr>
          <w:vertAlign w:val="superscript"/>
        </w:rPr>
        <w:t>1,</w:t>
      </w:r>
      <w:r>
        <w:rPr>
          <w:spacing w:val="-2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Mitchell</w:t>
      </w:r>
      <w:r>
        <w:rPr>
          <w:spacing w:val="-2"/>
          <w:vertAlign w:val="baseline"/>
        </w:rPr>
        <w:t> </w:t>
      </w:r>
      <w:r>
        <w:rPr>
          <w:vertAlign w:val="baseline"/>
        </w:rPr>
        <w:t>S. Davis, M.D.</w:t>
      </w:r>
      <w:r>
        <w:rPr>
          <w:vertAlign w:val="superscript"/>
        </w:rPr>
        <w:t>1</w:t>
      </w:r>
      <w:r>
        <w:rPr>
          <w:vertAlign w:val="baseline"/>
        </w:rPr>
        <w:t>, Marwa Hakimi, M.D.</w:t>
      </w:r>
      <w:r>
        <w:rPr>
          <w:vertAlign w:val="superscript"/>
        </w:rPr>
        <w:t>1</w:t>
      </w:r>
      <w:r>
        <w:rPr>
          <w:vertAlign w:val="baseline"/>
        </w:rPr>
        <w:t>, Tina Bhutani M.D., M.A.S.</w:t>
      </w:r>
      <w:r>
        <w:rPr>
          <w:vertAlign w:val="superscript"/>
        </w:rPr>
        <w:t>1</w:t>
      </w:r>
      <w:r>
        <w:rPr>
          <w:vertAlign w:val="baseline"/>
        </w:rPr>
        <w:t>, Wilson Liao, M.D.</w:t>
      </w:r>
      <w:r>
        <w:rPr>
          <w:vertAlign w:val="superscript"/>
        </w:rPr>
        <w:t>1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30"/>
      </w:pPr>
      <w:r>
        <w:rPr>
          <w:vertAlign w:val="superscript"/>
        </w:rPr>
        <w:t>1</w:t>
      </w:r>
      <w:r>
        <w:rPr>
          <w:vertAlign w:val="baseline"/>
        </w:rPr>
        <w:t>Department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Dermatology,</w:t>
      </w:r>
      <w:r>
        <w:rPr>
          <w:spacing w:val="-4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California</w:t>
      </w:r>
      <w:r>
        <w:rPr>
          <w:spacing w:val="-4"/>
          <w:vertAlign w:val="baseline"/>
        </w:rPr>
        <w:t> </w:t>
      </w:r>
      <w:r>
        <w:rPr>
          <w:vertAlign w:val="baseline"/>
        </w:rPr>
        <w:t>San</w:t>
      </w:r>
      <w:r>
        <w:rPr>
          <w:spacing w:val="-4"/>
          <w:vertAlign w:val="baseline"/>
        </w:rPr>
        <w:t> </w:t>
      </w:r>
      <w:r>
        <w:rPr>
          <w:vertAlign w:val="baseline"/>
        </w:rPr>
        <w:t>Francisco,</w:t>
      </w:r>
      <w:r>
        <w:rPr>
          <w:spacing w:val="-4"/>
          <w:vertAlign w:val="baseline"/>
        </w:rPr>
        <w:t> </w:t>
      </w:r>
      <w:r>
        <w:rPr>
          <w:vertAlign w:val="baseline"/>
        </w:rPr>
        <w:t>San</w:t>
      </w:r>
      <w:r>
        <w:rPr>
          <w:spacing w:val="-3"/>
          <w:vertAlign w:val="baseline"/>
        </w:rPr>
        <w:t> </w:t>
      </w:r>
      <w:r>
        <w:rPr>
          <w:vertAlign w:val="baseline"/>
        </w:rPr>
        <w:t>Francisco,</w:t>
      </w:r>
      <w:r>
        <w:rPr>
          <w:spacing w:val="-4"/>
          <w:vertAlign w:val="baseline"/>
        </w:rPr>
        <w:t> </w:t>
      </w:r>
      <w:r>
        <w:rPr>
          <w:spacing w:val="-5"/>
          <w:vertAlign w:val="baseline"/>
        </w:rPr>
        <w:t>CA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vertAlign w:val="superscript"/>
        </w:rPr>
        <w:t>2</w:t>
      </w:r>
      <w:r>
        <w:rPr>
          <w:vertAlign w:val="baseline"/>
        </w:rPr>
        <w:t>School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Medicine,</w:t>
      </w:r>
      <w:r>
        <w:rPr>
          <w:spacing w:val="-4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California</w:t>
      </w:r>
      <w:r>
        <w:rPr>
          <w:spacing w:val="-4"/>
          <w:vertAlign w:val="baseline"/>
        </w:rPr>
        <w:t> </w:t>
      </w:r>
      <w:r>
        <w:rPr>
          <w:vertAlign w:val="baseline"/>
        </w:rPr>
        <w:t>San</w:t>
      </w:r>
      <w:r>
        <w:rPr>
          <w:spacing w:val="-3"/>
          <w:vertAlign w:val="baseline"/>
        </w:rPr>
        <w:t> </w:t>
      </w:r>
      <w:r>
        <w:rPr>
          <w:vertAlign w:val="baseline"/>
        </w:rPr>
        <w:t>Francisco,</w:t>
      </w:r>
      <w:r>
        <w:rPr>
          <w:spacing w:val="-4"/>
          <w:vertAlign w:val="baseline"/>
        </w:rPr>
        <w:t> </w:t>
      </w:r>
      <w:r>
        <w:rPr>
          <w:vertAlign w:val="baseline"/>
        </w:rPr>
        <w:t>San</w:t>
      </w:r>
      <w:r>
        <w:rPr>
          <w:spacing w:val="-5"/>
          <w:vertAlign w:val="baseline"/>
        </w:rPr>
        <w:t> </w:t>
      </w:r>
      <w:r>
        <w:rPr>
          <w:vertAlign w:val="baseline"/>
        </w:rPr>
        <w:t>Francisco,</w:t>
      </w:r>
      <w:r>
        <w:rPr>
          <w:spacing w:val="-4"/>
          <w:vertAlign w:val="baseline"/>
        </w:rPr>
        <w:t> </w:t>
      </w:r>
      <w:r>
        <w:rPr>
          <w:spacing w:val="-5"/>
          <w:vertAlign w:val="baseline"/>
        </w:rPr>
        <w:t>CA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spacing w:line="480" w:lineRule="auto" w:before="184"/>
        <w:ind w:left="100" w:right="8334" w:firstLine="0"/>
        <w:jc w:val="left"/>
        <w:rPr>
          <w:sz w:val="24"/>
        </w:rPr>
      </w:pPr>
      <w:r>
        <w:rPr>
          <w:i/>
          <w:sz w:val="24"/>
        </w:rPr>
        <w:t>Corresponding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author</w:t>
      </w:r>
      <w:r>
        <w:rPr>
          <w:sz w:val="24"/>
        </w:rPr>
        <w:t>: Riley Spencer</w:t>
      </w:r>
    </w:p>
    <w:p>
      <w:pPr>
        <w:pStyle w:val="BodyText"/>
      </w:pPr>
      <w:r>
        <w:rPr/>
        <w:t>515</w:t>
      </w:r>
      <w:r>
        <w:rPr>
          <w:spacing w:val="-2"/>
        </w:rPr>
        <w:t> </w:t>
      </w:r>
      <w:r>
        <w:rPr/>
        <w:t>Spruce</w:t>
      </w:r>
      <w:r>
        <w:rPr>
          <w:spacing w:val="-3"/>
        </w:rPr>
        <w:t> </w:t>
      </w:r>
      <w:r>
        <w:rPr>
          <w:spacing w:val="-2"/>
        </w:rPr>
        <w:t>Street</w:t>
      </w:r>
    </w:p>
    <w:p>
      <w:pPr>
        <w:pStyle w:val="BodyText"/>
        <w:ind w:left="0"/>
      </w:pPr>
    </w:p>
    <w:p>
      <w:pPr>
        <w:pStyle w:val="BodyText"/>
        <w:spacing w:line="480" w:lineRule="auto"/>
        <w:ind w:right="8090"/>
      </w:pPr>
      <w:r>
        <w:rPr/>
        <w:t>San</w:t>
      </w:r>
      <w:r>
        <w:rPr>
          <w:spacing w:val="-13"/>
        </w:rPr>
        <w:t> </w:t>
      </w:r>
      <w:r>
        <w:rPr/>
        <w:t>Francisco,</w:t>
      </w:r>
      <w:r>
        <w:rPr>
          <w:spacing w:val="-13"/>
        </w:rPr>
        <w:t> </w:t>
      </w:r>
      <w:r>
        <w:rPr/>
        <w:t>CA</w:t>
      </w:r>
      <w:r>
        <w:rPr>
          <w:spacing w:val="-13"/>
        </w:rPr>
        <w:t> </w:t>
      </w:r>
      <w:r>
        <w:rPr/>
        <w:t>94118 </w:t>
      </w:r>
      <w:r>
        <w:rPr>
          <w:spacing w:val="-2"/>
        </w:rPr>
        <w:t>415-944-7618</w:t>
      </w:r>
    </w:p>
    <w:p>
      <w:pPr>
        <w:pStyle w:val="BodyText"/>
        <w:spacing w:before="1"/>
      </w:pPr>
      <w:hyperlink r:id="rId5">
        <w:r>
          <w:rPr>
            <w:color w:val="0462C1"/>
            <w:spacing w:val="-2"/>
            <w:u w:val="single" w:color="0462C1"/>
          </w:rPr>
          <w:t>rileykylespencer@gmail.com</w:t>
        </w:r>
      </w:hyperlink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</w:pPr>
      <w:r>
        <w:rPr/>
        <w:t>ORCID</w:t>
      </w:r>
      <w:r>
        <w:rPr>
          <w:spacing w:val="-7"/>
        </w:rPr>
        <w:t> </w:t>
      </w:r>
      <w:r>
        <w:rPr/>
        <w:t>iD:</w:t>
      </w:r>
      <w:r>
        <w:rPr>
          <w:spacing w:val="-7"/>
        </w:rPr>
        <w:t> </w:t>
      </w:r>
      <w:r>
        <w:rPr/>
        <w:t>0000-0002-7047-</w:t>
      </w:r>
      <w:r>
        <w:rPr>
          <w:spacing w:val="-4"/>
        </w:rPr>
        <w:t>5146</w:t>
      </w:r>
    </w:p>
    <w:p>
      <w:pPr>
        <w:spacing w:after="0"/>
        <w:sectPr>
          <w:type w:val="continuous"/>
          <w:pgSz w:w="12240" w:h="15840"/>
          <w:pgMar w:top="1360" w:bottom="280" w:left="1340" w:right="240"/>
        </w:sectPr>
      </w:pPr>
    </w:p>
    <w:p>
      <w:pPr>
        <w:pStyle w:val="BodyText"/>
        <w:spacing w:before="79"/>
      </w:pPr>
      <w:r>
        <w:rPr/>
        <w:t>Supplemental</w:t>
      </w:r>
      <w:r>
        <w:rPr>
          <w:spacing w:val="-3"/>
        </w:rPr>
        <w:t> </w:t>
      </w:r>
      <w:r>
        <w:rPr/>
        <w:t>Table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</w:pPr>
      <w:r>
        <w:rPr/>
        <w:t>Risk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bias</w:t>
      </w:r>
      <w:r>
        <w:rPr>
          <w:spacing w:val="-2"/>
        </w:rPr>
        <w:t> </w:t>
      </w:r>
      <w:r>
        <w:rPr/>
        <w:t>assessment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included</w:t>
      </w:r>
      <w:r>
        <w:rPr>
          <w:spacing w:val="-2"/>
        </w:rPr>
        <w:t> </w:t>
      </w:r>
      <w:r>
        <w:rPr/>
        <w:t>cohort</w:t>
      </w:r>
      <w:r>
        <w:rPr>
          <w:spacing w:val="-3"/>
        </w:rPr>
        <w:t> </w:t>
      </w:r>
      <w:r>
        <w:rPr/>
        <w:t>studies and</w:t>
      </w:r>
      <w:r>
        <w:rPr>
          <w:spacing w:val="-3"/>
        </w:rPr>
        <w:t> </w:t>
      </w:r>
      <w:r>
        <w:rPr/>
        <w:t>case</w:t>
      </w:r>
      <w:r>
        <w:rPr>
          <w:spacing w:val="-3"/>
        </w:rPr>
        <w:t> </w:t>
      </w:r>
      <w:r>
        <w:rPr>
          <w:spacing w:val="-2"/>
        </w:rPr>
        <w:t>series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6"/>
        <w:gridCol w:w="811"/>
        <w:gridCol w:w="1077"/>
        <w:gridCol w:w="902"/>
        <w:gridCol w:w="816"/>
        <w:gridCol w:w="988"/>
        <w:gridCol w:w="810"/>
        <w:gridCol w:w="1077"/>
        <w:gridCol w:w="815"/>
        <w:gridCol w:w="1067"/>
      </w:tblGrid>
      <w:tr>
        <w:trPr>
          <w:trHeight w:val="1005" w:hRule="atLeast"/>
        </w:trPr>
        <w:tc>
          <w:tcPr>
            <w:tcW w:w="2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08" w:right="155"/>
              <w:rPr>
                <w:sz w:val="20"/>
              </w:rPr>
            </w:pPr>
            <w:r>
              <w:rPr>
                <w:spacing w:val="-2"/>
                <w:sz w:val="20"/>
              </w:rPr>
              <w:t>Kato, 2021</w:t>
            </w:r>
            <w:r>
              <w:rPr>
                <w:spacing w:val="-2"/>
                <w:sz w:val="20"/>
                <w:vertAlign w:val="superscript"/>
              </w:rPr>
              <w:t>21</w:t>
            </w:r>
          </w:p>
        </w:tc>
        <w:tc>
          <w:tcPr>
            <w:tcW w:w="107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Ioannides, 2021</w:t>
            </w:r>
            <w:r>
              <w:rPr>
                <w:spacing w:val="-2"/>
                <w:sz w:val="20"/>
                <w:vertAlign w:val="superscript"/>
              </w:rPr>
              <w:t>22</w:t>
            </w:r>
          </w:p>
        </w:tc>
        <w:tc>
          <w:tcPr>
            <w:tcW w:w="902" w:type="dxa"/>
          </w:tcPr>
          <w:p>
            <w:pPr>
              <w:pStyle w:val="TableParagraph"/>
              <w:spacing w:line="276" w:lineRule="auto"/>
              <w:ind w:left="109" w:right="107"/>
              <w:rPr>
                <w:sz w:val="20"/>
              </w:rPr>
            </w:pPr>
            <w:r>
              <w:rPr>
                <w:spacing w:val="-4"/>
                <w:sz w:val="20"/>
              </w:rPr>
              <w:t>Del </w:t>
            </w:r>
            <w:r>
              <w:rPr>
                <w:spacing w:val="-2"/>
                <w:sz w:val="20"/>
              </w:rPr>
              <w:t>Alcázar, 2020</w:t>
            </w:r>
            <w:r>
              <w:rPr>
                <w:spacing w:val="-2"/>
                <w:sz w:val="20"/>
                <w:vertAlign w:val="superscript"/>
              </w:rPr>
              <w:t>23</w:t>
            </w:r>
          </w:p>
        </w:tc>
        <w:tc>
          <w:tcPr>
            <w:tcW w:w="816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09" w:right="159"/>
              <w:rPr>
                <w:sz w:val="20"/>
              </w:rPr>
            </w:pPr>
            <w:r>
              <w:rPr>
                <w:spacing w:val="-2"/>
                <w:sz w:val="20"/>
              </w:rPr>
              <w:t>Pavia, 2022</w:t>
            </w:r>
            <w:r>
              <w:rPr>
                <w:spacing w:val="-2"/>
                <w:sz w:val="20"/>
                <w:vertAlign w:val="superscript"/>
              </w:rPr>
              <w:t>24</w:t>
            </w:r>
          </w:p>
        </w:tc>
        <w:tc>
          <w:tcPr>
            <w:tcW w:w="988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10" w:right="190"/>
              <w:rPr>
                <w:sz w:val="20"/>
              </w:rPr>
            </w:pPr>
            <w:r>
              <w:rPr>
                <w:spacing w:val="-2"/>
                <w:sz w:val="20"/>
              </w:rPr>
              <w:t>Kromer, 2019</w:t>
            </w:r>
            <w:r>
              <w:rPr>
                <w:spacing w:val="-2"/>
                <w:sz w:val="20"/>
                <w:vertAlign w:val="superscript"/>
              </w:rPr>
              <w:t>25</w:t>
            </w:r>
          </w:p>
        </w:tc>
        <w:tc>
          <w:tcPr>
            <w:tcW w:w="810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11" w:right="151"/>
              <w:rPr>
                <w:sz w:val="20"/>
              </w:rPr>
            </w:pPr>
            <w:r>
              <w:rPr>
                <w:spacing w:val="-2"/>
                <w:sz w:val="20"/>
              </w:rPr>
              <w:t>Reich, 2019</w:t>
            </w:r>
            <w:r>
              <w:rPr>
                <w:spacing w:val="-2"/>
                <w:sz w:val="20"/>
                <w:vertAlign w:val="superscript"/>
              </w:rPr>
              <w:t>26</w:t>
            </w:r>
          </w:p>
        </w:tc>
        <w:tc>
          <w:tcPr>
            <w:tcW w:w="1077" w:type="dxa"/>
          </w:tcPr>
          <w:p>
            <w:pPr>
              <w:pStyle w:val="TableParagraph"/>
              <w:spacing w:line="276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Aceituno- Madera, 2019</w:t>
            </w:r>
            <w:r>
              <w:rPr>
                <w:spacing w:val="-2"/>
                <w:sz w:val="20"/>
                <w:vertAlign w:val="superscript"/>
              </w:rPr>
              <w:t>27</w:t>
            </w:r>
          </w:p>
        </w:tc>
        <w:tc>
          <w:tcPr>
            <w:tcW w:w="815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13" w:right="154"/>
              <w:rPr>
                <w:sz w:val="20"/>
              </w:rPr>
            </w:pPr>
            <w:r>
              <w:rPr>
                <w:spacing w:val="-4"/>
                <w:sz w:val="20"/>
              </w:rPr>
              <w:t>Kt, </w:t>
            </w:r>
            <w:r>
              <w:rPr>
                <w:spacing w:val="-2"/>
                <w:sz w:val="20"/>
              </w:rPr>
              <w:t>2021</w:t>
            </w:r>
            <w:r>
              <w:rPr>
                <w:spacing w:val="-2"/>
                <w:sz w:val="20"/>
                <w:vertAlign w:val="superscript"/>
              </w:rPr>
              <w:t>28</w:t>
            </w:r>
          </w:p>
        </w:tc>
        <w:tc>
          <w:tcPr>
            <w:tcW w:w="106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Ständer, 2021</w:t>
            </w:r>
            <w:r>
              <w:rPr>
                <w:spacing w:val="-2"/>
                <w:sz w:val="20"/>
                <w:vertAlign w:val="superscript"/>
              </w:rPr>
              <w:t>29</w:t>
            </w:r>
          </w:p>
        </w:tc>
      </w:tr>
      <w:tr>
        <w:trPr>
          <w:trHeight w:val="793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 Did the study address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clearly</w:t>
            </w:r>
          </w:p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focused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issue?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791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cohort</w:t>
            </w:r>
            <w:r>
              <w:rPr>
                <w:b/>
                <w:sz w:val="20"/>
              </w:rPr>
              <w:t> recruited in an</w:t>
            </w:r>
          </w:p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acceptable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way?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</w:tr>
      <w:tr>
        <w:trPr>
          <w:trHeight w:val="794" w:hRule="atLeast"/>
        </w:trPr>
        <w:tc>
          <w:tcPr>
            <w:tcW w:w="2066" w:type="dxa"/>
          </w:tcPr>
          <w:p>
            <w:pPr>
              <w:pStyle w:val="TableParagraph"/>
              <w:spacing w:line="276" w:lineRule="auto" w:before="2"/>
              <w:ind w:left="107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3. Was the exposure accurately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measured</w:t>
            </w:r>
          </w:p>
          <w:p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minimize</w:t>
            </w:r>
            <w:r>
              <w:rPr>
                <w:b/>
                <w:spacing w:val="-4"/>
                <w:sz w:val="20"/>
              </w:rPr>
              <w:t> bias?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794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outcome</w:t>
            </w:r>
          </w:p>
          <w:p>
            <w:pPr>
              <w:pStyle w:val="TableParagraph"/>
              <w:spacing w:line="260" w:lineRule="atLeast" w:before="6"/>
              <w:ind w:left="107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accurately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measured to minimize bias?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1057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5 (a). Have the authors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identified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important</w:t>
            </w: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confounding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factors?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1586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5 (b). Have the authors taken account of the confounding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factors</w:t>
            </w:r>
            <w:r>
              <w:rPr>
                <w:b/>
                <w:sz w:val="20"/>
              </w:rPr>
              <w:t> 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and/or</w:t>
            </w: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analysis?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793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(a).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follow</w:t>
            </w:r>
          </w:p>
          <w:p>
            <w:pPr>
              <w:pStyle w:val="TableParagraph"/>
              <w:spacing w:line="260" w:lineRule="atLeast" w:before="6"/>
              <w:ind w:left="107" w:right="403"/>
              <w:rPr>
                <w:b/>
                <w:sz w:val="20"/>
              </w:rPr>
            </w:pPr>
            <w:r>
              <w:rPr>
                <w:b/>
                <w:sz w:val="20"/>
              </w:rPr>
              <w:t>up of subjects complete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enough?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793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(b).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follow</w:t>
            </w:r>
            <w:r>
              <w:rPr>
                <w:b/>
                <w:sz w:val="20"/>
              </w:rPr>
              <w:t> up of subjects long</w:t>
            </w: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enough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527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the</w:t>
            </w:r>
          </w:p>
          <w:p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results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study?</w:t>
            </w:r>
          </w:p>
        </w:tc>
        <w:tc>
          <w:tcPr>
            <w:tcW w:w="811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7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902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6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988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0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7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5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6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>
        <w:trPr>
          <w:trHeight w:val="530" w:hRule="atLeast"/>
        </w:trPr>
        <w:tc>
          <w:tcPr>
            <w:tcW w:w="2066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precision</w:t>
            </w:r>
          </w:p>
          <w:p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acceptable?</w:t>
            </w:r>
          </w:p>
        </w:tc>
        <w:tc>
          <w:tcPr>
            <w:tcW w:w="811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530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believe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the</w:t>
            </w:r>
          </w:p>
          <w:p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results?</w:t>
            </w:r>
          </w:p>
        </w:tc>
        <w:tc>
          <w:tcPr>
            <w:tcW w:w="811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107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815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791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z w:val="20"/>
              </w:rPr>
              <w:t> applied to the local</w:t>
            </w:r>
          </w:p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population?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057" w:hRule="atLeast"/>
        </w:trPr>
        <w:tc>
          <w:tcPr>
            <w:tcW w:w="2066" w:type="dxa"/>
          </w:tcPr>
          <w:p>
            <w:pPr>
              <w:pStyle w:val="TableParagraph"/>
              <w:spacing w:line="276" w:lineRule="auto"/>
              <w:ind w:left="107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z w:val="20"/>
              </w:rPr>
              <w:t> this study fit with other available</w:t>
            </w: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evidence?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> the</w:t>
            </w:r>
          </w:p>
        </w:tc>
        <w:tc>
          <w:tcPr>
            <w:tcW w:w="81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7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90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98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77" w:type="dxa"/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815" w:type="dxa"/>
          </w:tcPr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067" w:type="dxa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1315" w:left="1340" w:right="2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6"/>
        <w:gridCol w:w="811"/>
        <w:gridCol w:w="1077"/>
        <w:gridCol w:w="902"/>
        <w:gridCol w:w="816"/>
        <w:gridCol w:w="988"/>
        <w:gridCol w:w="810"/>
        <w:gridCol w:w="1077"/>
        <w:gridCol w:w="815"/>
        <w:gridCol w:w="1067"/>
      </w:tblGrid>
      <w:tr>
        <w:trPr>
          <w:trHeight w:val="530" w:hRule="atLeast"/>
        </w:trPr>
        <w:tc>
          <w:tcPr>
            <w:tcW w:w="2066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implications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this</w:t>
            </w:r>
          </w:p>
          <w:p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study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practice?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276" w:lineRule="auto" w:before="19"/>
        <w:ind w:right="1200"/>
      </w:pPr>
      <w:r>
        <w:rPr/>
        <w:t>The</w:t>
      </w:r>
      <w:r>
        <w:rPr>
          <w:spacing w:val="-5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Appraisal</w:t>
      </w:r>
      <w:r>
        <w:rPr>
          <w:spacing w:val="-3"/>
        </w:rPr>
        <w:t> </w:t>
      </w:r>
      <w:r>
        <w:rPr/>
        <w:t>Skills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(CASP)</w:t>
      </w:r>
      <w:r>
        <w:rPr>
          <w:spacing w:val="-4"/>
        </w:rPr>
        <w:t> </w:t>
      </w:r>
      <w:r>
        <w:rPr/>
        <w:t>checklist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cohort</w:t>
      </w:r>
      <w:r>
        <w:rPr>
          <w:spacing w:val="-4"/>
        </w:rPr>
        <w:t> </w:t>
      </w:r>
      <w:r>
        <w:rPr/>
        <w:t>studies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assess</w:t>
      </w:r>
      <w:r>
        <w:rPr>
          <w:spacing w:val="-3"/>
        </w:rPr>
        <w:t> </w:t>
      </w:r>
      <w:r>
        <w:rPr/>
        <w:t>risk and bias of included studies. Each study was appraised using the checklist and was awarded (+) for </w:t>
      </w:r>
      <w:r>
        <w:rPr>
          <w:i/>
        </w:rPr>
        <w:t>Yes</w:t>
      </w:r>
      <w:r>
        <w:rPr/>
        <w:t>, (-) for </w:t>
      </w:r>
      <w:r>
        <w:rPr>
          <w:i/>
        </w:rPr>
        <w:t>No</w:t>
      </w:r>
      <w:r>
        <w:rPr/>
        <w:t>, and (?) for </w:t>
      </w:r>
      <w:r>
        <w:rPr>
          <w:i/>
        </w:rPr>
        <w:t>Cannot tell </w:t>
      </w:r>
      <w:r>
        <w:rPr/>
        <w:t>for each question on the checklist. N/A was awarded for questions which were not applicable for the table as they were discussed in the body of this </w:t>
      </w:r>
      <w:r>
        <w:rPr>
          <w:spacing w:val="-2"/>
        </w:rPr>
        <w:t>paper.</w:t>
      </w:r>
    </w:p>
    <w:sectPr>
      <w:type w:val="continuous"/>
      <w:pgSz w:w="12240" w:h="15840"/>
      <w:pgMar w:top="1420" w:bottom="280" w:left="13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ileykylespencer@gmail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Derm, Group Policy Object</dc:creator>
  <dcterms:created xsi:type="dcterms:W3CDTF">2022-12-06T17:03:13Z</dcterms:created>
  <dcterms:modified xsi:type="dcterms:W3CDTF">2022-12-06T17:03:13Z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2022-12-06T00:00:00Z</vt:filetime>
  </property>
  <property fmtid="{D5CDD505-2E9C-101B-9397-08002B2CF9AE}" pid="5" name="Producer">
    <vt:lpwstr>Microsoft® Word for Microsoft 365</vt:lpwstr>
  </property>
</Properties>
</file>