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81F2" w14:textId="77777777" w:rsidR="00796FFB" w:rsidRPr="00796FFB" w:rsidRDefault="00796FFB" w:rsidP="00796FFB">
      <w:pPr>
        <w:spacing w:line="240" w:lineRule="auto"/>
        <w:rPr>
          <w:rFonts w:ascii="Times New Roman" w:eastAsia="Calibri" w:hAnsi="Times New Roman" w:cs="Times New Roman"/>
          <w:spacing w:val="-4"/>
        </w:rPr>
      </w:pPr>
      <w:r w:rsidRPr="00796FFB">
        <w:rPr>
          <w:rFonts w:ascii="Times New Roman" w:eastAsia="Calibri" w:hAnsi="Times New Roman" w:cs="Times New Roman"/>
          <w:b/>
          <w:bCs/>
        </w:rPr>
        <w:t>Article</w:t>
      </w:r>
      <w:r w:rsidRPr="00796FFB">
        <w:rPr>
          <w:rFonts w:ascii="Times New Roman" w:eastAsia="Calibri" w:hAnsi="Times New Roman" w:cs="Times New Roman"/>
          <w:b/>
          <w:bCs/>
          <w:spacing w:val="-5"/>
        </w:rPr>
        <w:t xml:space="preserve"> </w:t>
      </w:r>
      <w:r w:rsidRPr="00796FFB">
        <w:rPr>
          <w:rFonts w:ascii="Times New Roman" w:eastAsia="Calibri" w:hAnsi="Times New Roman" w:cs="Times New Roman"/>
          <w:b/>
          <w:bCs/>
        </w:rPr>
        <w:t>Type:</w:t>
      </w:r>
      <w:r w:rsidRPr="00796FFB">
        <w:rPr>
          <w:rFonts w:ascii="Times New Roman" w:eastAsia="Calibri" w:hAnsi="Times New Roman" w:cs="Times New Roman"/>
          <w:b/>
          <w:bCs/>
          <w:spacing w:val="-4"/>
        </w:rPr>
        <w:t xml:space="preserve"> </w:t>
      </w:r>
      <w:r w:rsidRPr="00796FFB">
        <w:rPr>
          <w:rFonts w:ascii="Times New Roman" w:eastAsia="Calibri" w:hAnsi="Times New Roman" w:cs="Times New Roman"/>
          <w:spacing w:val="-4"/>
        </w:rPr>
        <w:t>Systematic Review</w:t>
      </w:r>
    </w:p>
    <w:p w14:paraId="0EE1F510" w14:textId="77777777" w:rsidR="00796FFB" w:rsidRPr="00796FFB" w:rsidRDefault="00796FFB" w:rsidP="00796FFB">
      <w:pPr>
        <w:spacing w:line="240" w:lineRule="auto"/>
        <w:rPr>
          <w:rFonts w:ascii="Times New Roman" w:eastAsia="Calibri" w:hAnsi="Times New Roman" w:cs="Times New Roman"/>
          <w:spacing w:val="-5"/>
          <w:position w:val="1"/>
        </w:rPr>
      </w:pPr>
      <w:r w:rsidRPr="00796FFB">
        <w:rPr>
          <w:rFonts w:ascii="Times New Roman" w:eastAsia="Calibri" w:hAnsi="Times New Roman" w:cs="Times New Roman"/>
          <w:b/>
          <w:bCs/>
          <w:position w:val="1"/>
        </w:rPr>
        <w:t>Title:</w:t>
      </w:r>
      <w:r w:rsidRPr="00796FFB">
        <w:rPr>
          <w:rFonts w:ascii="Times New Roman" w:eastAsia="Calibri" w:hAnsi="Times New Roman" w:cs="Times New Roman"/>
          <w:b/>
          <w:bCs/>
          <w:spacing w:val="-5"/>
          <w:position w:val="1"/>
        </w:rPr>
        <w:t xml:space="preserve"> </w:t>
      </w:r>
      <w:r w:rsidRPr="00796FFB">
        <w:rPr>
          <w:rFonts w:ascii="Times New Roman" w:hAnsi="Times New Roman" w:cs="Times New Roman"/>
        </w:rPr>
        <w:t>Environmental and neighborhood determinants of psoriasis: A systematic review of pollution, built environment, and socioeconomic vulnerability on psoriasis</w:t>
      </w:r>
    </w:p>
    <w:p w14:paraId="6AE919F5" w14:textId="417D42D2" w:rsidR="00796FFB" w:rsidRPr="00796FFB" w:rsidRDefault="00796FFB" w:rsidP="00796FFB">
      <w:pPr>
        <w:spacing w:line="240" w:lineRule="auto"/>
        <w:rPr>
          <w:rFonts w:ascii="Times New Roman" w:eastAsia="Calibri" w:hAnsi="Times New Roman" w:cs="Times New Roman"/>
          <w:position w:val="1"/>
          <w:vertAlign w:val="superscript"/>
        </w:rPr>
      </w:pPr>
      <w:r w:rsidRPr="00796FFB">
        <w:rPr>
          <w:rFonts w:ascii="Times New Roman" w:eastAsia="Calibri" w:hAnsi="Times New Roman" w:cs="Times New Roman"/>
          <w:position w:val="1"/>
        </w:rPr>
        <w:t>Parsa Mokhtar, MPH</w:t>
      </w:r>
      <w:r w:rsidRPr="00796FFB">
        <w:rPr>
          <w:rFonts w:ascii="Times New Roman" w:eastAsia="Calibri" w:hAnsi="Times New Roman" w:cs="Times New Roman"/>
          <w:position w:val="1"/>
          <w:vertAlign w:val="superscript"/>
        </w:rPr>
        <w:t>1*</w:t>
      </w:r>
      <w:r w:rsidRPr="00796FFB">
        <w:rPr>
          <w:rFonts w:ascii="Times New Roman" w:eastAsia="Calibri" w:hAnsi="Times New Roman" w:cs="Times New Roman"/>
          <w:position w:val="1"/>
        </w:rPr>
        <w:t>, Josep Riera Monroig, MD</w:t>
      </w:r>
      <w:r w:rsidRPr="00796FFB">
        <w:rPr>
          <w:rFonts w:ascii="Times New Roman" w:eastAsia="Calibri" w:hAnsi="Times New Roman" w:cs="Times New Roman"/>
          <w:position w:val="1"/>
          <w:vertAlign w:val="superscript"/>
        </w:rPr>
        <w:t>2*</w:t>
      </w:r>
      <w:r w:rsidRPr="00796FFB">
        <w:rPr>
          <w:rFonts w:ascii="Times New Roman" w:eastAsia="Calibri" w:hAnsi="Times New Roman" w:cs="Times New Roman"/>
          <w:position w:val="1"/>
        </w:rPr>
        <w:t>, Allison Kranyak, MD</w:t>
      </w:r>
      <w:r w:rsidRPr="00796FFB">
        <w:rPr>
          <w:rFonts w:ascii="Times New Roman" w:eastAsia="Calibri" w:hAnsi="Times New Roman" w:cs="Times New Roman"/>
          <w:position w:val="1"/>
          <w:vertAlign w:val="superscript"/>
        </w:rPr>
        <w:t>1</w:t>
      </w:r>
      <w:r w:rsidRPr="00796FFB">
        <w:rPr>
          <w:rFonts w:ascii="Times New Roman" w:eastAsia="Calibri" w:hAnsi="Times New Roman" w:cs="Times New Roman"/>
          <w:position w:val="1"/>
        </w:rPr>
        <w:t>, and Wilson Liao, MD</w:t>
      </w:r>
      <w:r w:rsidRPr="00796FFB">
        <w:rPr>
          <w:rFonts w:ascii="Times New Roman" w:eastAsia="Calibri" w:hAnsi="Times New Roman" w:cs="Times New Roman"/>
          <w:position w:val="1"/>
          <w:vertAlign w:val="superscript"/>
        </w:rPr>
        <w:t>1</w:t>
      </w:r>
    </w:p>
    <w:p w14:paraId="0CAF8014" w14:textId="77777777" w:rsidR="00796FFB" w:rsidRPr="00796FFB" w:rsidRDefault="00796FFB" w:rsidP="00796FFB">
      <w:pPr>
        <w:spacing w:line="240" w:lineRule="auto"/>
        <w:rPr>
          <w:rFonts w:ascii="Times New Roman" w:eastAsia="Calibri" w:hAnsi="Times New Roman" w:cs="Times New Roman"/>
          <w:position w:val="1"/>
          <w:vertAlign w:val="superscript"/>
        </w:rPr>
      </w:pPr>
    </w:p>
    <w:p w14:paraId="0B95BD39" w14:textId="22360020" w:rsidR="00796FFB" w:rsidRPr="00796FFB" w:rsidRDefault="00796FFB" w:rsidP="00796FFB">
      <w:pPr>
        <w:spacing w:line="240" w:lineRule="auto"/>
        <w:rPr>
          <w:rFonts w:ascii="Times New Roman" w:hAnsi="Times New Roman" w:cs="Times New Roman"/>
        </w:rPr>
      </w:pPr>
      <w:r w:rsidRPr="00796FFB">
        <w:rPr>
          <w:rFonts w:ascii="Times New Roman" w:hAnsi="Times New Roman" w:cs="Times New Roman"/>
          <w:vertAlign w:val="superscript"/>
        </w:rPr>
        <w:t>1</w:t>
      </w:r>
      <w:r w:rsidRPr="00796FFB">
        <w:rPr>
          <w:rFonts w:ascii="Times New Roman" w:hAnsi="Times New Roman" w:cs="Times New Roman"/>
        </w:rPr>
        <w:t>Department of Dermatology, University of California at San Francisco, San Francisco, CA, United States.</w:t>
      </w:r>
    </w:p>
    <w:p w14:paraId="0A88F8DF" w14:textId="77777777" w:rsidR="00796FFB" w:rsidRPr="00796FFB" w:rsidRDefault="00796FFB" w:rsidP="00796FFB">
      <w:pPr>
        <w:pStyle w:val="Default"/>
        <w:rPr>
          <w:rFonts w:ascii="Times New Roman" w:hAnsi="Times New Roman" w:cs="Times New Roman"/>
        </w:rPr>
      </w:pPr>
      <w:r w:rsidRPr="00796FFB">
        <w:rPr>
          <w:rFonts w:ascii="Times New Roman" w:hAnsi="Times New Roman" w:cs="Times New Roman"/>
          <w:vertAlign w:val="superscript"/>
        </w:rPr>
        <w:t>2</w:t>
      </w:r>
      <w:r w:rsidRPr="00796FFB">
        <w:rPr>
          <w:rFonts w:ascii="Times New Roman" w:hAnsi="Times New Roman" w:cs="Times New Roman"/>
        </w:rPr>
        <w:t xml:space="preserve">Department of Dermatology and Venereology, Hospital </w:t>
      </w:r>
      <w:proofErr w:type="spellStart"/>
      <w:r w:rsidRPr="00796FFB">
        <w:rPr>
          <w:rFonts w:ascii="Times New Roman" w:hAnsi="Times New Roman" w:cs="Times New Roman"/>
        </w:rPr>
        <w:t>Clínic</w:t>
      </w:r>
      <w:proofErr w:type="spellEnd"/>
      <w:r w:rsidRPr="00796FFB">
        <w:rPr>
          <w:rFonts w:ascii="Times New Roman" w:hAnsi="Times New Roman" w:cs="Times New Roman"/>
        </w:rPr>
        <w:t xml:space="preserve"> of Barcelona, University of Barcelona, Spain</w:t>
      </w:r>
    </w:p>
    <w:p w14:paraId="43C0293A" w14:textId="77777777" w:rsidR="00796FFB" w:rsidRPr="00796FFB" w:rsidRDefault="00796FFB" w:rsidP="00796FFB">
      <w:pPr>
        <w:spacing w:line="240" w:lineRule="auto"/>
        <w:jc w:val="both"/>
        <w:rPr>
          <w:rFonts w:ascii="Times New Roman" w:hAnsi="Times New Roman" w:cs="Times New Roman"/>
        </w:rPr>
      </w:pPr>
      <w:r w:rsidRPr="00796FFB">
        <w:rPr>
          <w:rFonts w:ascii="Times New Roman" w:hAnsi="Times New Roman" w:cs="Times New Roman"/>
        </w:rPr>
        <w:t>*Equal contribution</w:t>
      </w:r>
    </w:p>
    <w:p w14:paraId="3DFA61F9" w14:textId="77777777" w:rsidR="00796FFB" w:rsidRPr="00796FFB" w:rsidRDefault="00796FFB" w:rsidP="00796FFB">
      <w:pPr>
        <w:spacing w:line="240" w:lineRule="auto"/>
        <w:rPr>
          <w:rFonts w:ascii="Times New Roman" w:eastAsia="Calibri" w:hAnsi="Times New Roman" w:cs="Times New Roman"/>
          <w:b/>
          <w:bCs/>
        </w:rPr>
      </w:pPr>
    </w:p>
    <w:p w14:paraId="498D675F" w14:textId="77777777" w:rsidR="00796FFB" w:rsidRPr="00796FFB" w:rsidRDefault="00796FFB" w:rsidP="00796FFB">
      <w:pPr>
        <w:spacing w:line="240" w:lineRule="auto"/>
        <w:rPr>
          <w:rFonts w:ascii="Times New Roman" w:eastAsia="Calibri" w:hAnsi="Times New Roman" w:cs="Times New Roman"/>
          <w:b/>
          <w:bCs/>
        </w:rPr>
      </w:pPr>
      <w:r w:rsidRPr="00796FFB">
        <w:rPr>
          <w:rFonts w:ascii="Times New Roman" w:eastAsia="Calibri" w:hAnsi="Times New Roman" w:cs="Times New Roman"/>
          <w:b/>
          <w:bCs/>
        </w:rPr>
        <w:t>Correspond</w:t>
      </w:r>
      <w:r w:rsidRPr="00796FFB">
        <w:rPr>
          <w:rFonts w:ascii="Times New Roman" w:eastAsia="Calibri" w:hAnsi="Times New Roman" w:cs="Times New Roman"/>
          <w:b/>
          <w:bCs/>
          <w:spacing w:val="1"/>
        </w:rPr>
        <w:t>i</w:t>
      </w:r>
      <w:r w:rsidRPr="00796FFB">
        <w:rPr>
          <w:rFonts w:ascii="Times New Roman" w:eastAsia="Calibri" w:hAnsi="Times New Roman" w:cs="Times New Roman"/>
          <w:b/>
          <w:bCs/>
        </w:rPr>
        <w:t>ng</w:t>
      </w:r>
      <w:r w:rsidRPr="00796FFB">
        <w:rPr>
          <w:rFonts w:ascii="Times New Roman" w:eastAsia="Calibri" w:hAnsi="Times New Roman" w:cs="Times New Roman"/>
          <w:b/>
          <w:bCs/>
          <w:spacing w:val="-13"/>
        </w:rPr>
        <w:t xml:space="preserve"> </w:t>
      </w:r>
      <w:r w:rsidRPr="00796FFB">
        <w:rPr>
          <w:rFonts w:ascii="Times New Roman" w:eastAsia="Calibri" w:hAnsi="Times New Roman" w:cs="Times New Roman"/>
          <w:b/>
          <w:bCs/>
        </w:rPr>
        <w:t>autho</w:t>
      </w:r>
      <w:r w:rsidRPr="00796FFB">
        <w:rPr>
          <w:rFonts w:ascii="Times New Roman" w:eastAsia="Calibri" w:hAnsi="Times New Roman" w:cs="Times New Roman"/>
          <w:b/>
          <w:bCs/>
          <w:spacing w:val="1"/>
        </w:rPr>
        <w:t>r</w:t>
      </w:r>
      <w:r w:rsidRPr="00796FFB">
        <w:rPr>
          <w:rFonts w:ascii="Times New Roman" w:eastAsia="Calibri" w:hAnsi="Times New Roman" w:cs="Times New Roman"/>
          <w:b/>
          <w:bCs/>
        </w:rPr>
        <w:t>:</w:t>
      </w:r>
    </w:p>
    <w:p w14:paraId="50C38027" w14:textId="77777777" w:rsidR="00796FFB" w:rsidRPr="00796FFB" w:rsidRDefault="00796FFB" w:rsidP="00796FFB">
      <w:pPr>
        <w:pStyle w:val="NoSpacing"/>
        <w:rPr>
          <w:rFonts w:ascii="Times New Roman" w:hAnsi="Times New Roman" w:cs="Times New Roman"/>
          <w:sz w:val="24"/>
          <w:szCs w:val="24"/>
        </w:rPr>
      </w:pPr>
      <w:r w:rsidRPr="00796FFB">
        <w:rPr>
          <w:rFonts w:ascii="Times New Roman" w:hAnsi="Times New Roman" w:cs="Times New Roman"/>
          <w:sz w:val="24"/>
          <w:szCs w:val="24"/>
        </w:rPr>
        <w:t>Wilson Liao, MD</w:t>
      </w:r>
    </w:p>
    <w:p w14:paraId="77182D6F" w14:textId="77777777" w:rsidR="00796FFB" w:rsidRPr="00796FFB" w:rsidRDefault="00796FFB" w:rsidP="00796FFB">
      <w:pPr>
        <w:pStyle w:val="NoSpacing"/>
        <w:rPr>
          <w:rFonts w:ascii="Times New Roman" w:hAnsi="Times New Roman" w:cs="Times New Roman"/>
          <w:sz w:val="24"/>
          <w:szCs w:val="24"/>
        </w:rPr>
      </w:pPr>
      <w:r w:rsidRPr="00796FFB">
        <w:rPr>
          <w:rFonts w:ascii="Times New Roman" w:hAnsi="Times New Roman" w:cs="Times New Roman"/>
          <w:sz w:val="24"/>
          <w:szCs w:val="24"/>
        </w:rPr>
        <w:t>Department of Dermatology,</w:t>
      </w:r>
    </w:p>
    <w:p w14:paraId="7593F049" w14:textId="77777777" w:rsidR="00796FFB" w:rsidRPr="00796FFB" w:rsidRDefault="00796FFB" w:rsidP="00796FFB">
      <w:pPr>
        <w:pStyle w:val="NoSpacing"/>
        <w:rPr>
          <w:rFonts w:ascii="Times New Roman" w:hAnsi="Times New Roman" w:cs="Times New Roman"/>
          <w:sz w:val="24"/>
          <w:szCs w:val="24"/>
        </w:rPr>
      </w:pPr>
      <w:r w:rsidRPr="00796FFB">
        <w:rPr>
          <w:rFonts w:ascii="Times New Roman" w:hAnsi="Times New Roman" w:cs="Times New Roman"/>
          <w:sz w:val="24"/>
          <w:szCs w:val="24"/>
        </w:rPr>
        <w:t xml:space="preserve">2340 Sutter Street, San Francisco, CA 94115 </w:t>
      </w:r>
    </w:p>
    <w:p w14:paraId="623C12B3" w14:textId="3F4CF7D1" w:rsidR="00796FFB" w:rsidRPr="00796FFB" w:rsidRDefault="00796FFB" w:rsidP="00796FFB">
      <w:pPr>
        <w:pStyle w:val="NoSpacing"/>
        <w:rPr>
          <w:rFonts w:ascii="Times New Roman" w:hAnsi="Times New Roman" w:cs="Times New Roman"/>
          <w:sz w:val="24"/>
          <w:szCs w:val="24"/>
        </w:rPr>
      </w:pPr>
      <w:r w:rsidRPr="00796FFB">
        <w:rPr>
          <w:rFonts w:ascii="Times New Roman" w:hAnsi="Times New Roman" w:cs="Times New Roman"/>
          <w:sz w:val="24"/>
          <w:szCs w:val="24"/>
        </w:rPr>
        <w:t xml:space="preserve">Email: </w:t>
      </w:r>
      <w:hyperlink r:id="rId6" w:history="1">
        <w:r w:rsidRPr="00796FFB">
          <w:rPr>
            <w:rStyle w:val="Hyperlink"/>
            <w:rFonts w:ascii="Times New Roman" w:hAnsi="Times New Roman" w:cs="Times New Roman"/>
            <w:sz w:val="24"/>
            <w:szCs w:val="24"/>
          </w:rPr>
          <w:t>wilson.liao@ucsf.edu</w:t>
        </w:r>
      </w:hyperlink>
    </w:p>
    <w:p w14:paraId="526F5EF8" w14:textId="77777777" w:rsidR="00796FFB" w:rsidRPr="00796FFB" w:rsidRDefault="00796FFB" w:rsidP="00796FFB">
      <w:pPr>
        <w:pStyle w:val="NoSpacing"/>
        <w:rPr>
          <w:rFonts w:ascii="Times New Roman" w:hAnsi="Times New Roman" w:cs="Times New Roman"/>
          <w:sz w:val="24"/>
          <w:szCs w:val="24"/>
        </w:rPr>
      </w:pPr>
    </w:p>
    <w:p w14:paraId="77266F51" w14:textId="77777777" w:rsidR="00796FFB" w:rsidRPr="00796FFB" w:rsidRDefault="00796FFB" w:rsidP="00796FFB">
      <w:pPr>
        <w:pStyle w:val="NoSpacing"/>
        <w:rPr>
          <w:rFonts w:ascii="Times New Roman" w:hAnsi="Times New Roman" w:cs="Times New Roman"/>
        </w:rPr>
      </w:pPr>
    </w:p>
    <w:p w14:paraId="375C69D7" w14:textId="77777777" w:rsidR="00796FFB" w:rsidRPr="00796FFB" w:rsidRDefault="00796FFB" w:rsidP="00796FFB">
      <w:pPr>
        <w:pStyle w:val="NoSpacing"/>
        <w:rPr>
          <w:rFonts w:ascii="Times New Roman" w:hAnsi="Times New Roman" w:cs="Times New Roman"/>
        </w:rPr>
      </w:pPr>
    </w:p>
    <w:p w14:paraId="043B8CF4" w14:textId="77777777" w:rsidR="00796FFB" w:rsidRPr="00796FFB" w:rsidRDefault="00796FFB" w:rsidP="00796FFB">
      <w:pPr>
        <w:pStyle w:val="NoSpacing"/>
        <w:rPr>
          <w:rFonts w:ascii="Times New Roman" w:hAnsi="Times New Roman" w:cs="Times New Roman"/>
        </w:rPr>
      </w:pPr>
    </w:p>
    <w:p w14:paraId="1E129C4D" w14:textId="77777777" w:rsidR="00796FFB" w:rsidRPr="00796FFB" w:rsidRDefault="00796FFB" w:rsidP="00796FFB">
      <w:pPr>
        <w:pStyle w:val="NoSpacing"/>
        <w:rPr>
          <w:rFonts w:ascii="Times New Roman" w:hAnsi="Times New Roman" w:cs="Times New Roman"/>
        </w:rPr>
      </w:pPr>
    </w:p>
    <w:p w14:paraId="081242B8" w14:textId="77777777" w:rsidR="00796FFB" w:rsidRDefault="00796FFB" w:rsidP="00796FFB">
      <w:pPr>
        <w:pStyle w:val="NoSpacing"/>
        <w:rPr>
          <w:rFonts w:ascii="Times New Roman" w:hAnsi="Times New Roman" w:cs="Times New Roman"/>
        </w:rPr>
      </w:pPr>
    </w:p>
    <w:p w14:paraId="68414CD6" w14:textId="77777777" w:rsidR="00796FFB" w:rsidRDefault="00796FFB" w:rsidP="00796FFB">
      <w:pPr>
        <w:pStyle w:val="NoSpacing"/>
        <w:rPr>
          <w:rFonts w:ascii="Times New Roman" w:hAnsi="Times New Roman" w:cs="Times New Roman"/>
        </w:rPr>
      </w:pPr>
    </w:p>
    <w:p w14:paraId="5BFF0552" w14:textId="77777777" w:rsidR="00796FFB" w:rsidRPr="00796FFB" w:rsidRDefault="00796FFB" w:rsidP="00796FFB">
      <w:pPr>
        <w:pStyle w:val="NoSpacing"/>
        <w:rPr>
          <w:rFonts w:ascii="Times New Roman" w:hAnsi="Times New Roman" w:cs="Times New Roman"/>
        </w:rPr>
      </w:pPr>
    </w:p>
    <w:p w14:paraId="5245C2A7" w14:textId="77777777" w:rsidR="00796FFB" w:rsidRPr="00796FFB" w:rsidRDefault="00796FFB" w:rsidP="00796FFB">
      <w:pPr>
        <w:pStyle w:val="NoSpacing"/>
        <w:rPr>
          <w:rFonts w:ascii="Times New Roman" w:hAnsi="Times New Roman" w:cs="Times New Roman"/>
        </w:rPr>
      </w:pPr>
    </w:p>
    <w:p w14:paraId="08F4E7F7" w14:textId="77777777" w:rsidR="00796FFB" w:rsidRPr="00796FFB" w:rsidRDefault="00796FFB" w:rsidP="00796FFB">
      <w:pPr>
        <w:pStyle w:val="NoSpacing"/>
        <w:rPr>
          <w:rFonts w:ascii="Times New Roman" w:hAnsi="Times New Roman" w:cs="Times New Roman"/>
        </w:rPr>
      </w:pPr>
    </w:p>
    <w:p w14:paraId="0DA305AE" w14:textId="77777777" w:rsidR="00796FFB" w:rsidRPr="00796FFB" w:rsidRDefault="00796FFB" w:rsidP="00796FFB">
      <w:pPr>
        <w:pStyle w:val="NoSpacing"/>
        <w:rPr>
          <w:rFonts w:ascii="Times New Roman" w:hAnsi="Times New Roman" w:cs="Times New Roman"/>
        </w:rPr>
      </w:pPr>
    </w:p>
    <w:p w14:paraId="38121B79" w14:textId="77777777" w:rsidR="00796FFB" w:rsidRPr="00796FFB" w:rsidRDefault="00796FFB" w:rsidP="00796FFB">
      <w:pPr>
        <w:pStyle w:val="NoSpacing"/>
        <w:rPr>
          <w:rFonts w:ascii="Times New Roman" w:hAnsi="Times New Roman" w:cs="Times New Roman"/>
        </w:rPr>
      </w:pPr>
    </w:p>
    <w:p w14:paraId="168B3B44" w14:textId="77777777" w:rsidR="00796FFB" w:rsidRPr="00796FFB" w:rsidRDefault="00796FFB" w:rsidP="00796FFB">
      <w:pPr>
        <w:pStyle w:val="NoSpacing"/>
        <w:rPr>
          <w:rFonts w:ascii="Times New Roman" w:hAnsi="Times New Roman" w:cs="Times New Roman"/>
        </w:rPr>
      </w:pPr>
    </w:p>
    <w:p w14:paraId="7A463A14" w14:textId="77777777" w:rsidR="00796FFB" w:rsidRPr="00796FFB" w:rsidRDefault="00796FFB" w:rsidP="00796FFB">
      <w:pPr>
        <w:pStyle w:val="NoSpacing"/>
        <w:rPr>
          <w:rFonts w:ascii="Times New Roman" w:hAnsi="Times New Roman" w:cs="Times New Roman"/>
        </w:rPr>
      </w:pPr>
    </w:p>
    <w:p w14:paraId="7A6DC784" w14:textId="77777777" w:rsidR="00796FFB" w:rsidRPr="00796FFB" w:rsidRDefault="00796FFB" w:rsidP="00796FFB">
      <w:pPr>
        <w:pStyle w:val="NoSpacing"/>
        <w:rPr>
          <w:rFonts w:ascii="Times New Roman" w:hAnsi="Times New Roman" w:cs="Times New Roman"/>
        </w:rPr>
      </w:pPr>
    </w:p>
    <w:p w14:paraId="035179D9" w14:textId="77777777" w:rsidR="00796FFB" w:rsidRPr="00796FFB" w:rsidRDefault="00796FFB" w:rsidP="00796FFB">
      <w:pPr>
        <w:pStyle w:val="NoSpacing"/>
        <w:rPr>
          <w:rFonts w:ascii="Times New Roman" w:hAnsi="Times New Roman" w:cs="Times New Roman"/>
        </w:rPr>
      </w:pPr>
    </w:p>
    <w:p w14:paraId="5D2B53C6" w14:textId="77777777" w:rsidR="00796FFB" w:rsidRPr="00796FFB" w:rsidRDefault="00796FFB" w:rsidP="00796FFB">
      <w:pPr>
        <w:pStyle w:val="NoSpacing"/>
        <w:rPr>
          <w:rFonts w:ascii="Times New Roman" w:hAnsi="Times New Roman" w:cs="Times New Roman"/>
        </w:rPr>
      </w:pPr>
    </w:p>
    <w:p w14:paraId="4EFF78EE" w14:textId="77777777" w:rsidR="00796FFB" w:rsidRPr="00796FFB" w:rsidRDefault="00796FFB" w:rsidP="00796FFB">
      <w:pPr>
        <w:pStyle w:val="NoSpacing"/>
        <w:rPr>
          <w:rFonts w:ascii="Times New Roman" w:hAnsi="Times New Roman" w:cs="Times New Roman"/>
        </w:rPr>
      </w:pPr>
    </w:p>
    <w:p w14:paraId="5E5F2219" w14:textId="77777777" w:rsidR="00796FFB" w:rsidRPr="00796FFB" w:rsidRDefault="00796FFB" w:rsidP="00796FFB">
      <w:pPr>
        <w:pStyle w:val="NoSpacing"/>
        <w:rPr>
          <w:rFonts w:ascii="Times New Roman" w:hAnsi="Times New Roman" w:cs="Times New Roman"/>
        </w:rPr>
      </w:pPr>
    </w:p>
    <w:p w14:paraId="1C93E5DE" w14:textId="77777777" w:rsidR="00796FFB" w:rsidRPr="00796FFB" w:rsidRDefault="00796FFB" w:rsidP="00796FFB">
      <w:pPr>
        <w:pStyle w:val="NoSpacing"/>
        <w:rPr>
          <w:rFonts w:ascii="Times New Roman" w:hAnsi="Times New Roman" w:cs="Times New Roman"/>
        </w:rPr>
      </w:pPr>
    </w:p>
    <w:p w14:paraId="0C0414A8" w14:textId="77777777" w:rsidR="00796FFB" w:rsidRPr="00796FFB" w:rsidRDefault="00796FFB" w:rsidP="00796FFB">
      <w:pPr>
        <w:pStyle w:val="NoSpacing"/>
        <w:rPr>
          <w:rFonts w:ascii="Times New Roman" w:hAnsi="Times New Roman" w:cs="Times New Roman"/>
        </w:rPr>
      </w:pPr>
    </w:p>
    <w:p w14:paraId="3678BAF7" w14:textId="77777777" w:rsidR="00796FFB" w:rsidRPr="00796FFB" w:rsidRDefault="00796FFB" w:rsidP="00796FFB">
      <w:pPr>
        <w:pStyle w:val="NoSpacing"/>
        <w:rPr>
          <w:rFonts w:ascii="Times New Roman" w:hAnsi="Times New Roman" w:cs="Times New Roman"/>
        </w:rPr>
      </w:pPr>
    </w:p>
    <w:p w14:paraId="756428A2" w14:textId="759BE151" w:rsidR="00796FFB" w:rsidRPr="00796FFB" w:rsidRDefault="00796FFB" w:rsidP="00796FFB">
      <w:pPr>
        <w:pStyle w:val="NoSpacing"/>
        <w:rPr>
          <w:rFonts w:ascii="Times New Roman" w:hAnsi="Times New Roman" w:cs="Times New Roman"/>
          <w:b/>
          <w:bCs/>
          <w:sz w:val="24"/>
          <w:szCs w:val="24"/>
        </w:rPr>
      </w:pPr>
      <w:r w:rsidRPr="00796FFB">
        <w:rPr>
          <w:rFonts w:ascii="Times New Roman" w:hAnsi="Times New Roman" w:cs="Times New Roman"/>
          <w:b/>
          <w:bCs/>
          <w:sz w:val="24"/>
          <w:szCs w:val="24"/>
        </w:rPr>
        <w:lastRenderedPageBreak/>
        <w:t>Supplementary Table 1. Risk of Bias assessment for Cohort studies</w:t>
      </w:r>
    </w:p>
    <w:tbl>
      <w:tblPr>
        <w:tblW w:w="0" w:type="auto"/>
        <w:tblLook w:val="04A0" w:firstRow="1" w:lastRow="0" w:firstColumn="1" w:lastColumn="0" w:noHBand="0" w:noVBand="1"/>
      </w:tblPr>
      <w:tblGrid>
        <w:gridCol w:w="1564"/>
        <w:gridCol w:w="733"/>
        <w:gridCol w:w="926"/>
        <w:gridCol w:w="917"/>
        <w:gridCol w:w="917"/>
        <w:gridCol w:w="1058"/>
        <w:gridCol w:w="1058"/>
        <w:gridCol w:w="1153"/>
        <w:gridCol w:w="1372"/>
        <w:gridCol w:w="882"/>
        <w:gridCol w:w="742"/>
        <w:gridCol w:w="1023"/>
        <w:gridCol w:w="873"/>
        <w:gridCol w:w="1162"/>
      </w:tblGrid>
      <w:tr w:rsidR="00837EB9" w:rsidRPr="00796FFB" w14:paraId="6C62591C" w14:textId="77777777" w:rsidTr="00796FFB">
        <w:trPr>
          <w:trHeight w:val="1700"/>
        </w:trPr>
        <w:tc>
          <w:tcPr>
            <w:tcW w:w="0" w:type="auto"/>
            <w:tcBorders>
              <w:top w:val="single" w:sz="8" w:space="0" w:color="auto"/>
              <w:left w:val="single" w:sz="8" w:space="0" w:color="auto"/>
              <w:bottom w:val="single" w:sz="4" w:space="0" w:color="auto"/>
              <w:right w:val="single" w:sz="4" w:space="0" w:color="auto"/>
            </w:tcBorders>
            <w:vAlign w:val="center"/>
            <w:hideMark/>
          </w:tcPr>
          <w:p w14:paraId="21FC5683"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Reference</w:t>
            </w:r>
          </w:p>
        </w:tc>
        <w:tc>
          <w:tcPr>
            <w:tcW w:w="0" w:type="auto"/>
            <w:tcBorders>
              <w:top w:val="single" w:sz="8" w:space="0" w:color="auto"/>
              <w:left w:val="nil"/>
              <w:bottom w:val="single" w:sz="4" w:space="0" w:color="auto"/>
              <w:right w:val="single" w:sz="4" w:space="0" w:color="auto"/>
            </w:tcBorders>
            <w:vAlign w:val="center"/>
            <w:hideMark/>
          </w:tcPr>
          <w:p w14:paraId="688FB0BC"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 Did the study address a clearly focused issue?</w:t>
            </w:r>
          </w:p>
        </w:tc>
        <w:tc>
          <w:tcPr>
            <w:tcW w:w="0" w:type="auto"/>
            <w:tcBorders>
              <w:top w:val="single" w:sz="8" w:space="0" w:color="auto"/>
              <w:left w:val="nil"/>
              <w:bottom w:val="single" w:sz="4" w:space="0" w:color="auto"/>
              <w:right w:val="single" w:sz="4" w:space="0" w:color="auto"/>
            </w:tcBorders>
            <w:vAlign w:val="center"/>
            <w:hideMark/>
          </w:tcPr>
          <w:p w14:paraId="6B7C11A2"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2. Was the cohort recruited in an acceptable way?</w:t>
            </w:r>
          </w:p>
        </w:tc>
        <w:tc>
          <w:tcPr>
            <w:tcW w:w="0" w:type="auto"/>
            <w:tcBorders>
              <w:top w:val="single" w:sz="8" w:space="0" w:color="auto"/>
              <w:left w:val="nil"/>
              <w:bottom w:val="single" w:sz="4" w:space="0" w:color="auto"/>
              <w:right w:val="single" w:sz="4" w:space="0" w:color="auto"/>
            </w:tcBorders>
            <w:vAlign w:val="center"/>
            <w:hideMark/>
          </w:tcPr>
          <w:p w14:paraId="11BD5EED" w14:textId="351DBD54"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3. Was the exposure accurately measured to minimize bias?</w:t>
            </w:r>
          </w:p>
        </w:tc>
        <w:tc>
          <w:tcPr>
            <w:tcW w:w="0" w:type="auto"/>
            <w:tcBorders>
              <w:top w:val="single" w:sz="8" w:space="0" w:color="auto"/>
              <w:left w:val="nil"/>
              <w:bottom w:val="single" w:sz="4" w:space="0" w:color="auto"/>
              <w:right w:val="single" w:sz="4" w:space="0" w:color="auto"/>
            </w:tcBorders>
            <w:vAlign w:val="center"/>
            <w:hideMark/>
          </w:tcPr>
          <w:p w14:paraId="28EF734E" w14:textId="632B88A3"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4. Was the outcome accurately measured to minimize bias?</w:t>
            </w:r>
          </w:p>
        </w:tc>
        <w:tc>
          <w:tcPr>
            <w:tcW w:w="0" w:type="auto"/>
            <w:tcBorders>
              <w:top w:val="single" w:sz="8" w:space="0" w:color="auto"/>
              <w:left w:val="nil"/>
              <w:bottom w:val="single" w:sz="4" w:space="0" w:color="auto"/>
              <w:right w:val="single" w:sz="4" w:space="0" w:color="auto"/>
            </w:tcBorders>
            <w:vAlign w:val="center"/>
            <w:hideMark/>
          </w:tcPr>
          <w:p w14:paraId="05273C93"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5. Have the authors identified all important confounding factors?</w:t>
            </w:r>
          </w:p>
        </w:tc>
        <w:tc>
          <w:tcPr>
            <w:tcW w:w="0" w:type="auto"/>
            <w:tcBorders>
              <w:top w:val="single" w:sz="8" w:space="0" w:color="auto"/>
              <w:left w:val="nil"/>
              <w:bottom w:val="single" w:sz="4" w:space="0" w:color="auto"/>
              <w:right w:val="single" w:sz="4" w:space="0" w:color="auto"/>
            </w:tcBorders>
            <w:vAlign w:val="center"/>
            <w:hideMark/>
          </w:tcPr>
          <w:p w14:paraId="4D4B8095"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6. Have the authors taken account of all the confounding factors in the design and/or analysis?</w:t>
            </w:r>
          </w:p>
        </w:tc>
        <w:tc>
          <w:tcPr>
            <w:tcW w:w="0" w:type="auto"/>
            <w:tcBorders>
              <w:top w:val="single" w:sz="8" w:space="0" w:color="auto"/>
              <w:left w:val="nil"/>
              <w:bottom w:val="single" w:sz="4" w:space="0" w:color="auto"/>
              <w:right w:val="single" w:sz="4" w:space="0" w:color="auto"/>
            </w:tcBorders>
            <w:vAlign w:val="center"/>
            <w:hideMark/>
          </w:tcPr>
          <w:p w14:paraId="6490C246"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7. Was the follow up of subjects complete/long enough?</w:t>
            </w:r>
          </w:p>
        </w:tc>
        <w:tc>
          <w:tcPr>
            <w:tcW w:w="0" w:type="auto"/>
            <w:tcBorders>
              <w:top w:val="single" w:sz="8" w:space="0" w:color="auto"/>
              <w:left w:val="nil"/>
              <w:bottom w:val="single" w:sz="4" w:space="0" w:color="auto"/>
              <w:right w:val="single" w:sz="4" w:space="0" w:color="auto"/>
            </w:tcBorders>
            <w:vAlign w:val="center"/>
            <w:hideMark/>
          </w:tcPr>
          <w:p w14:paraId="2079D1B8"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8. What are the results of this study?</w:t>
            </w:r>
          </w:p>
        </w:tc>
        <w:tc>
          <w:tcPr>
            <w:tcW w:w="0" w:type="auto"/>
            <w:tcBorders>
              <w:top w:val="single" w:sz="8" w:space="0" w:color="auto"/>
              <w:left w:val="nil"/>
              <w:bottom w:val="single" w:sz="4" w:space="0" w:color="auto"/>
              <w:right w:val="single" w:sz="4" w:space="0" w:color="auto"/>
            </w:tcBorders>
            <w:vAlign w:val="center"/>
            <w:hideMark/>
          </w:tcPr>
          <w:p w14:paraId="7C6F54F5"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9. How precise are the results?</w:t>
            </w:r>
          </w:p>
        </w:tc>
        <w:tc>
          <w:tcPr>
            <w:tcW w:w="0" w:type="auto"/>
            <w:tcBorders>
              <w:top w:val="single" w:sz="8" w:space="0" w:color="auto"/>
              <w:left w:val="nil"/>
              <w:bottom w:val="single" w:sz="4" w:space="0" w:color="auto"/>
              <w:right w:val="single" w:sz="4" w:space="0" w:color="auto"/>
            </w:tcBorders>
            <w:vAlign w:val="center"/>
            <w:hideMark/>
          </w:tcPr>
          <w:p w14:paraId="561B4864"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10. Do you believe the results?</w:t>
            </w:r>
          </w:p>
        </w:tc>
        <w:tc>
          <w:tcPr>
            <w:tcW w:w="0" w:type="auto"/>
            <w:tcBorders>
              <w:top w:val="single" w:sz="8" w:space="0" w:color="auto"/>
              <w:left w:val="nil"/>
              <w:bottom w:val="single" w:sz="4" w:space="0" w:color="auto"/>
              <w:right w:val="single" w:sz="4" w:space="0" w:color="auto"/>
            </w:tcBorders>
            <w:vAlign w:val="center"/>
            <w:hideMark/>
          </w:tcPr>
          <w:p w14:paraId="6FB51B3D"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11. Can the results be applied to the local population?</w:t>
            </w:r>
          </w:p>
        </w:tc>
        <w:tc>
          <w:tcPr>
            <w:tcW w:w="0" w:type="auto"/>
            <w:tcBorders>
              <w:top w:val="single" w:sz="8" w:space="0" w:color="auto"/>
              <w:left w:val="nil"/>
              <w:bottom w:val="single" w:sz="4" w:space="0" w:color="auto"/>
              <w:right w:val="single" w:sz="4" w:space="0" w:color="auto"/>
            </w:tcBorders>
            <w:vAlign w:val="center"/>
            <w:hideMark/>
          </w:tcPr>
          <w:p w14:paraId="11E2D71E"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12. Do the results of the study fit with other available evidence?</w:t>
            </w:r>
          </w:p>
        </w:tc>
        <w:tc>
          <w:tcPr>
            <w:tcW w:w="0" w:type="auto"/>
            <w:tcBorders>
              <w:top w:val="single" w:sz="8" w:space="0" w:color="auto"/>
              <w:left w:val="nil"/>
              <w:bottom w:val="single" w:sz="4" w:space="0" w:color="auto"/>
              <w:right w:val="single" w:sz="8" w:space="0" w:color="auto"/>
            </w:tcBorders>
            <w:vAlign w:val="center"/>
            <w:hideMark/>
          </w:tcPr>
          <w:p w14:paraId="46635936" w14:textId="77777777" w:rsidR="00837EB9" w:rsidRPr="00796FFB" w:rsidRDefault="00837EB9" w:rsidP="00837EB9">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13. What are the implications of this study for practice?</w:t>
            </w:r>
          </w:p>
        </w:tc>
      </w:tr>
      <w:tr w:rsidR="00837EB9" w:rsidRPr="00796FFB" w14:paraId="4F492D4E" w14:textId="77777777" w:rsidTr="00796FFB">
        <w:trPr>
          <w:trHeight w:val="1360"/>
        </w:trPr>
        <w:tc>
          <w:tcPr>
            <w:tcW w:w="0" w:type="auto"/>
            <w:tcBorders>
              <w:top w:val="nil"/>
              <w:left w:val="single" w:sz="8" w:space="0" w:color="auto"/>
              <w:bottom w:val="single" w:sz="4" w:space="0" w:color="auto"/>
              <w:right w:val="single" w:sz="4" w:space="0" w:color="auto"/>
            </w:tcBorders>
            <w:vAlign w:val="center"/>
            <w:hideMark/>
          </w:tcPr>
          <w:p w14:paraId="140187FA"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(Li et al. 2019)</w:t>
            </w:r>
          </w:p>
        </w:tc>
        <w:tc>
          <w:tcPr>
            <w:tcW w:w="0" w:type="auto"/>
            <w:tcBorders>
              <w:top w:val="nil"/>
              <w:left w:val="nil"/>
              <w:bottom w:val="single" w:sz="4" w:space="0" w:color="auto"/>
              <w:right w:val="single" w:sz="4" w:space="0" w:color="auto"/>
            </w:tcBorders>
            <w:vAlign w:val="center"/>
            <w:hideMark/>
          </w:tcPr>
          <w:p w14:paraId="19CA3E9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ECFE63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8C0CBF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75E7F4D"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F46975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229EEA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DB5600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2319A7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Neighborhood deprivation (constructed from variables including low education, low income, unemployment and social welfare) was associated with an </w:t>
            </w:r>
            <w:proofErr w:type="gramStart"/>
            <w:r w:rsidRPr="00796FFB">
              <w:rPr>
                <w:rFonts w:ascii="Times New Roman" w:eastAsia="Times New Roman" w:hAnsi="Times New Roman" w:cs="Times New Roman"/>
                <w:color w:val="000000"/>
                <w:kern w:val="0"/>
                <w:sz w:val="18"/>
                <w:szCs w:val="18"/>
                <w14:ligatures w14:val="none"/>
              </w:rPr>
              <w:t>increased odds of psoriasis</w:t>
            </w:r>
            <w:proofErr w:type="gramEnd"/>
          </w:p>
        </w:tc>
        <w:tc>
          <w:tcPr>
            <w:tcW w:w="0" w:type="auto"/>
            <w:tcBorders>
              <w:top w:val="nil"/>
              <w:left w:val="nil"/>
              <w:bottom w:val="single" w:sz="4" w:space="0" w:color="auto"/>
              <w:right w:val="single" w:sz="4" w:space="0" w:color="auto"/>
            </w:tcBorders>
            <w:vAlign w:val="center"/>
            <w:hideMark/>
          </w:tcPr>
          <w:p w14:paraId="13FFFB1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Precise</w:t>
            </w:r>
          </w:p>
        </w:tc>
        <w:tc>
          <w:tcPr>
            <w:tcW w:w="0" w:type="auto"/>
            <w:tcBorders>
              <w:top w:val="nil"/>
              <w:left w:val="nil"/>
              <w:bottom w:val="single" w:sz="4" w:space="0" w:color="auto"/>
              <w:right w:val="single" w:sz="4" w:space="0" w:color="auto"/>
            </w:tcBorders>
            <w:vAlign w:val="center"/>
            <w:hideMark/>
          </w:tcPr>
          <w:p w14:paraId="5E4F45E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23914B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2DBB47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41A76E8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Screening for and addressing social determinants like low income and education may help identify individuals at higher risk for psoriasis.</w:t>
            </w:r>
          </w:p>
        </w:tc>
      </w:tr>
      <w:tr w:rsidR="00837EB9" w:rsidRPr="00796FFB" w14:paraId="51E07870" w14:textId="77777777" w:rsidTr="00796FFB">
        <w:trPr>
          <w:trHeight w:val="1360"/>
        </w:trPr>
        <w:tc>
          <w:tcPr>
            <w:tcW w:w="0" w:type="auto"/>
            <w:tcBorders>
              <w:top w:val="nil"/>
              <w:left w:val="single" w:sz="8" w:space="0" w:color="auto"/>
              <w:bottom w:val="single" w:sz="4" w:space="0" w:color="auto"/>
              <w:right w:val="single" w:sz="4" w:space="0" w:color="auto"/>
            </w:tcBorders>
            <w:vAlign w:val="center"/>
            <w:hideMark/>
          </w:tcPr>
          <w:p w14:paraId="455BF382"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(Tian et al. 2023)</w:t>
            </w:r>
          </w:p>
        </w:tc>
        <w:tc>
          <w:tcPr>
            <w:tcW w:w="0" w:type="auto"/>
            <w:tcBorders>
              <w:top w:val="nil"/>
              <w:left w:val="nil"/>
              <w:bottom w:val="single" w:sz="4" w:space="0" w:color="auto"/>
              <w:right w:val="single" w:sz="4" w:space="0" w:color="auto"/>
            </w:tcBorders>
            <w:vAlign w:val="center"/>
            <w:hideMark/>
          </w:tcPr>
          <w:p w14:paraId="7399AAD3"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93B505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3871FC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1DA27C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933B52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FB9B98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30ECBB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9A98E90" w14:textId="7C87F1EA"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Higher Polysocial Risk Scores are linked to an increased risk of developing psoriasis, especially when combined with genetic susceptibility and unhealthy lifestyle factors. </w:t>
            </w:r>
          </w:p>
        </w:tc>
        <w:tc>
          <w:tcPr>
            <w:tcW w:w="0" w:type="auto"/>
            <w:tcBorders>
              <w:top w:val="nil"/>
              <w:left w:val="nil"/>
              <w:bottom w:val="single" w:sz="4" w:space="0" w:color="auto"/>
              <w:right w:val="single" w:sz="4" w:space="0" w:color="auto"/>
            </w:tcBorders>
            <w:vAlign w:val="center"/>
            <w:hideMark/>
          </w:tcPr>
          <w:p w14:paraId="48CED971"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Precise</w:t>
            </w:r>
          </w:p>
        </w:tc>
        <w:tc>
          <w:tcPr>
            <w:tcW w:w="0" w:type="auto"/>
            <w:tcBorders>
              <w:top w:val="nil"/>
              <w:left w:val="nil"/>
              <w:bottom w:val="single" w:sz="4" w:space="0" w:color="auto"/>
              <w:right w:val="single" w:sz="4" w:space="0" w:color="auto"/>
            </w:tcBorders>
            <w:vAlign w:val="center"/>
            <w:hideMark/>
          </w:tcPr>
          <w:p w14:paraId="4278A78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9C0D4D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5B134C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5A42DB3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Polysocial risk may play a role in disease severity, especially alongside genetic background and lifestyle factors. It may also help guide preventative counseling. </w:t>
            </w:r>
          </w:p>
        </w:tc>
      </w:tr>
      <w:tr w:rsidR="00837EB9" w:rsidRPr="00796FFB" w14:paraId="34AA6F85" w14:textId="77777777" w:rsidTr="00796FFB">
        <w:trPr>
          <w:trHeight w:val="1700"/>
        </w:trPr>
        <w:tc>
          <w:tcPr>
            <w:tcW w:w="0" w:type="auto"/>
            <w:tcBorders>
              <w:top w:val="nil"/>
              <w:left w:val="single" w:sz="8" w:space="0" w:color="auto"/>
              <w:bottom w:val="single" w:sz="4" w:space="0" w:color="auto"/>
              <w:right w:val="single" w:sz="4" w:space="0" w:color="auto"/>
            </w:tcBorders>
            <w:vAlign w:val="center"/>
            <w:hideMark/>
          </w:tcPr>
          <w:p w14:paraId="2B794804"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(Muntyanu et al. 2024)</w:t>
            </w:r>
          </w:p>
        </w:tc>
        <w:tc>
          <w:tcPr>
            <w:tcW w:w="0" w:type="auto"/>
            <w:tcBorders>
              <w:top w:val="nil"/>
              <w:left w:val="nil"/>
              <w:bottom w:val="single" w:sz="4" w:space="0" w:color="auto"/>
              <w:right w:val="single" w:sz="4" w:space="0" w:color="auto"/>
            </w:tcBorders>
            <w:vAlign w:val="center"/>
            <w:hideMark/>
          </w:tcPr>
          <w:p w14:paraId="66CC876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F74A03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8323CBC"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A50D65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A3B532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70F18B3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7D7739A3"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1EB0EE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Psoriasis incidence in Quebec showed wide geographic variation and was influenced by environmental, </w:t>
            </w:r>
            <w:r w:rsidRPr="00796FFB">
              <w:rPr>
                <w:rFonts w:ascii="Times New Roman" w:eastAsia="Times New Roman" w:hAnsi="Times New Roman" w:cs="Times New Roman"/>
                <w:color w:val="000000"/>
                <w:kern w:val="0"/>
                <w:sz w:val="18"/>
                <w:szCs w:val="18"/>
                <w14:ligatures w14:val="none"/>
              </w:rPr>
              <w:lastRenderedPageBreak/>
              <w:t>demographic, and socioeconomic factors, with certain conditions like higher nighttime light and mid-level deprivation linked to higher risk.</w:t>
            </w:r>
          </w:p>
        </w:tc>
        <w:tc>
          <w:tcPr>
            <w:tcW w:w="0" w:type="auto"/>
            <w:tcBorders>
              <w:top w:val="nil"/>
              <w:left w:val="nil"/>
              <w:bottom w:val="single" w:sz="4" w:space="0" w:color="auto"/>
              <w:right w:val="single" w:sz="4" w:space="0" w:color="auto"/>
            </w:tcBorders>
            <w:vAlign w:val="center"/>
            <w:hideMark/>
          </w:tcPr>
          <w:p w14:paraId="11A8D63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lastRenderedPageBreak/>
              <w:t>Precise</w:t>
            </w:r>
          </w:p>
        </w:tc>
        <w:tc>
          <w:tcPr>
            <w:tcW w:w="0" w:type="auto"/>
            <w:tcBorders>
              <w:top w:val="nil"/>
              <w:left w:val="nil"/>
              <w:bottom w:val="single" w:sz="4" w:space="0" w:color="auto"/>
              <w:right w:val="single" w:sz="4" w:space="0" w:color="auto"/>
            </w:tcBorders>
            <w:vAlign w:val="center"/>
            <w:hideMark/>
          </w:tcPr>
          <w:p w14:paraId="152FE63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99E74DC"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EF60950" w14:textId="00440D39"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 </w:t>
            </w:r>
          </w:p>
        </w:tc>
        <w:tc>
          <w:tcPr>
            <w:tcW w:w="0" w:type="auto"/>
            <w:tcBorders>
              <w:top w:val="nil"/>
              <w:left w:val="nil"/>
              <w:bottom w:val="single" w:sz="4" w:space="0" w:color="auto"/>
              <w:right w:val="single" w:sz="8" w:space="0" w:color="auto"/>
            </w:tcBorders>
            <w:vAlign w:val="center"/>
            <w:hideMark/>
          </w:tcPr>
          <w:p w14:paraId="3FD049C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Recognizing environmental and socioeconomic patterns can guide region-specific public health </w:t>
            </w:r>
            <w:r w:rsidRPr="00796FFB">
              <w:rPr>
                <w:rFonts w:ascii="Times New Roman" w:eastAsia="Times New Roman" w:hAnsi="Times New Roman" w:cs="Times New Roman"/>
                <w:color w:val="000000"/>
                <w:kern w:val="0"/>
                <w:sz w:val="18"/>
                <w:szCs w:val="18"/>
                <w14:ligatures w14:val="none"/>
              </w:rPr>
              <w:lastRenderedPageBreak/>
              <w:t>interventions and patient counseling.</w:t>
            </w:r>
          </w:p>
        </w:tc>
      </w:tr>
      <w:tr w:rsidR="00837EB9" w:rsidRPr="00796FFB" w14:paraId="7FF23A49" w14:textId="77777777" w:rsidTr="00796FFB">
        <w:trPr>
          <w:trHeight w:val="1700"/>
        </w:trPr>
        <w:tc>
          <w:tcPr>
            <w:tcW w:w="0" w:type="auto"/>
            <w:tcBorders>
              <w:top w:val="nil"/>
              <w:left w:val="single" w:sz="8" w:space="0" w:color="auto"/>
              <w:bottom w:val="single" w:sz="4" w:space="0" w:color="auto"/>
              <w:right w:val="single" w:sz="4" w:space="0" w:color="auto"/>
            </w:tcBorders>
            <w:vAlign w:val="center"/>
            <w:hideMark/>
          </w:tcPr>
          <w:p w14:paraId="09850535"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lastRenderedPageBreak/>
              <w:t>(Chen et al. 2024)</w:t>
            </w:r>
          </w:p>
        </w:tc>
        <w:tc>
          <w:tcPr>
            <w:tcW w:w="0" w:type="auto"/>
            <w:tcBorders>
              <w:top w:val="nil"/>
              <w:left w:val="nil"/>
              <w:bottom w:val="single" w:sz="4" w:space="0" w:color="auto"/>
              <w:right w:val="single" w:sz="4" w:space="0" w:color="auto"/>
            </w:tcBorders>
            <w:vAlign w:val="center"/>
            <w:hideMark/>
          </w:tcPr>
          <w:p w14:paraId="4F25651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8A4355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E9E37F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6D6133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DACE573"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CEB41E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84BD53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03F95D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Greater exposure to natural environments and green spaces was linked to higher psoriasis risk, especially in those with high genetic susceptibility, while exposure to domestic gardens and blue spaces was associated with lower risk.</w:t>
            </w:r>
          </w:p>
        </w:tc>
        <w:tc>
          <w:tcPr>
            <w:tcW w:w="0" w:type="auto"/>
            <w:tcBorders>
              <w:top w:val="nil"/>
              <w:left w:val="nil"/>
              <w:bottom w:val="single" w:sz="4" w:space="0" w:color="auto"/>
              <w:right w:val="single" w:sz="4" w:space="0" w:color="auto"/>
            </w:tcBorders>
            <w:vAlign w:val="center"/>
            <w:hideMark/>
          </w:tcPr>
          <w:p w14:paraId="42634FE9"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Precise</w:t>
            </w:r>
          </w:p>
        </w:tc>
        <w:tc>
          <w:tcPr>
            <w:tcW w:w="0" w:type="auto"/>
            <w:tcBorders>
              <w:top w:val="nil"/>
              <w:left w:val="nil"/>
              <w:bottom w:val="single" w:sz="4" w:space="0" w:color="auto"/>
              <w:right w:val="single" w:sz="4" w:space="0" w:color="auto"/>
            </w:tcBorders>
            <w:vAlign w:val="center"/>
            <w:hideMark/>
          </w:tcPr>
          <w:p w14:paraId="76FD8771"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741E62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628040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382F0C2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Clinicians should consider residential environment when assessing psoriasis risk and advise patients on potentially protective benefits of blue spaces.</w:t>
            </w:r>
          </w:p>
        </w:tc>
      </w:tr>
      <w:tr w:rsidR="00837EB9" w:rsidRPr="00796FFB" w14:paraId="1AF46EFA" w14:textId="77777777" w:rsidTr="00796FFB">
        <w:trPr>
          <w:trHeight w:val="1700"/>
        </w:trPr>
        <w:tc>
          <w:tcPr>
            <w:tcW w:w="0" w:type="auto"/>
            <w:tcBorders>
              <w:top w:val="nil"/>
              <w:left w:val="single" w:sz="8" w:space="0" w:color="auto"/>
              <w:bottom w:val="single" w:sz="4" w:space="0" w:color="auto"/>
              <w:right w:val="single" w:sz="4" w:space="0" w:color="auto"/>
            </w:tcBorders>
            <w:vAlign w:val="center"/>
            <w:hideMark/>
          </w:tcPr>
          <w:p w14:paraId="0AB307F8"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roofErr w:type="spellStart"/>
            <w:r w:rsidRPr="00796FFB">
              <w:rPr>
                <w:rFonts w:ascii="Times New Roman" w:eastAsia="Times New Roman" w:hAnsi="Times New Roman" w:cs="Times New Roman"/>
                <w:color w:val="000000"/>
                <w:kern w:val="0"/>
                <w:sz w:val="18"/>
                <w:szCs w:val="18"/>
                <w14:ligatures w14:val="none"/>
              </w:rPr>
              <w:t>Uwumiro</w:t>
            </w:r>
            <w:proofErr w:type="spellEnd"/>
            <w:r w:rsidRPr="00796FFB">
              <w:rPr>
                <w:rFonts w:ascii="Times New Roman" w:eastAsia="Times New Roman" w:hAnsi="Times New Roman" w:cs="Times New Roman"/>
                <w:color w:val="000000"/>
                <w:kern w:val="0"/>
                <w:sz w:val="18"/>
                <w:szCs w:val="18"/>
                <w14:ligatures w14:val="none"/>
              </w:rPr>
              <w:t xml:space="preserve"> et al. 2024)</w:t>
            </w:r>
          </w:p>
        </w:tc>
        <w:tc>
          <w:tcPr>
            <w:tcW w:w="0" w:type="auto"/>
            <w:tcBorders>
              <w:top w:val="nil"/>
              <w:left w:val="nil"/>
              <w:bottom w:val="single" w:sz="4" w:space="0" w:color="auto"/>
              <w:right w:val="single" w:sz="4" w:space="0" w:color="auto"/>
            </w:tcBorders>
            <w:vAlign w:val="center"/>
            <w:hideMark/>
          </w:tcPr>
          <w:p w14:paraId="11457BE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1AF1959"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56C294D"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1792AC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06A791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FB46A0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7754865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0B3159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Nearly one-third of psoriatic arthritis hospitalizations result in 30-day readmissions, with uninsured patients disproportionately affected and experiencing higher readmission rates, longer stays, and greater healthcare costs.</w:t>
            </w:r>
          </w:p>
        </w:tc>
        <w:tc>
          <w:tcPr>
            <w:tcW w:w="0" w:type="auto"/>
            <w:tcBorders>
              <w:top w:val="nil"/>
              <w:left w:val="nil"/>
              <w:bottom w:val="single" w:sz="4" w:space="0" w:color="auto"/>
              <w:right w:val="single" w:sz="4" w:space="0" w:color="auto"/>
            </w:tcBorders>
            <w:vAlign w:val="center"/>
            <w:hideMark/>
          </w:tcPr>
          <w:p w14:paraId="7151300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Somewhat precise</w:t>
            </w:r>
          </w:p>
        </w:tc>
        <w:tc>
          <w:tcPr>
            <w:tcW w:w="0" w:type="auto"/>
            <w:tcBorders>
              <w:top w:val="nil"/>
              <w:left w:val="nil"/>
              <w:bottom w:val="single" w:sz="4" w:space="0" w:color="auto"/>
              <w:right w:val="single" w:sz="4" w:space="0" w:color="auto"/>
            </w:tcBorders>
            <w:vAlign w:val="center"/>
            <w:hideMark/>
          </w:tcPr>
          <w:p w14:paraId="52AC706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C603DF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4" w:space="0" w:color="auto"/>
            </w:tcBorders>
            <w:vAlign w:val="center"/>
            <w:hideMark/>
          </w:tcPr>
          <w:p w14:paraId="5334EDF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3099E50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Improving access to insurance and continuity of care could reduce costly and frequent readmissions among psoriatic arthritis patients.</w:t>
            </w:r>
          </w:p>
        </w:tc>
      </w:tr>
      <w:tr w:rsidR="00837EB9" w:rsidRPr="00796FFB" w14:paraId="67888092" w14:textId="77777777" w:rsidTr="00796FFB">
        <w:trPr>
          <w:trHeight w:val="1360"/>
        </w:trPr>
        <w:tc>
          <w:tcPr>
            <w:tcW w:w="0" w:type="auto"/>
            <w:tcBorders>
              <w:top w:val="nil"/>
              <w:left w:val="single" w:sz="8" w:space="0" w:color="auto"/>
              <w:bottom w:val="single" w:sz="4" w:space="0" w:color="auto"/>
              <w:right w:val="single" w:sz="4" w:space="0" w:color="auto"/>
            </w:tcBorders>
            <w:vAlign w:val="center"/>
            <w:hideMark/>
          </w:tcPr>
          <w:p w14:paraId="2E522518"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lastRenderedPageBreak/>
              <w:t>(Conte et al. 2023)</w:t>
            </w:r>
          </w:p>
        </w:tc>
        <w:tc>
          <w:tcPr>
            <w:tcW w:w="0" w:type="auto"/>
            <w:tcBorders>
              <w:top w:val="nil"/>
              <w:left w:val="nil"/>
              <w:bottom w:val="single" w:sz="4" w:space="0" w:color="auto"/>
              <w:right w:val="single" w:sz="4" w:space="0" w:color="auto"/>
            </w:tcBorders>
            <w:vAlign w:val="center"/>
            <w:hideMark/>
          </w:tcPr>
          <w:p w14:paraId="2065CD0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C767D8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8BB4A0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415185C"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854656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8C1F98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48F82B9"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096A74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Higher exposure to air pollutants like NO₂, SO₂, and lower O₃ levels is linked to increased psoriasis outpatient visits, with women and children being especially sensitive to pollution-related risks.</w:t>
            </w:r>
          </w:p>
        </w:tc>
        <w:tc>
          <w:tcPr>
            <w:tcW w:w="0" w:type="auto"/>
            <w:tcBorders>
              <w:top w:val="nil"/>
              <w:left w:val="nil"/>
              <w:bottom w:val="single" w:sz="4" w:space="0" w:color="auto"/>
              <w:right w:val="single" w:sz="4" w:space="0" w:color="auto"/>
            </w:tcBorders>
            <w:vAlign w:val="center"/>
            <w:hideMark/>
          </w:tcPr>
          <w:p w14:paraId="0E9C583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Precise</w:t>
            </w:r>
          </w:p>
        </w:tc>
        <w:tc>
          <w:tcPr>
            <w:tcW w:w="0" w:type="auto"/>
            <w:tcBorders>
              <w:top w:val="nil"/>
              <w:left w:val="nil"/>
              <w:bottom w:val="single" w:sz="4" w:space="0" w:color="auto"/>
              <w:right w:val="single" w:sz="4" w:space="0" w:color="auto"/>
            </w:tcBorders>
            <w:vAlign w:val="center"/>
            <w:hideMark/>
          </w:tcPr>
          <w:p w14:paraId="1EF0EE6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BF6B6A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62C9878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8" w:space="0" w:color="auto"/>
            </w:tcBorders>
            <w:vAlign w:val="center"/>
            <w:hideMark/>
          </w:tcPr>
          <w:p w14:paraId="6860E04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Monitoring local air quality and counseling structural policy change could reduce psoriasis flares, especially in sensitive groups.</w:t>
            </w:r>
          </w:p>
        </w:tc>
      </w:tr>
      <w:tr w:rsidR="00837EB9" w:rsidRPr="00796FFB" w14:paraId="3C3FB5A2" w14:textId="77777777" w:rsidTr="00796FFB">
        <w:trPr>
          <w:trHeight w:val="1360"/>
        </w:trPr>
        <w:tc>
          <w:tcPr>
            <w:tcW w:w="0" w:type="auto"/>
            <w:tcBorders>
              <w:top w:val="nil"/>
              <w:left w:val="single" w:sz="8" w:space="0" w:color="auto"/>
              <w:bottom w:val="single" w:sz="4" w:space="0" w:color="auto"/>
              <w:right w:val="single" w:sz="4" w:space="0" w:color="auto"/>
            </w:tcBorders>
            <w:vAlign w:val="center"/>
            <w:hideMark/>
          </w:tcPr>
          <w:p w14:paraId="7AB94225"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(Groot et al. 2019)</w:t>
            </w:r>
          </w:p>
        </w:tc>
        <w:tc>
          <w:tcPr>
            <w:tcW w:w="0" w:type="auto"/>
            <w:tcBorders>
              <w:top w:val="nil"/>
              <w:left w:val="nil"/>
              <w:bottom w:val="single" w:sz="4" w:space="0" w:color="auto"/>
              <w:right w:val="single" w:sz="4" w:space="0" w:color="auto"/>
            </w:tcBorders>
            <w:vAlign w:val="center"/>
            <w:hideMark/>
          </w:tcPr>
          <w:p w14:paraId="302B6ED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D49040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52B6D89"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E15EC13"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A0E5D7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4233E9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724394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3B77679"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Lower maternal age, education, and household income are linked to a higher risk of psoriasis in offspring, highlighting socioeconomic disadvantage as a significant early-life risk factor.</w:t>
            </w:r>
          </w:p>
        </w:tc>
        <w:tc>
          <w:tcPr>
            <w:tcW w:w="0" w:type="auto"/>
            <w:tcBorders>
              <w:top w:val="nil"/>
              <w:left w:val="nil"/>
              <w:bottom w:val="single" w:sz="4" w:space="0" w:color="auto"/>
              <w:right w:val="single" w:sz="4" w:space="0" w:color="auto"/>
            </w:tcBorders>
            <w:vAlign w:val="center"/>
            <w:hideMark/>
          </w:tcPr>
          <w:p w14:paraId="4048D39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Precise</w:t>
            </w:r>
          </w:p>
        </w:tc>
        <w:tc>
          <w:tcPr>
            <w:tcW w:w="0" w:type="auto"/>
            <w:tcBorders>
              <w:top w:val="nil"/>
              <w:left w:val="nil"/>
              <w:bottom w:val="single" w:sz="4" w:space="0" w:color="auto"/>
              <w:right w:val="single" w:sz="4" w:space="0" w:color="auto"/>
            </w:tcBorders>
            <w:vAlign w:val="center"/>
            <w:hideMark/>
          </w:tcPr>
          <w:p w14:paraId="44E9A38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232D51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326DBC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04C95E9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Supporting maternal education and socioeconomic conditions may lower offspring psoriasis risk, underscoring the importance of early-life interventions.</w:t>
            </w:r>
          </w:p>
        </w:tc>
      </w:tr>
      <w:tr w:rsidR="00837EB9" w:rsidRPr="00796FFB" w14:paraId="5EF2EF95" w14:textId="77777777" w:rsidTr="00796FFB">
        <w:trPr>
          <w:trHeight w:val="1700"/>
        </w:trPr>
        <w:tc>
          <w:tcPr>
            <w:tcW w:w="0" w:type="auto"/>
            <w:tcBorders>
              <w:top w:val="nil"/>
              <w:left w:val="single" w:sz="8" w:space="0" w:color="auto"/>
              <w:bottom w:val="single" w:sz="4" w:space="0" w:color="auto"/>
              <w:right w:val="single" w:sz="4" w:space="0" w:color="auto"/>
            </w:tcBorders>
            <w:vAlign w:val="center"/>
            <w:hideMark/>
          </w:tcPr>
          <w:p w14:paraId="7327D758"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(Xiong et al. 2025)</w:t>
            </w:r>
          </w:p>
        </w:tc>
        <w:tc>
          <w:tcPr>
            <w:tcW w:w="0" w:type="auto"/>
            <w:tcBorders>
              <w:top w:val="nil"/>
              <w:left w:val="nil"/>
              <w:bottom w:val="single" w:sz="4" w:space="0" w:color="auto"/>
              <w:right w:val="single" w:sz="4" w:space="0" w:color="auto"/>
            </w:tcBorders>
            <w:vAlign w:val="center"/>
            <w:hideMark/>
          </w:tcPr>
          <w:p w14:paraId="5A7D38D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0F9685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B24B73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A9551C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2D6F443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098D4A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22339B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C696DD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Higher air pollution exposure and adverse pollution scores were associated with increased psoriasis risk, especially among individuals with high genetic susceptibility, indicating a strong combined effect of </w:t>
            </w:r>
            <w:r w:rsidRPr="00796FFB">
              <w:rPr>
                <w:rFonts w:ascii="Times New Roman" w:eastAsia="Times New Roman" w:hAnsi="Times New Roman" w:cs="Times New Roman"/>
                <w:color w:val="000000"/>
                <w:kern w:val="0"/>
                <w:sz w:val="18"/>
                <w:szCs w:val="18"/>
                <w14:ligatures w14:val="none"/>
              </w:rPr>
              <w:lastRenderedPageBreak/>
              <w:t>environment and genetics.</w:t>
            </w:r>
          </w:p>
        </w:tc>
        <w:tc>
          <w:tcPr>
            <w:tcW w:w="0" w:type="auto"/>
            <w:tcBorders>
              <w:top w:val="nil"/>
              <w:left w:val="nil"/>
              <w:bottom w:val="single" w:sz="4" w:space="0" w:color="auto"/>
              <w:right w:val="single" w:sz="4" w:space="0" w:color="auto"/>
            </w:tcBorders>
            <w:vAlign w:val="center"/>
            <w:hideMark/>
          </w:tcPr>
          <w:p w14:paraId="33A83EA1"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lastRenderedPageBreak/>
              <w:t>Precise</w:t>
            </w:r>
          </w:p>
        </w:tc>
        <w:tc>
          <w:tcPr>
            <w:tcW w:w="0" w:type="auto"/>
            <w:tcBorders>
              <w:top w:val="nil"/>
              <w:left w:val="nil"/>
              <w:bottom w:val="single" w:sz="4" w:space="0" w:color="auto"/>
              <w:right w:val="single" w:sz="4" w:space="0" w:color="auto"/>
            </w:tcBorders>
            <w:vAlign w:val="center"/>
            <w:hideMark/>
          </w:tcPr>
          <w:p w14:paraId="587778A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A5DB56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80421F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519868A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Integrating environmental exposure history with genetic risk profiling may allow more precise psoriasis risk prediction and prevention.</w:t>
            </w:r>
          </w:p>
        </w:tc>
      </w:tr>
      <w:tr w:rsidR="00837EB9" w:rsidRPr="00796FFB" w14:paraId="27122038" w14:textId="77777777" w:rsidTr="00796FFB">
        <w:trPr>
          <w:trHeight w:val="1400"/>
        </w:trPr>
        <w:tc>
          <w:tcPr>
            <w:tcW w:w="0" w:type="auto"/>
            <w:tcBorders>
              <w:top w:val="nil"/>
              <w:left w:val="single" w:sz="8" w:space="0" w:color="auto"/>
              <w:bottom w:val="single" w:sz="4" w:space="0" w:color="auto"/>
              <w:right w:val="single" w:sz="4" w:space="0" w:color="auto"/>
            </w:tcBorders>
            <w:vAlign w:val="center"/>
            <w:hideMark/>
          </w:tcPr>
          <w:p w14:paraId="28DE1414"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(Wu et al. 2024)</w:t>
            </w:r>
          </w:p>
        </w:tc>
        <w:tc>
          <w:tcPr>
            <w:tcW w:w="0" w:type="auto"/>
            <w:tcBorders>
              <w:top w:val="nil"/>
              <w:left w:val="nil"/>
              <w:bottom w:val="single" w:sz="4" w:space="0" w:color="auto"/>
              <w:right w:val="single" w:sz="4" w:space="0" w:color="auto"/>
            </w:tcBorders>
            <w:vAlign w:val="center"/>
            <w:hideMark/>
          </w:tcPr>
          <w:p w14:paraId="6AB4FAC9"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C05E1B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8B0E42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52D6843"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A059FBD"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4CE07D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F10092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53B86D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Long-term exposure to air pollutants like PM2.5, PM10, NO₂, and NOx significantly increased psoriasis risk, with the highest pollution levels combined with high genetic susceptibility leading to the greatest disease risk.</w:t>
            </w:r>
          </w:p>
        </w:tc>
        <w:tc>
          <w:tcPr>
            <w:tcW w:w="0" w:type="auto"/>
            <w:tcBorders>
              <w:top w:val="nil"/>
              <w:left w:val="nil"/>
              <w:bottom w:val="single" w:sz="4" w:space="0" w:color="auto"/>
              <w:right w:val="single" w:sz="4" w:space="0" w:color="auto"/>
            </w:tcBorders>
            <w:vAlign w:val="center"/>
            <w:hideMark/>
          </w:tcPr>
          <w:p w14:paraId="27B0BB0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Precise</w:t>
            </w:r>
          </w:p>
        </w:tc>
        <w:tc>
          <w:tcPr>
            <w:tcW w:w="0" w:type="auto"/>
            <w:tcBorders>
              <w:top w:val="nil"/>
              <w:left w:val="nil"/>
              <w:bottom w:val="single" w:sz="4" w:space="0" w:color="auto"/>
              <w:right w:val="single" w:sz="4" w:space="0" w:color="auto"/>
            </w:tcBorders>
            <w:vAlign w:val="center"/>
            <w:hideMark/>
          </w:tcPr>
          <w:p w14:paraId="4202C11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EB79F1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55F5DF1"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16A3DAE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Reducing patient exposure to chronic air pollution should be a public health consideration, particularly for those with high genetic risk, to mitigate psoriasis development.</w:t>
            </w:r>
          </w:p>
        </w:tc>
      </w:tr>
      <w:tr w:rsidR="00837EB9" w:rsidRPr="00796FFB" w14:paraId="381AA9E0" w14:textId="77777777" w:rsidTr="00796FFB">
        <w:trPr>
          <w:trHeight w:val="1360"/>
        </w:trPr>
        <w:tc>
          <w:tcPr>
            <w:tcW w:w="0" w:type="auto"/>
            <w:tcBorders>
              <w:top w:val="nil"/>
              <w:left w:val="single" w:sz="8" w:space="0" w:color="auto"/>
              <w:bottom w:val="single" w:sz="4" w:space="0" w:color="auto"/>
              <w:right w:val="single" w:sz="4" w:space="0" w:color="auto"/>
            </w:tcBorders>
            <w:noWrap/>
            <w:vAlign w:val="center"/>
            <w:hideMark/>
          </w:tcPr>
          <w:p w14:paraId="7D6ADCAE"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(Fadadu et al. </w:t>
            </w:r>
            <w:proofErr w:type="gramStart"/>
            <w:r w:rsidRPr="00796FFB">
              <w:rPr>
                <w:rFonts w:ascii="Times New Roman" w:eastAsia="Times New Roman" w:hAnsi="Times New Roman" w:cs="Times New Roman"/>
                <w:color w:val="000000"/>
                <w:kern w:val="0"/>
                <w:sz w:val="18"/>
                <w:szCs w:val="18"/>
                <w14:ligatures w14:val="none"/>
              </w:rPr>
              <w:t>2023)*</w:t>
            </w:r>
            <w:proofErr w:type="gramEnd"/>
          </w:p>
        </w:tc>
        <w:tc>
          <w:tcPr>
            <w:tcW w:w="0" w:type="auto"/>
            <w:tcBorders>
              <w:top w:val="nil"/>
              <w:left w:val="nil"/>
              <w:bottom w:val="single" w:sz="4" w:space="0" w:color="auto"/>
              <w:right w:val="single" w:sz="4" w:space="0" w:color="auto"/>
            </w:tcBorders>
            <w:vAlign w:val="center"/>
            <w:hideMark/>
          </w:tcPr>
          <w:p w14:paraId="07A1055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7566CF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N/A</w:t>
            </w:r>
          </w:p>
        </w:tc>
        <w:tc>
          <w:tcPr>
            <w:tcW w:w="0" w:type="auto"/>
            <w:tcBorders>
              <w:top w:val="nil"/>
              <w:left w:val="nil"/>
              <w:bottom w:val="single" w:sz="4" w:space="0" w:color="auto"/>
              <w:right w:val="single" w:sz="4" w:space="0" w:color="auto"/>
            </w:tcBorders>
            <w:vAlign w:val="center"/>
            <w:hideMark/>
          </w:tcPr>
          <w:p w14:paraId="599F067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4C7C8B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F6AF063"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4" w:space="0" w:color="auto"/>
            </w:tcBorders>
            <w:vAlign w:val="center"/>
            <w:hideMark/>
          </w:tcPr>
          <w:p w14:paraId="0494E7C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5F8B65CC"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bottom"/>
            <w:hideMark/>
          </w:tcPr>
          <w:p w14:paraId="01CD340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Wildfire air pollution was linked to a rise in adult psoriasis clinic visits in the weeks following the smoke exposure. No meaningful association was found for children, likely due to fewer visits and limited data.</w:t>
            </w:r>
          </w:p>
        </w:tc>
        <w:tc>
          <w:tcPr>
            <w:tcW w:w="0" w:type="auto"/>
            <w:tcBorders>
              <w:top w:val="nil"/>
              <w:left w:val="nil"/>
              <w:bottom w:val="single" w:sz="4" w:space="0" w:color="auto"/>
              <w:right w:val="single" w:sz="4" w:space="0" w:color="auto"/>
            </w:tcBorders>
            <w:vAlign w:val="center"/>
            <w:hideMark/>
          </w:tcPr>
          <w:p w14:paraId="3851C01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Somewhat precise</w:t>
            </w:r>
          </w:p>
        </w:tc>
        <w:tc>
          <w:tcPr>
            <w:tcW w:w="0" w:type="auto"/>
            <w:tcBorders>
              <w:top w:val="nil"/>
              <w:left w:val="nil"/>
              <w:bottom w:val="single" w:sz="4" w:space="0" w:color="auto"/>
              <w:right w:val="single" w:sz="4" w:space="0" w:color="auto"/>
            </w:tcBorders>
            <w:vAlign w:val="center"/>
            <w:hideMark/>
          </w:tcPr>
          <w:p w14:paraId="334414F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5E639CD"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4" w:space="0" w:color="auto"/>
            </w:tcBorders>
            <w:vAlign w:val="center"/>
            <w:hideMark/>
          </w:tcPr>
          <w:p w14:paraId="7C444C0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6325B19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Wildfire smoke may trigger or worsen psoriasis flares, so clinicians should anticipate increased demand for care after major smoke events. </w:t>
            </w:r>
          </w:p>
        </w:tc>
      </w:tr>
      <w:tr w:rsidR="00837EB9" w:rsidRPr="00796FFB" w14:paraId="05DBAA2F" w14:textId="77777777" w:rsidTr="00796FFB">
        <w:trPr>
          <w:trHeight w:val="1360"/>
        </w:trPr>
        <w:tc>
          <w:tcPr>
            <w:tcW w:w="0" w:type="auto"/>
            <w:tcBorders>
              <w:top w:val="nil"/>
              <w:left w:val="single" w:sz="8" w:space="0" w:color="auto"/>
              <w:bottom w:val="single" w:sz="4" w:space="0" w:color="auto"/>
              <w:right w:val="single" w:sz="4" w:space="0" w:color="auto"/>
            </w:tcBorders>
            <w:noWrap/>
            <w:vAlign w:val="center"/>
            <w:hideMark/>
          </w:tcPr>
          <w:p w14:paraId="71F3BCCE"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(Lan et al. </w:t>
            </w:r>
            <w:proofErr w:type="gramStart"/>
            <w:r w:rsidRPr="00796FFB">
              <w:rPr>
                <w:rFonts w:ascii="Times New Roman" w:eastAsia="Times New Roman" w:hAnsi="Times New Roman" w:cs="Times New Roman"/>
                <w:color w:val="000000"/>
                <w:kern w:val="0"/>
                <w:sz w:val="18"/>
                <w:szCs w:val="18"/>
                <w14:ligatures w14:val="none"/>
              </w:rPr>
              <w:t>2023)*</w:t>
            </w:r>
            <w:proofErr w:type="gramEnd"/>
          </w:p>
        </w:tc>
        <w:tc>
          <w:tcPr>
            <w:tcW w:w="0" w:type="auto"/>
            <w:tcBorders>
              <w:top w:val="nil"/>
              <w:left w:val="nil"/>
              <w:bottom w:val="single" w:sz="4" w:space="0" w:color="auto"/>
              <w:right w:val="single" w:sz="4" w:space="0" w:color="auto"/>
            </w:tcBorders>
            <w:vAlign w:val="center"/>
            <w:hideMark/>
          </w:tcPr>
          <w:p w14:paraId="2E9F212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9C78174"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N/A</w:t>
            </w:r>
          </w:p>
        </w:tc>
        <w:tc>
          <w:tcPr>
            <w:tcW w:w="0" w:type="auto"/>
            <w:tcBorders>
              <w:top w:val="nil"/>
              <w:left w:val="nil"/>
              <w:bottom w:val="single" w:sz="4" w:space="0" w:color="auto"/>
              <w:right w:val="single" w:sz="4" w:space="0" w:color="auto"/>
            </w:tcBorders>
            <w:vAlign w:val="center"/>
            <w:hideMark/>
          </w:tcPr>
          <w:p w14:paraId="65BE000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513F1EC"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934BB5C"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7047CF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323B8AB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bottom"/>
            <w:hideMark/>
          </w:tcPr>
          <w:p w14:paraId="3146618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Higher levels of several air pollutants—especially nitrogen dioxide—were linked to increases in psoriasis </w:t>
            </w:r>
            <w:r w:rsidRPr="00796FFB">
              <w:rPr>
                <w:rFonts w:ascii="Times New Roman" w:eastAsia="Times New Roman" w:hAnsi="Times New Roman" w:cs="Times New Roman"/>
                <w:color w:val="000000"/>
                <w:kern w:val="0"/>
                <w:sz w:val="18"/>
                <w:szCs w:val="18"/>
                <w14:ligatures w14:val="none"/>
              </w:rPr>
              <w:lastRenderedPageBreak/>
              <w:t xml:space="preserve">outpatient visits. These effects were strongest in younger adults, women, and during the colder months. </w:t>
            </w:r>
          </w:p>
        </w:tc>
        <w:tc>
          <w:tcPr>
            <w:tcW w:w="0" w:type="auto"/>
            <w:tcBorders>
              <w:top w:val="nil"/>
              <w:left w:val="nil"/>
              <w:bottom w:val="single" w:sz="4" w:space="0" w:color="auto"/>
              <w:right w:val="single" w:sz="4" w:space="0" w:color="auto"/>
            </w:tcBorders>
            <w:vAlign w:val="center"/>
            <w:hideMark/>
          </w:tcPr>
          <w:p w14:paraId="7418755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lastRenderedPageBreak/>
              <w:t>Precise</w:t>
            </w:r>
          </w:p>
        </w:tc>
        <w:tc>
          <w:tcPr>
            <w:tcW w:w="0" w:type="auto"/>
            <w:tcBorders>
              <w:top w:val="nil"/>
              <w:left w:val="nil"/>
              <w:bottom w:val="single" w:sz="4" w:space="0" w:color="auto"/>
              <w:right w:val="single" w:sz="4" w:space="0" w:color="auto"/>
            </w:tcBorders>
            <w:vAlign w:val="center"/>
            <w:hideMark/>
          </w:tcPr>
          <w:p w14:paraId="6959BF9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31857A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4" w:space="0" w:color="auto"/>
            </w:tcBorders>
            <w:vAlign w:val="center"/>
            <w:hideMark/>
          </w:tcPr>
          <w:p w14:paraId="47E874C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vAlign w:val="center"/>
            <w:hideMark/>
          </w:tcPr>
          <w:p w14:paraId="3BD56DA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Higher air-pollution levels—especially NO₂—may trigger or worsen psoriasis, so reducing </w:t>
            </w:r>
            <w:r w:rsidRPr="00796FFB">
              <w:rPr>
                <w:rFonts w:ascii="Times New Roman" w:eastAsia="Times New Roman" w:hAnsi="Times New Roman" w:cs="Times New Roman"/>
                <w:color w:val="000000"/>
                <w:kern w:val="0"/>
                <w:sz w:val="18"/>
                <w:szCs w:val="18"/>
                <w14:ligatures w14:val="none"/>
              </w:rPr>
              <w:lastRenderedPageBreak/>
              <w:t>exposure could help patients manage symptoms.</w:t>
            </w:r>
          </w:p>
        </w:tc>
      </w:tr>
      <w:tr w:rsidR="00837EB9" w:rsidRPr="00796FFB" w14:paraId="412DB67E" w14:textId="77777777" w:rsidTr="00796FFB">
        <w:trPr>
          <w:trHeight w:val="1320"/>
        </w:trPr>
        <w:tc>
          <w:tcPr>
            <w:tcW w:w="0" w:type="auto"/>
            <w:tcBorders>
              <w:top w:val="nil"/>
              <w:left w:val="single" w:sz="8" w:space="0" w:color="auto"/>
              <w:bottom w:val="single" w:sz="4" w:space="0" w:color="auto"/>
              <w:right w:val="single" w:sz="4" w:space="0" w:color="auto"/>
            </w:tcBorders>
            <w:noWrap/>
            <w:vAlign w:val="center"/>
            <w:hideMark/>
          </w:tcPr>
          <w:p w14:paraId="571C87BE"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lastRenderedPageBreak/>
              <w:t xml:space="preserve">(Park et al. </w:t>
            </w:r>
            <w:proofErr w:type="gramStart"/>
            <w:r w:rsidRPr="00796FFB">
              <w:rPr>
                <w:rFonts w:ascii="Times New Roman" w:eastAsia="Times New Roman" w:hAnsi="Times New Roman" w:cs="Times New Roman"/>
                <w:color w:val="000000"/>
                <w:kern w:val="0"/>
                <w:sz w:val="18"/>
                <w:szCs w:val="18"/>
                <w14:ligatures w14:val="none"/>
              </w:rPr>
              <w:t>2022)*</w:t>
            </w:r>
            <w:proofErr w:type="gramEnd"/>
          </w:p>
        </w:tc>
        <w:tc>
          <w:tcPr>
            <w:tcW w:w="0" w:type="auto"/>
            <w:tcBorders>
              <w:top w:val="nil"/>
              <w:left w:val="nil"/>
              <w:bottom w:val="single" w:sz="4" w:space="0" w:color="auto"/>
              <w:right w:val="single" w:sz="4" w:space="0" w:color="auto"/>
            </w:tcBorders>
            <w:vAlign w:val="center"/>
            <w:hideMark/>
          </w:tcPr>
          <w:p w14:paraId="7C90667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AB84A1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N/A</w:t>
            </w:r>
          </w:p>
        </w:tc>
        <w:tc>
          <w:tcPr>
            <w:tcW w:w="0" w:type="auto"/>
            <w:tcBorders>
              <w:top w:val="nil"/>
              <w:left w:val="nil"/>
              <w:bottom w:val="single" w:sz="4" w:space="0" w:color="auto"/>
              <w:right w:val="single" w:sz="4" w:space="0" w:color="auto"/>
            </w:tcBorders>
            <w:vAlign w:val="center"/>
            <w:hideMark/>
          </w:tcPr>
          <w:p w14:paraId="1AFEF9E6"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2C5A01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29C0473"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2663850C"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52F3EBF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hideMark/>
          </w:tcPr>
          <w:p w14:paraId="72B0049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Particulate matter, especially PM2.5, was associated with increased clinic visits for psoriasis and other chronic inflammatory skin diseases, while non-inflammatory conditions showed no meaningful relationship.</w:t>
            </w:r>
          </w:p>
        </w:tc>
        <w:tc>
          <w:tcPr>
            <w:tcW w:w="0" w:type="auto"/>
            <w:tcBorders>
              <w:top w:val="nil"/>
              <w:left w:val="nil"/>
              <w:bottom w:val="single" w:sz="4" w:space="0" w:color="auto"/>
              <w:right w:val="single" w:sz="4" w:space="0" w:color="auto"/>
            </w:tcBorders>
            <w:vAlign w:val="center"/>
            <w:hideMark/>
          </w:tcPr>
          <w:p w14:paraId="65AD3F51"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Somewhat precise</w:t>
            </w:r>
          </w:p>
        </w:tc>
        <w:tc>
          <w:tcPr>
            <w:tcW w:w="0" w:type="auto"/>
            <w:tcBorders>
              <w:top w:val="nil"/>
              <w:left w:val="nil"/>
              <w:bottom w:val="single" w:sz="4" w:space="0" w:color="auto"/>
              <w:right w:val="single" w:sz="4" w:space="0" w:color="auto"/>
            </w:tcBorders>
            <w:vAlign w:val="center"/>
            <w:hideMark/>
          </w:tcPr>
          <w:p w14:paraId="4262E94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79B52DB"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CC6792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8" w:space="0" w:color="auto"/>
            </w:tcBorders>
            <w:hideMark/>
          </w:tcPr>
          <w:p w14:paraId="7522554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Air pollution—especially particulate matter—should be considered a risk factor in managing psoriasis and other inflammatory skin diseases.</w:t>
            </w:r>
          </w:p>
        </w:tc>
      </w:tr>
      <w:tr w:rsidR="00837EB9" w:rsidRPr="00796FFB" w14:paraId="3CC2FA3E" w14:textId="77777777" w:rsidTr="00796FFB">
        <w:trPr>
          <w:trHeight w:val="1720"/>
        </w:trPr>
        <w:tc>
          <w:tcPr>
            <w:tcW w:w="0" w:type="auto"/>
            <w:tcBorders>
              <w:top w:val="nil"/>
              <w:left w:val="single" w:sz="8" w:space="0" w:color="auto"/>
              <w:bottom w:val="single" w:sz="8" w:space="0" w:color="auto"/>
              <w:right w:val="single" w:sz="4" w:space="0" w:color="auto"/>
            </w:tcBorders>
            <w:noWrap/>
            <w:vAlign w:val="center"/>
            <w:hideMark/>
          </w:tcPr>
          <w:p w14:paraId="11BEE0CF" w14:textId="77777777" w:rsidR="00837EB9" w:rsidRPr="00796FFB" w:rsidRDefault="00837EB9" w:rsidP="00837EB9">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(Wang et al. </w:t>
            </w:r>
            <w:proofErr w:type="gramStart"/>
            <w:r w:rsidRPr="00796FFB">
              <w:rPr>
                <w:rFonts w:ascii="Times New Roman" w:eastAsia="Times New Roman" w:hAnsi="Times New Roman" w:cs="Times New Roman"/>
                <w:color w:val="000000"/>
                <w:kern w:val="0"/>
                <w:sz w:val="18"/>
                <w:szCs w:val="18"/>
                <w14:ligatures w14:val="none"/>
              </w:rPr>
              <w:t>2022)*</w:t>
            </w:r>
            <w:proofErr w:type="gramEnd"/>
          </w:p>
        </w:tc>
        <w:tc>
          <w:tcPr>
            <w:tcW w:w="0" w:type="auto"/>
            <w:tcBorders>
              <w:top w:val="nil"/>
              <w:left w:val="nil"/>
              <w:bottom w:val="single" w:sz="8" w:space="0" w:color="auto"/>
              <w:right w:val="single" w:sz="4" w:space="0" w:color="auto"/>
            </w:tcBorders>
            <w:vAlign w:val="center"/>
            <w:hideMark/>
          </w:tcPr>
          <w:p w14:paraId="62C3214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single" w:sz="4" w:space="0" w:color="auto"/>
            </w:tcBorders>
            <w:vAlign w:val="center"/>
            <w:hideMark/>
          </w:tcPr>
          <w:p w14:paraId="72E107A5"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N/A</w:t>
            </w:r>
          </w:p>
        </w:tc>
        <w:tc>
          <w:tcPr>
            <w:tcW w:w="0" w:type="auto"/>
            <w:tcBorders>
              <w:top w:val="nil"/>
              <w:left w:val="nil"/>
              <w:bottom w:val="single" w:sz="8" w:space="0" w:color="auto"/>
              <w:right w:val="single" w:sz="4" w:space="0" w:color="auto"/>
            </w:tcBorders>
            <w:vAlign w:val="center"/>
            <w:hideMark/>
          </w:tcPr>
          <w:p w14:paraId="3DEF3722"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single" w:sz="4" w:space="0" w:color="auto"/>
            </w:tcBorders>
            <w:vAlign w:val="center"/>
            <w:hideMark/>
          </w:tcPr>
          <w:p w14:paraId="1D22E64D"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single" w:sz="4" w:space="0" w:color="auto"/>
            </w:tcBorders>
            <w:vAlign w:val="center"/>
            <w:hideMark/>
          </w:tcPr>
          <w:p w14:paraId="5EE9CE5E"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8" w:space="0" w:color="auto"/>
              <w:right w:val="single" w:sz="4" w:space="0" w:color="auto"/>
            </w:tcBorders>
            <w:vAlign w:val="center"/>
            <w:hideMark/>
          </w:tcPr>
          <w:p w14:paraId="4A9EE768"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8" w:space="0" w:color="auto"/>
              <w:right w:val="single" w:sz="4" w:space="0" w:color="auto"/>
            </w:tcBorders>
            <w:vAlign w:val="center"/>
            <w:hideMark/>
          </w:tcPr>
          <w:p w14:paraId="4D2052E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single" w:sz="4" w:space="0" w:color="auto"/>
            </w:tcBorders>
            <w:vAlign w:val="bottom"/>
            <w:hideMark/>
          </w:tcPr>
          <w:p w14:paraId="6C1944C0"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Short-term changes in air pollution were linked to increases in psoriasis outpatient visits, with nitrogen dioxide and lower ozone levels showing the strongest effects. Children and women were more sensitive to pollution-related changes than other groups.</w:t>
            </w:r>
          </w:p>
        </w:tc>
        <w:tc>
          <w:tcPr>
            <w:tcW w:w="0" w:type="auto"/>
            <w:tcBorders>
              <w:top w:val="nil"/>
              <w:left w:val="nil"/>
              <w:bottom w:val="single" w:sz="8" w:space="0" w:color="auto"/>
              <w:right w:val="single" w:sz="4" w:space="0" w:color="auto"/>
            </w:tcBorders>
            <w:vAlign w:val="center"/>
            <w:hideMark/>
          </w:tcPr>
          <w:p w14:paraId="206F7BFA"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 xml:space="preserve">Precise </w:t>
            </w:r>
          </w:p>
        </w:tc>
        <w:tc>
          <w:tcPr>
            <w:tcW w:w="0" w:type="auto"/>
            <w:tcBorders>
              <w:top w:val="nil"/>
              <w:left w:val="nil"/>
              <w:bottom w:val="single" w:sz="8" w:space="0" w:color="auto"/>
              <w:right w:val="single" w:sz="4" w:space="0" w:color="auto"/>
            </w:tcBorders>
            <w:vAlign w:val="center"/>
            <w:hideMark/>
          </w:tcPr>
          <w:p w14:paraId="6FF3F3D1"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single" w:sz="4" w:space="0" w:color="auto"/>
            </w:tcBorders>
            <w:vAlign w:val="center"/>
            <w:hideMark/>
          </w:tcPr>
          <w:p w14:paraId="7CDD9C7F"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single" w:sz="4" w:space="0" w:color="auto"/>
            </w:tcBorders>
            <w:vAlign w:val="center"/>
            <w:hideMark/>
          </w:tcPr>
          <w:p w14:paraId="5CC9B2D7" w14:textId="77777777"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single" w:sz="8" w:space="0" w:color="auto"/>
            </w:tcBorders>
            <w:vAlign w:val="bottom"/>
            <w:hideMark/>
          </w:tcPr>
          <w:p w14:paraId="40DEC1F0" w14:textId="3C7CF4FA" w:rsidR="00837EB9" w:rsidRPr="00796FFB" w:rsidRDefault="00837EB9" w:rsidP="00837EB9">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Healthcare providers and public health services should recognize poor air quality as a trigger for psoriasis flares and offer guidance or environmental protections to help reduce exposure during high-pollution periods.</w:t>
            </w:r>
          </w:p>
        </w:tc>
      </w:tr>
    </w:tbl>
    <w:p w14:paraId="47534E22" w14:textId="22B83E5C" w:rsidR="00796FFB" w:rsidRDefault="00837EB9" w:rsidP="00796FFB">
      <w:pPr>
        <w:tabs>
          <w:tab w:val="left" w:pos="2757"/>
        </w:tabs>
        <w:rPr>
          <w:rFonts w:ascii="Times New Roman" w:hAnsi="Times New Roman" w:cs="Times New Roman"/>
        </w:rPr>
      </w:pPr>
      <w:proofErr w:type="gramStart"/>
      <w:r w:rsidRPr="00796FFB">
        <w:rPr>
          <w:rFonts w:ascii="Times New Roman" w:hAnsi="Times New Roman" w:cs="Times New Roman"/>
        </w:rPr>
        <w:t>?-</w:t>
      </w:r>
      <w:proofErr w:type="gramEnd"/>
      <w:r w:rsidRPr="00796FFB">
        <w:rPr>
          <w:rFonts w:ascii="Times New Roman" w:hAnsi="Times New Roman" w:cs="Times New Roman"/>
        </w:rPr>
        <w:t xml:space="preserve"> maybe/unable to determine based on the information provided. *Indicates ecological study design.  </w:t>
      </w:r>
    </w:p>
    <w:p w14:paraId="3940E666" w14:textId="77777777" w:rsidR="00796FFB" w:rsidRPr="00796FFB" w:rsidRDefault="00796FFB" w:rsidP="00BE5C69">
      <w:pPr>
        <w:tabs>
          <w:tab w:val="left" w:pos="2757"/>
        </w:tabs>
        <w:rPr>
          <w:rFonts w:ascii="Times New Roman" w:hAnsi="Times New Roman" w:cs="Times New Roman"/>
        </w:rPr>
      </w:pPr>
    </w:p>
    <w:p w14:paraId="23D5726C" w14:textId="103C943F" w:rsidR="00796FFB" w:rsidRPr="00796FFB" w:rsidRDefault="00796FFB" w:rsidP="00BE5C69">
      <w:pPr>
        <w:tabs>
          <w:tab w:val="left" w:pos="2757"/>
        </w:tabs>
        <w:rPr>
          <w:rFonts w:ascii="Times New Roman" w:hAnsi="Times New Roman" w:cs="Times New Roman"/>
          <w:sz w:val="52"/>
          <w:szCs w:val="52"/>
        </w:rPr>
      </w:pPr>
      <w:r w:rsidRPr="00796FFB">
        <w:rPr>
          <w:rFonts w:ascii="Times New Roman" w:hAnsi="Times New Roman" w:cs="Times New Roman"/>
          <w:b/>
          <w:bCs/>
        </w:rPr>
        <w:lastRenderedPageBreak/>
        <w:t xml:space="preserve">Supplementary Table 2. </w:t>
      </w:r>
      <w:r w:rsidRPr="00796FFB">
        <w:rPr>
          <w:rFonts w:ascii="Times New Roman" w:hAnsi="Times New Roman" w:cs="Times New Roman"/>
        </w:rPr>
        <w:t>Risk of Bias Assessment for Cross-Sectional Studies.</w:t>
      </w:r>
    </w:p>
    <w:tbl>
      <w:tblPr>
        <w:tblW w:w="0" w:type="auto"/>
        <w:tblLook w:val="04A0" w:firstRow="1" w:lastRow="0" w:firstColumn="1" w:lastColumn="0" w:noHBand="0" w:noVBand="1"/>
      </w:tblPr>
      <w:tblGrid>
        <w:gridCol w:w="1132"/>
        <w:gridCol w:w="864"/>
        <w:gridCol w:w="1221"/>
        <w:gridCol w:w="1086"/>
        <w:gridCol w:w="1085"/>
        <w:gridCol w:w="1072"/>
        <w:gridCol w:w="1235"/>
        <w:gridCol w:w="2423"/>
        <w:gridCol w:w="1066"/>
        <w:gridCol w:w="1009"/>
        <w:gridCol w:w="1197"/>
        <w:gridCol w:w="1000"/>
      </w:tblGrid>
      <w:tr w:rsidR="00796FFB" w:rsidRPr="00796FFB" w14:paraId="09E25A98" w14:textId="77777777" w:rsidTr="00940CDC">
        <w:trPr>
          <w:trHeight w:val="350"/>
        </w:trPr>
        <w:tc>
          <w:tcPr>
            <w:tcW w:w="0" w:type="auto"/>
            <w:tcBorders>
              <w:top w:val="single" w:sz="4" w:space="0" w:color="auto"/>
              <w:left w:val="single" w:sz="4" w:space="0" w:color="auto"/>
              <w:bottom w:val="single" w:sz="4" w:space="0" w:color="auto"/>
              <w:right w:val="single" w:sz="4" w:space="0" w:color="auto"/>
            </w:tcBorders>
            <w:vAlign w:val="center"/>
            <w:hideMark/>
          </w:tcPr>
          <w:p w14:paraId="7D088C35" w14:textId="77777777" w:rsidR="00796FFB" w:rsidRPr="00796FFB" w:rsidRDefault="00796FFB" w:rsidP="00940CDC">
            <w:pPr>
              <w:spacing w:after="0" w:line="240" w:lineRule="auto"/>
              <w:jc w:val="center"/>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Reference</w:t>
            </w:r>
          </w:p>
        </w:tc>
        <w:tc>
          <w:tcPr>
            <w:tcW w:w="0" w:type="auto"/>
            <w:tcBorders>
              <w:top w:val="single" w:sz="4" w:space="0" w:color="auto"/>
              <w:left w:val="nil"/>
              <w:bottom w:val="single" w:sz="4" w:space="0" w:color="auto"/>
              <w:right w:val="single" w:sz="4" w:space="0" w:color="auto"/>
            </w:tcBorders>
            <w:vAlign w:val="center"/>
            <w:hideMark/>
          </w:tcPr>
          <w:p w14:paraId="4BF7B627"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 Did the study address a clearly focused issue?</w:t>
            </w:r>
          </w:p>
        </w:tc>
        <w:tc>
          <w:tcPr>
            <w:tcW w:w="0" w:type="auto"/>
            <w:tcBorders>
              <w:top w:val="single" w:sz="4" w:space="0" w:color="auto"/>
              <w:left w:val="nil"/>
              <w:bottom w:val="single" w:sz="4" w:space="0" w:color="auto"/>
              <w:right w:val="single" w:sz="4" w:space="0" w:color="auto"/>
            </w:tcBorders>
            <w:vAlign w:val="center"/>
            <w:hideMark/>
          </w:tcPr>
          <w:p w14:paraId="7913DB65"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2. Did the authors use an appropriate method to answer their question?</w:t>
            </w:r>
          </w:p>
        </w:tc>
        <w:tc>
          <w:tcPr>
            <w:tcW w:w="0" w:type="auto"/>
            <w:tcBorders>
              <w:top w:val="single" w:sz="4" w:space="0" w:color="auto"/>
              <w:left w:val="nil"/>
              <w:bottom w:val="single" w:sz="4" w:space="0" w:color="auto"/>
              <w:right w:val="single" w:sz="4" w:space="0" w:color="auto"/>
            </w:tcBorders>
            <w:vAlign w:val="center"/>
            <w:hideMark/>
          </w:tcPr>
          <w:p w14:paraId="09D49ABF"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3. Were the subjects recruited in an acceptable way?</w:t>
            </w:r>
          </w:p>
        </w:tc>
        <w:tc>
          <w:tcPr>
            <w:tcW w:w="0" w:type="auto"/>
            <w:tcBorders>
              <w:top w:val="single" w:sz="4" w:space="0" w:color="auto"/>
              <w:left w:val="nil"/>
              <w:bottom w:val="single" w:sz="4" w:space="0" w:color="auto"/>
              <w:right w:val="single" w:sz="4" w:space="0" w:color="auto"/>
            </w:tcBorders>
            <w:vAlign w:val="center"/>
            <w:hideMark/>
          </w:tcPr>
          <w:p w14:paraId="3C4137D3"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4. Were the measures accurately measured to reduce bias?</w:t>
            </w:r>
          </w:p>
        </w:tc>
        <w:tc>
          <w:tcPr>
            <w:tcW w:w="0" w:type="auto"/>
            <w:tcBorders>
              <w:top w:val="single" w:sz="4" w:space="0" w:color="auto"/>
              <w:left w:val="nil"/>
              <w:bottom w:val="single" w:sz="4" w:space="0" w:color="auto"/>
              <w:right w:val="single" w:sz="4" w:space="0" w:color="auto"/>
            </w:tcBorders>
            <w:vAlign w:val="center"/>
            <w:hideMark/>
          </w:tcPr>
          <w:p w14:paraId="2D077A76"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5. Were the data collected in a way that addressed the research issue?</w:t>
            </w:r>
          </w:p>
        </w:tc>
        <w:tc>
          <w:tcPr>
            <w:tcW w:w="0" w:type="auto"/>
            <w:tcBorders>
              <w:top w:val="single" w:sz="4" w:space="0" w:color="auto"/>
              <w:left w:val="nil"/>
              <w:bottom w:val="single" w:sz="4" w:space="0" w:color="auto"/>
              <w:right w:val="single" w:sz="4" w:space="0" w:color="auto"/>
            </w:tcBorders>
            <w:vAlign w:val="center"/>
            <w:hideMark/>
          </w:tcPr>
          <w:p w14:paraId="12F1CE6C"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6. Did the study have enough participants to minimize the play of chance?</w:t>
            </w:r>
          </w:p>
        </w:tc>
        <w:tc>
          <w:tcPr>
            <w:tcW w:w="2423" w:type="dxa"/>
            <w:tcBorders>
              <w:top w:val="single" w:sz="4" w:space="0" w:color="auto"/>
              <w:left w:val="nil"/>
              <w:bottom w:val="single" w:sz="4" w:space="0" w:color="auto"/>
              <w:right w:val="single" w:sz="4" w:space="0" w:color="auto"/>
            </w:tcBorders>
            <w:vAlign w:val="center"/>
            <w:hideMark/>
          </w:tcPr>
          <w:p w14:paraId="6188B8A2"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7. How are the results presented and what is the main result</w:t>
            </w:r>
          </w:p>
        </w:tc>
        <w:tc>
          <w:tcPr>
            <w:tcW w:w="990" w:type="dxa"/>
            <w:tcBorders>
              <w:top w:val="single" w:sz="4" w:space="0" w:color="auto"/>
              <w:left w:val="nil"/>
              <w:bottom w:val="single" w:sz="4" w:space="0" w:color="auto"/>
              <w:right w:val="single" w:sz="4" w:space="0" w:color="auto"/>
            </w:tcBorders>
            <w:vAlign w:val="center"/>
            <w:hideMark/>
          </w:tcPr>
          <w:p w14:paraId="55200FEB"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8. Was the data analysis sufficiently rigorous?</w:t>
            </w:r>
          </w:p>
        </w:tc>
        <w:tc>
          <w:tcPr>
            <w:tcW w:w="0" w:type="auto"/>
            <w:tcBorders>
              <w:top w:val="single" w:sz="4" w:space="0" w:color="auto"/>
              <w:left w:val="nil"/>
              <w:bottom w:val="single" w:sz="4" w:space="0" w:color="auto"/>
              <w:right w:val="single" w:sz="4" w:space="0" w:color="auto"/>
            </w:tcBorders>
            <w:vAlign w:val="center"/>
            <w:hideMark/>
          </w:tcPr>
          <w:p w14:paraId="4A0F87E2"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9. Is there a clear statement of findings?</w:t>
            </w:r>
          </w:p>
        </w:tc>
        <w:tc>
          <w:tcPr>
            <w:tcW w:w="0" w:type="auto"/>
            <w:tcBorders>
              <w:top w:val="single" w:sz="4" w:space="0" w:color="auto"/>
              <w:left w:val="nil"/>
              <w:bottom w:val="single" w:sz="4" w:space="0" w:color="auto"/>
              <w:right w:val="single" w:sz="4" w:space="0" w:color="auto"/>
            </w:tcBorders>
            <w:vAlign w:val="center"/>
            <w:hideMark/>
          </w:tcPr>
          <w:p w14:paraId="50DCB6F4"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10. Can the results be applied to the local population?</w:t>
            </w:r>
          </w:p>
        </w:tc>
        <w:tc>
          <w:tcPr>
            <w:tcW w:w="0" w:type="auto"/>
            <w:tcBorders>
              <w:top w:val="single" w:sz="4" w:space="0" w:color="auto"/>
              <w:left w:val="nil"/>
              <w:bottom w:val="single" w:sz="4" w:space="0" w:color="auto"/>
              <w:right w:val="single" w:sz="4" w:space="0" w:color="auto"/>
            </w:tcBorders>
            <w:vAlign w:val="center"/>
            <w:hideMark/>
          </w:tcPr>
          <w:p w14:paraId="3E637DEA" w14:textId="77777777" w:rsidR="00796FFB" w:rsidRPr="00796FFB" w:rsidRDefault="00796FFB" w:rsidP="00940CDC">
            <w:pPr>
              <w:spacing w:after="0" w:line="240" w:lineRule="auto"/>
              <w:rPr>
                <w:rFonts w:ascii="Times New Roman" w:eastAsia="Times New Roman" w:hAnsi="Times New Roman" w:cs="Times New Roman"/>
                <w:b/>
                <w:bCs/>
                <w:color w:val="000000"/>
                <w:kern w:val="0"/>
                <w:sz w:val="18"/>
                <w:szCs w:val="18"/>
                <w14:ligatures w14:val="none"/>
              </w:rPr>
            </w:pPr>
            <w:r w:rsidRPr="00796FFB">
              <w:rPr>
                <w:rFonts w:ascii="Times New Roman" w:eastAsia="Times New Roman" w:hAnsi="Times New Roman" w:cs="Times New Roman"/>
                <w:b/>
                <w:bCs/>
                <w:color w:val="000000"/>
                <w:kern w:val="0"/>
                <w:sz w:val="18"/>
                <w:szCs w:val="18"/>
                <w14:ligatures w14:val="none"/>
              </w:rPr>
              <w:t>11. How valuable is the research?</w:t>
            </w:r>
          </w:p>
        </w:tc>
      </w:tr>
      <w:tr w:rsidR="00796FFB" w:rsidRPr="00796FFB" w14:paraId="7D6AC914" w14:textId="77777777" w:rsidTr="00940CDC">
        <w:trPr>
          <w:trHeight w:val="64"/>
        </w:trPr>
        <w:tc>
          <w:tcPr>
            <w:tcW w:w="0" w:type="auto"/>
            <w:tcBorders>
              <w:top w:val="nil"/>
              <w:left w:val="single" w:sz="4" w:space="0" w:color="auto"/>
              <w:bottom w:val="single" w:sz="4" w:space="0" w:color="auto"/>
              <w:right w:val="single" w:sz="4" w:space="0" w:color="auto"/>
            </w:tcBorders>
            <w:vAlign w:val="center"/>
            <w:hideMark/>
          </w:tcPr>
          <w:p w14:paraId="4BBA31DD"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roofErr w:type="spellStart"/>
            <w:r w:rsidRPr="00796FFB">
              <w:rPr>
                <w:rFonts w:ascii="Times New Roman" w:eastAsia="Times New Roman" w:hAnsi="Times New Roman" w:cs="Times New Roman"/>
                <w:color w:val="000000"/>
                <w:kern w:val="0"/>
                <w:sz w:val="18"/>
                <w:szCs w:val="18"/>
                <w14:ligatures w14:val="none"/>
              </w:rPr>
              <w:t>Hawro</w:t>
            </w:r>
            <w:proofErr w:type="spellEnd"/>
            <w:r w:rsidRPr="00796FFB">
              <w:rPr>
                <w:rFonts w:ascii="Times New Roman" w:eastAsia="Times New Roman" w:hAnsi="Times New Roman" w:cs="Times New Roman"/>
                <w:color w:val="000000"/>
                <w:kern w:val="0"/>
                <w:sz w:val="18"/>
                <w:szCs w:val="18"/>
                <w14:ligatures w14:val="none"/>
              </w:rPr>
              <w:t xml:space="preserve"> et al. 2015)</w:t>
            </w:r>
          </w:p>
        </w:tc>
        <w:tc>
          <w:tcPr>
            <w:tcW w:w="0" w:type="auto"/>
            <w:tcBorders>
              <w:top w:val="nil"/>
              <w:left w:val="nil"/>
              <w:bottom w:val="single" w:sz="4" w:space="0" w:color="auto"/>
              <w:right w:val="single" w:sz="4" w:space="0" w:color="auto"/>
            </w:tcBorders>
            <w:vAlign w:val="center"/>
            <w:hideMark/>
          </w:tcPr>
          <w:p w14:paraId="4117D16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9C9991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602C91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3E8767B"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816165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263D04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2423" w:type="dxa"/>
            <w:tcBorders>
              <w:top w:val="nil"/>
              <w:left w:val="nil"/>
              <w:bottom w:val="single" w:sz="4" w:space="0" w:color="auto"/>
              <w:right w:val="single" w:sz="4" w:space="0" w:color="auto"/>
            </w:tcBorders>
            <w:vAlign w:val="center"/>
            <w:hideMark/>
          </w:tcPr>
          <w:p w14:paraId="1A3A61B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More severe psoriasis is linked to lower family income, which in turn worsens patients’ overall quality of life.</w:t>
            </w:r>
          </w:p>
        </w:tc>
        <w:tc>
          <w:tcPr>
            <w:tcW w:w="990" w:type="dxa"/>
            <w:tcBorders>
              <w:top w:val="nil"/>
              <w:left w:val="nil"/>
              <w:bottom w:val="single" w:sz="4" w:space="0" w:color="auto"/>
              <w:right w:val="single" w:sz="4" w:space="0" w:color="auto"/>
            </w:tcBorders>
            <w:vAlign w:val="center"/>
            <w:hideMark/>
          </w:tcPr>
          <w:p w14:paraId="4CC3006B"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FF3F46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CF3934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276589F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2856F1EB" w14:textId="77777777" w:rsidTr="00940CDC">
        <w:trPr>
          <w:trHeight w:val="64"/>
        </w:trPr>
        <w:tc>
          <w:tcPr>
            <w:tcW w:w="0" w:type="auto"/>
            <w:tcBorders>
              <w:top w:val="nil"/>
              <w:left w:val="single" w:sz="4" w:space="0" w:color="auto"/>
              <w:bottom w:val="single" w:sz="4" w:space="0" w:color="auto"/>
              <w:right w:val="single" w:sz="4" w:space="0" w:color="auto"/>
            </w:tcBorders>
            <w:vAlign w:val="center"/>
            <w:hideMark/>
          </w:tcPr>
          <w:p w14:paraId="04B10A3E"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(Horn et al. 2007)</w:t>
            </w:r>
          </w:p>
        </w:tc>
        <w:tc>
          <w:tcPr>
            <w:tcW w:w="0" w:type="auto"/>
            <w:tcBorders>
              <w:top w:val="nil"/>
              <w:left w:val="nil"/>
              <w:bottom w:val="single" w:sz="4" w:space="0" w:color="auto"/>
              <w:right w:val="single" w:sz="4" w:space="0" w:color="auto"/>
            </w:tcBorders>
            <w:vAlign w:val="center"/>
            <w:hideMark/>
          </w:tcPr>
          <w:p w14:paraId="16E2974F"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DD380A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5FC3190"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706041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7CD757E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C53C3DB"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648D965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Severe psoriasis is linked to a higher likelihood of low income and more frequent work limitations compared to mild disease.</w:t>
            </w:r>
          </w:p>
        </w:tc>
        <w:tc>
          <w:tcPr>
            <w:tcW w:w="990" w:type="dxa"/>
            <w:tcBorders>
              <w:top w:val="nil"/>
              <w:left w:val="nil"/>
              <w:bottom w:val="single" w:sz="4" w:space="0" w:color="auto"/>
              <w:right w:val="single" w:sz="4" w:space="0" w:color="auto"/>
            </w:tcBorders>
            <w:vAlign w:val="center"/>
            <w:hideMark/>
          </w:tcPr>
          <w:p w14:paraId="26CCF26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F7C23C0"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874376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D7EE65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516287BF" w14:textId="77777777" w:rsidTr="00940CDC">
        <w:trPr>
          <w:trHeight w:val="890"/>
        </w:trPr>
        <w:tc>
          <w:tcPr>
            <w:tcW w:w="0" w:type="auto"/>
            <w:tcBorders>
              <w:top w:val="nil"/>
              <w:left w:val="single" w:sz="4" w:space="0" w:color="auto"/>
              <w:bottom w:val="single" w:sz="4" w:space="0" w:color="auto"/>
              <w:right w:val="single" w:sz="4" w:space="0" w:color="auto"/>
            </w:tcBorders>
            <w:vAlign w:val="center"/>
            <w:hideMark/>
          </w:tcPr>
          <w:p w14:paraId="2A8B9033"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(Nayak et al. 2018)</w:t>
            </w:r>
          </w:p>
        </w:tc>
        <w:tc>
          <w:tcPr>
            <w:tcW w:w="0" w:type="auto"/>
            <w:tcBorders>
              <w:top w:val="nil"/>
              <w:left w:val="nil"/>
              <w:bottom w:val="single" w:sz="4" w:space="0" w:color="auto"/>
              <w:right w:val="single" w:sz="4" w:space="0" w:color="auto"/>
            </w:tcBorders>
            <w:vAlign w:val="center"/>
            <w:hideMark/>
          </w:tcPr>
          <w:p w14:paraId="4727C779"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C1C49B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444ECB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33AE0C9"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4CE357F"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5E6FEA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2423" w:type="dxa"/>
            <w:tcBorders>
              <w:top w:val="nil"/>
              <w:left w:val="nil"/>
              <w:bottom w:val="single" w:sz="4" w:space="0" w:color="auto"/>
              <w:right w:val="single" w:sz="4" w:space="0" w:color="auto"/>
            </w:tcBorders>
            <w:vAlign w:val="center"/>
            <w:hideMark/>
          </w:tcPr>
          <w:p w14:paraId="59C3813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Greater psoriasis severity is linked to lower family income and poorer quality of life, with financial status further worsening disease impact.</w:t>
            </w:r>
          </w:p>
        </w:tc>
        <w:tc>
          <w:tcPr>
            <w:tcW w:w="990" w:type="dxa"/>
            <w:tcBorders>
              <w:top w:val="nil"/>
              <w:left w:val="nil"/>
              <w:bottom w:val="single" w:sz="4" w:space="0" w:color="auto"/>
              <w:right w:val="single" w:sz="4" w:space="0" w:color="auto"/>
            </w:tcBorders>
            <w:vAlign w:val="center"/>
            <w:hideMark/>
          </w:tcPr>
          <w:p w14:paraId="3C40F83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37E482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EA26CD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4" w:space="0" w:color="auto"/>
            </w:tcBorders>
            <w:vAlign w:val="center"/>
            <w:hideMark/>
          </w:tcPr>
          <w:p w14:paraId="78362CD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73CB5031" w14:textId="77777777" w:rsidTr="00940CDC">
        <w:trPr>
          <w:trHeight w:val="890"/>
        </w:trPr>
        <w:tc>
          <w:tcPr>
            <w:tcW w:w="0" w:type="auto"/>
            <w:tcBorders>
              <w:top w:val="nil"/>
              <w:left w:val="single" w:sz="4" w:space="0" w:color="auto"/>
              <w:bottom w:val="single" w:sz="4" w:space="0" w:color="auto"/>
              <w:right w:val="single" w:sz="4" w:space="0" w:color="auto"/>
            </w:tcBorders>
            <w:vAlign w:val="center"/>
            <w:hideMark/>
          </w:tcPr>
          <w:p w14:paraId="4BFE9635"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roofErr w:type="spellStart"/>
            <w:r w:rsidRPr="00796FFB">
              <w:rPr>
                <w:rFonts w:ascii="Times New Roman" w:eastAsia="Times New Roman" w:hAnsi="Times New Roman" w:cs="Times New Roman"/>
                <w:color w:val="000000"/>
                <w:kern w:val="0"/>
                <w:sz w:val="18"/>
                <w:szCs w:val="18"/>
                <w14:ligatures w14:val="none"/>
              </w:rPr>
              <w:t>Burkauskas</w:t>
            </w:r>
            <w:proofErr w:type="spellEnd"/>
            <w:r w:rsidRPr="00796FFB">
              <w:rPr>
                <w:rFonts w:ascii="Times New Roman" w:eastAsia="Times New Roman" w:hAnsi="Times New Roman" w:cs="Times New Roman"/>
                <w:color w:val="000000"/>
                <w:kern w:val="0"/>
                <w:sz w:val="18"/>
                <w:szCs w:val="18"/>
                <w14:ligatures w14:val="none"/>
              </w:rPr>
              <w:t xml:space="preserve"> et al. 2023)</w:t>
            </w:r>
          </w:p>
        </w:tc>
        <w:tc>
          <w:tcPr>
            <w:tcW w:w="0" w:type="auto"/>
            <w:tcBorders>
              <w:top w:val="nil"/>
              <w:left w:val="nil"/>
              <w:bottom w:val="single" w:sz="4" w:space="0" w:color="auto"/>
              <w:right w:val="single" w:sz="4" w:space="0" w:color="auto"/>
            </w:tcBorders>
            <w:vAlign w:val="center"/>
            <w:hideMark/>
          </w:tcPr>
          <w:p w14:paraId="00D557B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392762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4CC516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5D5B8C1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4" w:space="0" w:color="auto"/>
            </w:tcBorders>
            <w:vAlign w:val="center"/>
            <w:hideMark/>
          </w:tcPr>
          <w:p w14:paraId="1C1AEC5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FEA454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696FEBE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During the COVID-19 lockdown, decreased income was a major predictor of worsening psoriasis symptoms and impaired quality of life.</w:t>
            </w:r>
          </w:p>
        </w:tc>
        <w:tc>
          <w:tcPr>
            <w:tcW w:w="990" w:type="dxa"/>
            <w:tcBorders>
              <w:top w:val="nil"/>
              <w:left w:val="nil"/>
              <w:bottom w:val="single" w:sz="4" w:space="0" w:color="auto"/>
              <w:right w:val="single" w:sz="4" w:space="0" w:color="auto"/>
            </w:tcBorders>
            <w:vAlign w:val="center"/>
            <w:hideMark/>
          </w:tcPr>
          <w:p w14:paraId="05B9476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FF5B98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0DC1C5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738A980"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27716585" w14:textId="77777777" w:rsidTr="00940CDC">
        <w:trPr>
          <w:trHeight w:val="485"/>
        </w:trPr>
        <w:tc>
          <w:tcPr>
            <w:tcW w:w="0" w:type="auto"/>
            <w:tcBorders>
              <w:top w:val="nil"/>
              <w:left w:val="single" w:sz="4" w:space="0" w:color="auto"/>
              <w:bottom w:val="single" w:sz="4" w:space="0" w:color="auto"/>
              <w:right w:val="single" w:sz="4" w:space="0" w:color="auto"/>
            </w:tcBorders>
            <w:vAlign w:val="center"/>
            <w:hideMark/>
          </w:tcPr>
          <w:p w14:paraId="59D05216"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roofErr w:type="spellStart"/>
            <w:r w:rsidRPr="00796FFB">
              <w:rPr>
                <w:rFonts w:ascii="Times New Roman" w:eastAsia="Times New Roman" w:hAnsi="Times New Roman" w:cs="Times New Roman"/>
                <w:color w:val="000000"/>
                <w:kern w:val="0"/>
                <w:sz w:val="18"/>
                <w:szCs w:val="18"/>
                <w14:ligatures w14:val="none"/>
              </w:rPr>
              <w:t>Bardazzi</w:t>
            </w:r>
            <w:proofErr w:type="spellEnd"/>
            <w:r w:rsidRPr="00796FFB">
              <w:rPr>
                <w:rFonts w:ascii="Times New Roman" w:eastAsia="Times New Roman" w:hAnsi="Times New Roman" w:cs="Times New Roman"/>
                <w:color w:val="000000"/>
                <w:kern w:val="0"/>
                <w:sz w:val="18"/>
                <w:szCs w:val="18"/>
                <w14:ligatures w14:val="none"/>
              </w:rPr>
              <w:t xml:space="preserve"> et al. 2019)</w:t>
            </w:r>
          </w:p>
        </w:tc>
        <w:tc>
          <w:tcPr>
            <w:tcW w:w="0" w:type="auto"/>
            <w:tcBorders>
              <w:top w:val="nil"/>
              <w:left w:val="nil"/>
              <w:bottom w:val="single" w:sz="4" w:space="0" w:color="auto"/>
              <w:right w:val="single" w:sz="4" w:space="0" w:color="auto"/>
            </w:tcBorders>
            <w:vAlign w:val="center"/>
            <w:hideMark/>
          </w:tcPr>
          <w:p w14:paraId="27E9F5D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58885B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17E335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18562F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5331C1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4CA51B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70AD906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Lower income, lower education, and manual or office work were significantly associated with higher psoriasis severity and poorer quality of life.</w:t>
            </w:r>
          </w:p>
        </w:tc>
        <w:tc>
          <w:tcPr>
            <w:tcW w:w="990" w:type="dxa"/>
            <w:tcBorders>
              <w:top w:val="nil"/>
              <w:left w:val="nil"/>
              <w:bottom w:val="single" w:sz="4" w:space="0" w:color="auto"/>
              <w:right w:val="single" w:sz="4" w:space="0" w:color="auto"/>
            </w:tcBorders>
            <w:vAlign w:val="center"/>
            <w:hideMark/>
          </w:tcPr>
          <w:p w14:paraId="4D899EB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339B213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155CDB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3C1A8B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115ACA42" w14:textId="77777777" w:rsidTr="00940CDC">
        <w:trPr>
          <w:trHeight w:val="602"/>
        </w:trPr>
        <w:tc>
          <w:tcPr>
            <w:tcW w:w="0" w:type="auto"/>
            <w:tcBorders>
              <w:top w:val="nil"/>
              <w:left w:val="single" w:sz="4" w:space="0" w:color="auto"/>
              <w:bottom w:val="single" w:sz="4" w:space="0" w:color="auto"/>
              <w:right w:val="single" w:sz="4" w:space="0" w:color="auto"/>
            </w:tcBorders>
            <w:vAlign w:val="center"/>
            <w:hideMark/>
          </w:tcPr>
          <w:p w14:paraId="44506347"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(Jung et al. 2018)</w:t>
            </w:r>
          </w:p>
        </w:tc>
        <w:tc>
          <w:tcPr>
            <w:tcW w:w="0" w:type="auto"/>
            <w:tcBorders>
              <w:top w:val="nil"/>
              <w:left w:val="nil"/>
              <w:bottom w:val="single" w:sz="4" w:space="0" w:color="auto"/>
              <w:right w:val="single" w:sz="4" w:space="0" w:color="auto"/>
            </w:tcBorders>
            <w:vAlign w:val="center"/>
            <w:hideMark/>
          </w:tcPr>
          <w:p w14:paraId="5AFD6AF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6FD6D3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3535E2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3050A89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1612E5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83C470E"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2423" w:type="dxa"/>
            <w:tcBorders>
              <w:top w:val="nil"/>
              <w:left w:val="nil"/>
              <w:bottom w:val="single" w:sz="4" w:space="0" w:color="auto"/>
              <w:right w:val="single" w:sz="4" w:space="0" w:color="auto"/>
            </w:tcBorders>
            <w:vAlign w:val="center"/>
            <w:hideMark/>
          </w:tcPr>
          <w:p w14:paraId="2B7EB070"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Lower income was linked to significantly greater quality-of-life impairment in psoriasis patients, while higher income was protective.</w:t>
            </w:r>
          </w:p>
        </w:tc>
        <w:tc>
          <w:tcPr>
            <w:tcW w:w="990" w:type="dxa"/>
            <w:tcBorders>
              <w:top w:val="nil"/>
              <w:left w:val="nil"/>
              <w:bottom w:val="single" w:sz="4" w:space="0" w:color="auto"/>
              <w:right w:val="single" w:sz="4" w:space="0" w:color="auto"/>
            </w:tcBorders>
            <w:vAlign w:val="center"/>
            <w:hideMark/>
          </w:tcPr>
          <w:p w14:paraId="3643960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9E030A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8B6B4B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0" w:type="auto"/>
            <w:tcBorders>
              <w:top w:val="nil"/>
              <w:left w:val="nil"/>
              <w:bottom w:val="single" w:sz="4" w:space="0" w:color="auto"/>
              <w:right w:val="single" w:sz="4" w:space="0" w:color="auto"/>
            </w:tcBorders>
            <w:vAlign w:val="center"/>
            <w:hideMark/>
          </w:tcPr>
          <w:p w14:paraId="644049C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2CD35892" w14:textId="77777777" w:rsidTr="00940CDC">
        <w:trPr>
          <w:trHeight w:val="728"/>
        </w:trPr>
        <w:tc>
          <w:tcPr>
            <w:tcW w:w="0" w:type="auto"/>
            <w:tcBorders>
              <w:top w:val="nil"/>
              <w:left w:val="single" w:sz="4" w:space="0" w:color="auto"/>
              <w:bottom w:val="single" w:sz="4" w:space="0" w:color="auto"/>
              <w:right w:val="single" w:sz="4" w:space="0" w:color="auto"/>
            </w:tcBorders>
            <w:vAlign w:val="center"/>
            <w:hideMark/>
          </w:tcPr>
          <w:p w14:paraId="630E0896"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(Johansen et al. 2021)</w:t>
            </w:r>
          </w:p>
        </w:tc>
        <w:tc>
          <w:tcPr>
            <w:tcW w:w="0" w:type="auto"/>
            <w:tcBorders>
              <w:top w:val="nil"/>
              <w:left w:val="nil"/>
              <w:bottom w:val="single" w:sz="4" w:space="0" w:color="auto"/>
              <w:right w:val="single" w:sz="4" w:space="0" w:color="auto"/>
            </w:tcBorders>
            <w:vAlign w:val="center"/>
            <w:hideMark/>
          </w:tcPr>
          <w:p w14:paraId="2C6C4EB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2139AD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52903D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18492F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605E07E"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A8243C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526EE27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Women with psoriasis were significantly less likely to have a high income and more likely to need medical care and pain medication than those without psoriasis.</w:t>
            </w:r>
          </w:p>
        </w:tc>
        <w:tc>
          <w:tcPr>
            <w:tcW w:w="990" w:type="dxa"/>
            <w:tcBorders>
              <w:top w:val="nil"/>
              <w:left w:val="nil"/>
              <w:bottom w:val="single" w:sz="4" w:space="0" w:color="auto"/>
              <w:right w:val="single" w:sz="4" w:space="0" w:color="auto"/>
            </w:tcBorders>
            <w:vAlign w:val="center"/>
            <w:hideMark/>
          </w:tcPr>
          <w:p w14:paraId="02F2B96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4BFC43E"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BD842D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289D59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79E77156" w14:textId="77777777" w:rsidTr="00940CDC">
        <w:trPr>
          <w:trHeight w:val="593"/>
        </w:trPr>
        <w:tc>
          <w:tcPr>
            <w:tcW w:w="0" w:type="auto"/>
            <w:tcBorders>
              <w:top w:val="nil"/>
              <w:left w:val="single" w:sz="4" w:space="0" w:color="auto"/>
              <w:bottom w:val="single" w:sz="4" w:space="0" w:color="auto"/>
              <w:right w:val="single" w:sz="4" w:space="0" w:color="auto"/>
            </w:tcBorders>
            <w:vAlign w:val="center"/>
            <w:hideMark/>
          </w:tcPr>
          <w:p w14:paraId="42F9AFBB"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lastRenderedPageBreak/>
              <w:t>(Kimball et al. 2018)</w:t>
            </w:r>
          </w:p>
        </w:tc>
        <w:tc>
          <w:tcPr>
            <w:tcW w:w="0" w:type="auto"/>
            <w:tcBorders>
              <w:top w:val="nil"/>
              <w:left w:val="nil"/>
              <w:bottom w:val="single" w:sz="4" w:space="0" w:color="auto"/>
              <w:right w:val="single" w:sz="4" w:space="0" w:color="auto"/>
            </w:tcBorders>
            <w:vAlign w:val="center"/>
            <w:hideMark/>
          </w:tcPr>
          <w:p w14:paraId="7FD778D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843BD2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9BB598E"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36769C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1513B2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45619F0"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
        </w:tc>
        <w:tc>
          <w:tcPr>
            <w:tcW w:w="2423" w:type="dxa"/>
            <w:tcBorders>
              <w:top w:val="nil"/>
              <w:left w:val="nil"/>
              <w:bottom w:val="single" w:sz="4" w:space="0" w:color="auto"/>
              <w:right w:val="single" w:sz="4" w:space="0" w:color="auto"/>
            </w:tcBorders>
            <w:vAlign w:val="center"/>
            <w:hideMark/>
          </w:tcPr>
          <w:p w14:paraId="162DC17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Poorly controlled psoriasis was strongly associated with lower educational attainment, while income and insurance status showed no independent link to disease control.</w:t>
            </w:r>
          </w:p>
        </w:tc>
        <w:tc>
          <w:tcPr>
            <w:tcW w:w="990" w:type="dxa"/>
            <w:tcBorders>
              <w:top w:val="nil"/>
              <w:left w:val="nil"/>
              <w:bottom w:val="single" w:sz="4" w:space="0" w:color="auto"/>
              <w:right w:val="single" w:sz="4" w:space="0" w:color="auto"/>
            </w:tcBorders>
            <w:vAlign w:val="center"/>
            <w:hideMark/>
          </w:tcPr>
          <w:p w14:paraId="7463B6D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3069B4E0"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24CCCF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3760068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5022D2E5" w14:textId="77777777" w:rsidTr="00940CDC">
        <w:trPr>
          <w:trHeight w:val="710"/>
        </w:trPr>
        <w:tc>
          <w:tcPr>
            <w:tcW w:w="0" w:type="auto"/>
            <w:tcBorders>
              <w:top w:val="nil"/>
              <w:left w:val="single" w:sz="4" w:space="0" w:color="auto"/>
              <w:bottom w:val="single" w:sz="4" w:space="0" w:color="auto"/>
              <w:right w:val="single" w:sz="4" w:space="0" w:color="auto"/>
            </w:tcBorders>
            <w:vAlign w:val="center"/>
            <w:hideMark/>
          </w:tcPr>
          <w:p w14:paraId="3EF3D997"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w:t>
            </w:r>
            <w:proofErr w:type="spellStart"/>
            <w:r w:rsidRPr="00796FFB">
              <w:rPr>
                <w:rFonts w:ascii="Times New Roman" w:eastAsia="Times New Roman" w:hAnsi="Times New Roman" w:cs="Times New Roman"/>
                <w:color w:val="000000"/>
                <w:kern w:val="0"/>
                <w:sz w:val="18"/>
                <w:szCs w:val="18"/>
                <w14:ligatures w14:val="none"/>
              </w:rPr>
              <w:t>Bellitano</w:t>
            </w:r>
            <w:proofErr w:type="spellEnd"/>
            <w:r w:rsidRPr="00796FFB">
              <w:rPr>
                <w:rFonts w:ascii="Times New Roman" w:eastAsia="Times New Roman" w:hAnsi="Times New Roman" w:cs="Times New Roman"/>
                <w:color w:val="000000"/>
                <w:kern w:val="0"/>
                <w:sz w:val="18"/>
                <w:szCs w:val="18"/>
                <w14:ligatures w14:val="none"/>
              </w:rPr>
              <w:t xml:space="preserve"> et al. 2021)</w:t>
            </w:r>
          </w:p>
        </w:tc>
        <w:tc>
          <w:tcPr>
            <w:tcW w:w="0" w:type="auto"/>
            <w:tcBorders>
              <w:top w:val="nil"/>
              <w:left w:val="nil"/>
              <w:bottom w:val="single" w:sz="4" w:space="0" w:color="auto"/>
              <w:right w:val="single" w:sz="4" w:space="0" w:color="auto"/>
            </w:tcBorders>
            <w:vAlign w:val="center"/>
            <w:hideMark/>
          </w:tcPr>
          <w:p w14:paraId="2BEF5E8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90A57BB"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CD46FF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CD8E23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76B901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483344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58790F3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Higher exposure to air pollution (PM10 and PM2.5) was significantly associated with psoriasis flares and greater disease severity.</w:t>
            </w:r>
          </w:p>
        </w:tc>
        <w:tc>
          <w:tcPr>
            <w:tcW w:w="990" w:type="dxa"/>
            <w:tcBorders>
              <w:top w:val="nil"/>
              <w:left w:val="nil"/>
              <w:bottom w:val="single" w:sz="4" w:space="0" w:color="auto"/>
              <w:right w:val="single" w:sz="4" w:space="0" w:color="auto"/>
            </w:tcBorders>
            <w:vAlign w:val="center"/>
            <w:hideMark/>
          </w:tcPr>
          <w:p w14:paraId="374963C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585CF5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97014B9"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BD7C80F"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77C9B566" w14:textId="77777777" w:rsidTr="00940CDC">
        <w:trPr>
          <w:trHeight w:val="800"/>
        </w:trPr>
        <w:tc>
          <w:tcPr>
            <w:tcW w:w="0" w:type="auto"/>
            <w:tcBorders>
              <w:top w:val="nil"/>
              <w:left w:val="single" w:sz="4" w:space="0" w:color="auto"/>
              <w:bottom w:val="single" w:sz="4" w:space="0" w:color="auto"/>
              <w:right w:val="single" w:sz="4" w:space="0" w:color="auto"/>
            </w:tcBorders>
            <w:vAlign w:val="center"/>
            <w:hideMark/>
          </w:tcPr>
          <w:p w14:paraId="63018729"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(Lowe et al. 2022)</w:t>
            </w:r>
          </w:p>
        </w:tc>
        <w:tc>
          <w:tcPr>
            <w:tcW w:w="0" w:type="auto"/>
            <w:tcBorders>
              <w:top w:val="nil"/>
              <w:left w:val="nil"/>
              <w:bottom w:val="single" w:sz="4" w:space="0" w:color="auto"/>
              <w:right w:val="single" w:sz="4" w:space="0" w:color="auto"/>
            </w:tcBorders>
            <w:vAlign w:val="center"/>
            <w:hideMark/>
          </w:tcPr>
          <w:p w14:paraId="4CAB264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CE871B2"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C5E95D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3A6A98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BC26CC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CD39B69"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2CFDB67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Exposure to a mixture of air pollutants, particularly PM2.5 components, was significantly associated with increased psoriasis risk.</w:t>
            </w:r>
          </w:p>
        </w:tc>
        <w:tc>
          <w:tcPr>
            <w:tcW w:w="990" w:type="dxa"/>
            <w:tcBorders>
              <w:top w:val="nil"/>
              <w:left w:val="nil"/>
              <w:bottom w:val="single" w:sz="4" w:space="0" w:color="auto"/>
              <w:right w:val="single" w:sz="4" w:space="0" w:color="auto"/>
            </w:tcBorders>
            <w:vAlign w:val="center"/>
            <w:hideMark/>
          </w:tcPr>
          <w:p w14:paraId="1C4D598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E7084A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D9D069B"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C13344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41F9FE65" w14:textId="77777777" w:rsidTr="00940CDC">
        <w:trPr>
          <w:trHeight w:val="64"/>
        </w:trPr>
        <w:tc>
          <w:tcPr>
            <w:tcW w:w="0" w:type="auto"/>
            <w:tcBorders>
              <w:top w:val="nil"/>
              <w:left w:val="single" w:sz="4" w:space="0" w:color="auto"/>
              <w:bottom w:val="single" w:sz="4" w:space="0" w:color="auto"/>
              <w:right w:val="single" w:sz="4" w:space="0" w:color="auto"/>
            </w:tcBorders>
            <w:vAlign w:val="center"/>
            <w:hideMark/>
          </w:tcPr>
          <w:p w14:paraId="104104F1"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(Kuang et al. 2020)</w:t>
            </w:r>
          </w:p>
        </w:tc>
        <w:tc>
          <w:tcPr>
            <w:tcW w:w="0" w:type="auto"/>
            <w:tcBorders>
              <w:top w:val="nil"/>
              <w:left w:val="nil"/>
              <w:bottom w:val="single" w:sz="4" w:space="0" w:color="auto"/>
              <w:right w:val="single" w:sz="4" w:space="0" w:color="auto"/>
            </w:tcBorders>
            <w:vAlign w:val="center"/>
            <w:hideMark/>
          </w:tcPr>
          <w:p w14:paraId="296740D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92EF67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9B1C07F"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5332817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539D3D9E"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5251C79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2663BD7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Association of outdoor activity restriction and income loss with patient-reported outcomes of psoriasis during the COVID-19 pandemic: A web-based survey</w:t>
            </w:r>
          </w:p>
        </w:tc>
        <w:tc>
          <w:tcPr>
            <w:tcW w:w="990" w:type="dxa"/>
            <w:tcBorders>
              <w:top w:val="nil"/>
              <w:left w:val="nil"/>
              <w:bottom w:val="single" w:sz="4" w:space="0" w:color="auto"/>
              <w:right w:val="single" w:sz="4" w:space="0" w:color="auto"/>
            </w:tcBorders>
            <w:vAlign w:val="center"/>
            <w:hideMark/>
          </w:tcPr>
          <w:p w14:paraId="5B6903A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6BE140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251436A1"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380744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0A8E1EBC" w14:textId="77777777" w:rsidTr="00940CDC">
        <w:trPr>
          <w:trHeight w:val="64"/>
        </w:trPr>
        <w:tc>
          <w:tcPr>
            <w:tcW w:w="0" w:type="auto"/>
            <w:tcBorders>
              <w:top w:val="nil"/>
              <w:left w:val="single" w:sz="4" w:space="0" w:color="auto"/>
              <w:bottom w:val="single" w:sz="4" w:space="0" w:color="auto"/>
              <w:right w:val="single" w:sz="4" w:space="0" w:color="auto"/>
            </w:tcBorders>
            <w:vAlign w:val="center"/>
            <w:hideMark/>
          </w:tcPr>
          <w:p w14:paraId="2EA1356B"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(Norlin et al. 2023)</w:t>
            </w:r>
          </w:p>
        </w:tc>
        <w:tc>
          <w:tcPr>
            <w:tcW w:w="0" w:type="auto"/>
            <w:tcBorders>
              <w:top w:val="nil"/>
              <w:left w:val="nil"/>
              <w:bottom w:val="single" w:sz="4" w:space="0" w:color="auto"/>
              <w:right w:val="single" w:sz="4" w:space="0" w:color="auto"/>
            </w:tcBorders>
            <w:vAlign w:val="center"/>
            <w:hideMark/>
          </w:tcPr>
          <w:p w14:paraId="798B23B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9E5CEC9"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03AF4C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60CD1E27"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80AB049"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D19AC80"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2CFB650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Patients with higher disposable income were more likely to access biologic treatments for psoriasis, whereas educational level did not significantly affect access.</w:t>
            </w:r>
          </w:p>
        </w:tc>
        <w:tc>
          <w:tcPr>
            <w:tcW w:w="990" w:type="dxa"/>
            <w:tcBorders>
              <w:top w:val="nil"/>
              <w:left w:val="nil"/>
              <w:bottom w:val="single" w:sz="4" w:space="0" w:color="auto"/>
              <w:right w:val="single" w:sz="4" w:space="0" w:color="auto"/>
            </w:tcBorders>
            <w:vAlign w:val="center"/>
            <w:hideMark/>
          </w:tcPr>
          <w:p w14:paraId="435F4556"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No</w:t>
            </w:r>
          </w:p>
        </w:tc>
        <w:tc>
          <w:tcPr>
            <w:tcW w:w="0" w:type="auto"/>
            <w:tcBorders>
              <w:top w:val="nil"/>
              <w:left w:val="nil"/>
              <w:bottom w:val="single" w:sz="4" w:space="0" w:color="auto"/>
              <w:right w:val="single" w:sz="4" w:space="0" w:color="auto"/>
            </w:tcBorders>
            <w:vAlign w:val="center"/>
            <w:hideMark/>
          </w:tcPr>
          <w:p w14:paraId="38F3C9E3"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B94D48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7AAB27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r w:rsidR="00796FFB" w:rsidRPr="00796FFB" w14:paraId="565610B5" w14:textId="77777777" w:rsidTr="00940CDC">
        <w:trPr>
          <w:trHeight w:val="64"/>
        </w:trPr>
        <w:tc>
          <w:tcPr>
            <w:tcW w:w="0" w:type="auto"/>
            <w:tcBorders>
              <w:top w:val="nil"/>
              <w:left w:val="single" w:sz="4" w:space="0" w:color="auto"/>
              <w:bottom w:val="single" w:sz="4" w:space="0" w:color="auto"/>
              <w:right w:val="single" w:sz="4" w:space="0" w:color="auto"/>
            </w:tcBorders>
            <w:vAlign w:val="center"/>
            <w:hideMark/>
          </w:tcPr>
          <w:p w14:paraId="093DC40E" w14:textId="77777777" w:rsidR="00796FFB" w:rsidRPr="00796FFB" w:rsidRDefault="00796FFB" w:rsidP="00940CDC">
            <w:pPr>
              <w:spacing w:after="0" w:line="240" w:lineRule="auto"/>
              <w:jc w:val="center"/>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(Zhang e al. 2024)</w:t>
            </w:r>
          </w:p>
        </w:tc>
        <w:tc>
          <w:tcPr>
            <w:tcW w:w="0" w:type="auto"/>
            <w:tcBorders>
              <w:top w:val="nil"/>
              <w:left w:val="nil"/>
              <w:bottom w:val="single" w:sz="4" w:space="0" w:color="auto"/>
              <w:right w:val="single" w:sz="4" w:space="0" w:color="auto"/>
            </w:tcBorders>
            <w:vAlign w:val="center"/>
            <w:hideMark/>
          </w:tcPr>
          <w:p w14:paraId="2196F194"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6BE7FDA"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453B93CE"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9A215D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7A2D7275"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C8CF50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2423" w:type="dxa"/>
            <w:tcBorders>
              <w:top w:val="nil"/>
              <w:left w:val="nil"/>
              <w:bottom w:val="single" w:sz="4" w:space="0" w:color="auto"/>
              <w:right w:val="single" w:sz="4" w:space="0" w:color="auto"/>
            </w:tcBorders>
            <w:vAlign w:val="center"/>
            <w:hideMark/>
          </w:tcPr>
          <w:p w14:paraId="06A0F76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exposure to PFAS “forever chemicals” may increase the risk of psoriasis—particularly in women—suggesting these environmental pollutants could play a role in this inflammatory skin disease.</w:t>
            </w:r>
          </w:p>
        </w:tc>
        <w:tc>
          <w:tcPr>
            <w:tcW w:w="990" w:type="dxa"/>
            <w:tcBorders>
              <w:top w:val="nil"/>
              <w:left w:val="nil"/>
              <w:bottom w:val="single" w:sz="4" w:space="0" w:color="auto"/>
              <w:right w:val="single" w:sz="4" w:space="0" w:color="auto"/>
            </w:tcBorders>
            <w:vAlign w:val="center"/>
            <w:hideMark/>
          </w:tcPr>
          <w:p w14:paraId="6840909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0FF8176D"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3BA75BE8"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4" w:space="0" w:color="auto"/>
              <w:right w:val="single" w:sz="4" w:space="0" w:color="auto"/>
            </w:tcBorders>
            <w:vAlign w:val="center"/>
            <w:hideMark/>
          </w:tcPr>
          <w:p w14:paraId="1E7DACAC" w14:textId="77777777" w:rsidR="00796FFB" w:rsidRPr="00796FFB" w:rsidRDefault="00796FFB" w:rsidP="00940CDC">
            <w:pPr>
              <w:spacing w:after="0" w:line="240" w:lineRule="auto"/>
              <w:rPr>
                <w:rFonts w:ascii="Times New Roman" w:eastAsia="Times New Roman" w:hAnsi="Times New Roman" w:cs="Times New Roman"/>
                <w:color w:val="000000"/>
                <w:kern w:val="0"/>
                <w:sz w:val="18"/>
                <w:szCs w:val="18"/>
                <w14:ligatures w14:val="none"/>
              </w:rPr>
            </w:pPr>
            <w:r w:rsidRPr="00796FFB">
              <w:rPr>
                <w:rFonts w:ascii="Times New Roman" w:eastAsia="Times New Roman" w:hAnsi="Times New Roman" w:cs="Times New Roman"/>
                <w:color w:val="000000"/>
                <w:kern w:val="0"/>
                <w:sz w:val="18"/>
                <w:szCs w:val="18"/>
                <w14:ligatures w14:val="none"/>
              </w:rPr>
              <w:t>Valuable</w:t>
            </w:r>
          </w:p>
        </w:tc>
      </w:tr>
    </w:tbl>
    <w:p w14:paraId="3ECBE1DF" w14:textId="3395EC1E" w:rsidR="00796FFB" w:rsidRPr="00796FFB" w:rsidRDefault="00796FFB" w:rsidP="00796FFB">
      <w:pPr>
        <w:tabs>
          <w:tab w:val="left" w:pos="2757"/>
        </w:tabs>
        <w:rPr>
          <w:rFonts w:ascii="Times New Roman" w:hAnsi="Times New Roman" w:cs="Times New Roman"/>
        </w:rPr>
      </w:pPr>
      <w:r w:rsidRPr="00796FFB">
        <w:rPr>
          <w:rFonts w:ascii="Times New Roman" w:hAnsi="Times New Roman" w:cs="Times New Roman"/>
        </w:rPr>
        <w:t xml:space="preserve">? - maybe/unable to determine based on the information provided. </w:t>
      </w:r>
    </w:p>
    <w:p w14:paraId="74FA1C36" w14:textId="77777777" w:rsidR="00796FFB" w:rsidRPr="00796FFB" w:rsidRDefault="00796FFB" w:rsidP="00BE5C69">
      <w:pPr>
        <w:tabs>
          <w:tab w:val="left" w:pos="2757"/>
        </w:tabs>
        <w:rPr>
          <w:rFonts w:ascii="Times New Roman" w:hAnsi="Times New Roman" w:cs="Times New Roman"/>
        </w:rPr>
      </w:pPr>
    </w:p>
    <w:sectPr w:rsidR="00796FFB" w:rsidRPr="00796FFB" w:rsidSect="00796FFB">
      <w:pgSz w:w="15840" w:h="12240" w:orient="landscape"/>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0136" w14:textId="77777777" w:rsidR="00822280" w:rsidRDefault="00822280" w:rsidP="00BE5C69">
      <w:pPr>
        <w:spacing w:after="0" w:line="240" w:lineRule="auto"/>
      </w:pPr>
      <w:r>
        <w:separator/>
      </w:r>
    </w:p>
  </w:endnote>
  <w:endnote w:type="continuationSeparator" w:id="0">
    <w:p w14:paraId="5AB1242A" w14:textId="77777777" w:rsidR="00822280" w:rsidRDefault="00822280" w:rsidP="00BE5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2B62A" w14:textId="77777777" w:rsidR="00822280" w:rsidRDefault="00822280" w:rsidP="00BE5C69">
      <w:pPr>
        <w:spacing w:after="0" w:line="240" w:lineRule="auto"/>
      </w:pPr>
      <w:r>
        <w:separator/>
      </w:r>
    </w:p>
  </w:footnote>
  <w:footnote w:type="continuationSeparator" w:id="0">
    <w:p w14:paraId="37BEC792" w14:textId="77777777" w:rsidR="00822280" w:rsidRDefault="00822280" w:rsidP="00BE5C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EC"/>
    <w:rsid w:val="000F7ACD"/>
    <w:rsid w:val="0011592D"/>
    <w:rsid w:val="001E1C67"/>
    <w:rsid w:val="002C0A8D"/>
    <w:rsid w:val="003469F6"/>
    <w:rsid w:val="00406D90"/>
    <w:rsid w:val="00407B85"/>
    <w:rsid w:val="004324F8"/>
    <w:rsid w:val="00666443"/>
    <w:rsid w:val="00776DB8"/>
    <w:rsid w:val="00796FFB"/>
    <w:rsid w:val="008170EC"/>
    <w:rsid w:val="00822280"/>
    <w:rsid w:val="00837EB9"/>
    <w:rsid w:val="008D2E57"/>
    <w:rsid w:val="00BE5C69"/>
    <w:rsid w:val="00FB43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78AA9"/>
  <w15:chartTrackingRefBased/>
  <w15:docId w15:val="{0B1B4284-F64A-F440-A5CC-29D37CE2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0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70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70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70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70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70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0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0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0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0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70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70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70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70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70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0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0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0EC"/>
    <w:rPr>
      <w:rFonts w:eastAsiaTheme="majorEastAsia" w:cstheme="majorBidi"/>
      <w:color w:val="272727" w:themeColor="text1" w:themeTint="D8"/>
    </w:rPr>
  </w:style>
  <w:style w:type="paragraph" w:styleId="Title">
    <w:name w:val="Title"/>
    <w:basedOn w:val="Normal"/>
    <w:next w:val="Normal"/>
    <w:link w:val="TitleChar"/>
    <w:uiPriority w:val="10"/>
    <w:qFormat/>
    <w:rsid w:val="008170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0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0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0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0EC"/>
    <w:pPr>
      <w:spacing w:before="160"/>
      <w:jc w:val="center"/>
    </w:pPr>
    <w:rPr>
      <w:i/>
      <w:iCs/>
      <w:color w:val="404040" w:themeColor="text1" w:themeTint="BF"/>
    </w:rPr>
  </w:style>
  <w:style w:type="character" w:customStyle="1" w:styleId="QuoteChar">
    <w:name w:val="Quote Char"/>
    <w:basedOn w:val="DefaultParagraphFont"/>
    <w:link w:val="Quote"/>
    <w:uiPriority w:val="29"/>
    <w:rsid w:val="008170EC"/>
    <w:rPr>
      <w:i/>
      <w:iCs/>
      <w:color w:val="404040" w:themeColor="text1" w:themeTint="BF"/>
    </w:rPr>
  </w:style>
  <w:style w:type="paragraph" w:styleId="ListParagraph">
    <w:name w:val="List Paragraph"/>
    <w:basedOn w:val="Normal"/>
    <w:uiPriority w:val="34"/>
    <w:qFormat/>
    <w:rsid w:val="008170EC"/>
    <w:pPr>
      <w:ind w:left="720"/>
      <w:contextualSpacing/>
    </w:pPr>
  </w:style>
  <w:style w:type="character" w:styleId="IntenseEmphasis">
    <w:name w:val="Intense Emphasis"/>
    <w:basedOn w:val="DefaultParagraphFont"/>
    <w:uiPriority w:val="21"/>
    <w:qFormat/>
    <w:rsid w:val="008170EC"/>
    <w:rPr>
      <w:i/>
      <w:iCs/>
      <w:color w:val="2F5496" w:themeColor="accent1" w:themeShade="BF"/>
    </w:rPr>
  </w:style>
  <w:style w:type="paragraph" w:styleId="IntenseQuote">
    <w:name w:val="Intense Quote"/>
    <w:basedOn w:val="Normal"/>
    <w:next w:val="Normal"/>
    <w:link w:val="IntenseQuoteChar"/>
    <w:uiPriority w:val="30"/>
    <w:qFormat/>
    <w:rsid w:val="008170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70EC"/>
    <w:rPr>
      <w:i/>
      <w:iCs/>
      <w:color w:val="2F5496" w:themeColor="accent1" w:themeShade="BF"/>
    </w:rPr>
  </w:style>
  <w:style w:type="character" w:styleId="IntenseReference">
    <w:name w:val="Intense Reference"/>
    <w:basedOn w:val="DefaultParagraphFont"/>
    <w:uiPriority w:val="32"/>
    <w:qFormat/>
    <w:rsid w:val="008170EC"/>
    <w:rPr>
      <w:b/>
      <w:bCs/>
      <w:smallCaps/>
      <w:color w:val="2F5496" w:themeColor="accent1" w:themeShade="BF"/>
      <w:spacing w:val="5"/>
    </w:rPr>
  </w:style>
  <w:style w:type="paragraph" w:styleId="Header">
    <w:name w:val="header"/>
    <w:basedOn w:val="Normal"/>
    <w:link w:val="HeaderChar"/>
    <w:uiPriority w:val="99"/>
    <w:unhideWhenUsed/>
    <w:rsid w:val="00BE5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C69"/>
  </w:style>
  <w:style w:type="paragraph" w:styleId="Footer">
    <w:name w:val="footer"/>
    <w:basedOn w:val="Normal"/>
    <w:link w:val="FooterChar"/>
    <w:uiPriority w:val="99"/>
    <w:unhideWhenUsed/>
    <w:rsid w:val="00BE5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C69"/>
  </w:style>
  <w:style w:type="paragraph" w:customStyle="1" w:styleId="Default">
    <w:name w:val="Default"/>
    <w:rsid w:val="00796FFB"/>
    <w:pPr>
      <w:autoSpaceDE w:val="0"/>
      <w:autoSpaceDN w:val="0"/>
      <w:adjustRightInd w:val="0"/>
      <w:spacing w:after="0" w:line="240" w:lineRule="auto"/>
    </w:pPr>
    <w:rPr>
      <w:rFonts w:ascii="Calibri Light" w:eastAsia="Arial" w:hAnsi="Calibri Light" w:cs="Calibri Light"/>
      <w:color w:val="000000"/>
      <w:kern w:val="0"/>
      <w:lang w:bidi="ar-SA"/>
      <w14:ligatures w14:val="none"/>
    </w:rPr>
  </w:style>
  <w:style w:type="paragraph" w:styleId="NoSpacing">
    <w:name w:val="No Spacing"/>
    <w:uiPriority w:val="1"/>
    <w:qFormat/>
    <w:rsid w:val="00796FFB"/>
    <w:pPr>
      <w:spacing w:after="0" w:line="240" w:lineRule="auto"/>
    </w:pPr>
    <w:rPr>
      <w:kern w:val="0"/>
      <w:sz w:val="22"/>
      <w:szCs w:val="22"/>
      <w:lang w:bidi="ar-SA"/>
      <w14:ligatures w14:val="none"/>
    </w:rPr>
  </w:style>
  <w:style w:type="character" w:styleId="LineNumber">
    <w:name w:val="line number"/>
    <w:basedOn w:val="DefaultParagraphFont"/>
    <w:uiPriority w:val="99"/>
    <w:semiHidden/>
    <w:unhideWhenUsed/>
    <w:rsid w:val="00796FFB"/>
  </w:style>
  <w:style w:type="character" w:styleId="Hyperlink">
    <w:name w:val="Hyperlink"/>
    <w:basedOn w:val="DefaultParagraphFont"/>
    <w:uiPriority w:val="99"/>
    <w:unhideWhenUsed/>
    <w:rsid w:val="00796FFB"/>
    <w:rPr>
      <w:color w:val="0563C1" w:themeColor="hyperlink"/>
      <w:u w:val="single"/>
    </w:rPr>
  </w:style>
  <w:style w:type="character" w:styleId="UnresolvedMention">
    <w:name w:val="Unresolved Mention"/>
    <w:basedOn w:val="DefaultParagraphFont"/>
    <w:uiPriority w:val="99"/>
    <w:semiHidden/>
    <w:unhideWhenUsed/>
    <w:rsid w:val="00796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ilson.liao@ucsf.edu" TargetMode="Externa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64F3A035C784E83AB0500D5A4703A" ma:contentTypeVersion="14" ma:contentTypeDescription="Create a new document." ma:contentTypeScope="" ma:versionID="5c8fb9efc1313c13f0581610b506ae4f">
  <xsd:schema xmlns:xsd="http://www.w3.org/2001/XMLSchema" xmlns:xs="http://www.w3.org/2001/XMLSchema" xmlns:p="http://schemas.microsoft.com/office/2006/metadata/properties" xmlns:ns2="cc04e1e6-71af-4351-a84c-6bf991172af3" xmlns:ns3="92dd3154-eeee-4010-9448-7d129f33e12f" targetNamespace="http://schemas.microsoft.com/office/2006/metadata/properties" ma:root="true" ma:fieldsID="ab0adc104833b526771ebaafcc83200d" ns2:_="" ns3:_="">
    <xsd:import namespace="cc04e1e6-71af-4351-a84c-6bf991172af3"/>
    <xsd:import namespace="92dd3154-eeee-4010-9448-7d129f33e1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e1e6-71af-4351-a84c-6bf991172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d3154-eeee-4010-9448-7d129f33e1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b780658-19f4-4b98-a63b-23a902693473}" ma:internalName="TaxCatchAll" ma:showField="CatchAllData" ma:web="92dd3154-eeee-4010-9448-7d129f33e1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04e1e6-71af-4351-a84c-6bf991172af3">
      <Terms xmlns="http://schemas.microsoft.com/office/infopath/2007/PartnerControls"/>
    </lcf76f155ced4ddcb4097134ff3c332f>
    <TaxCatchAll xmlns="92dd3154-eeee-4010-9448-7d129f33e12f" xsi:nil="true"/>
  </documentManagement>
</p:properties>
</file>

<file path=customXml/itemProps1.xml><?xml version="1.0" encoding="utf-8"?>
<ds:datastoreItem xmlns:ds="http://schemas.openxmlformats.org/officeDocument/2006/customXml" ds:itemID="{1987BF9B-8E41-427C-BEF5-1B55150CECAB}"/>
</file>

<file path=customXml/itemProps2.xml><?xml version="1.0" encoding="utf-8"?>
<ds:datastoreItem xmlns:ds="http://schemas.openxmlformats.org/officeDocument/2006/customXml" ds:itemID="{95EC349A-DBF3-417D-81C0-B9317C6A4E9B}"/>
</file>

<file path=customXml/itemProps3.xml><?xml version="1.0" encoding="utf-8"?>
<ds:datastoreItem xmlns:ds="http://schemas.openxmlformats.org/officeDocument/2006/customXml" ds:itemID="{88698069-1496-4DA4-820C-C6C70062E3CF}"/>
</file>

<file path=docProps/app.xml><?xml version="1.0" encoding="utf-8"?>
<Properties xmlns="http://schemas.openxmlformats.org/officeDocument/2006/extended-properties" xmlns:vt="http://schemas.openxmlformats.org/officeDocument/2006/docPropsVTypes">
  <Template>Normal.dotm</Template>
  <TotalTime>1</TotalTime>
  <Pages>8</Pages>
  <Words>1656</Words>
  <Characters>9110</Characters>
  <Application>Microsoft Office Word</Application>
  <DocSecurity>0</DocSecurity>
  <Lines>1138</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Mokhtar, Parsa</dc:creator>
  <cp:keywords/>
  <dc:description/>
  <cp:lastModifiedBy>Naseeba Javeed</cp:lastModifiedBy>
  <cp:revision>2</cp:revision>
  <dcterms:created xsi:type="dcterms:W3CDTF">2026-03-09T06:45:00Z</dcterms:created>
  <dcterms:modified xsi:type="dcterms:W3CDTF">2026-03-09T06:45:00Z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0x010100F6F64F3A035C784E83AB0500D5A4703A</vt:lpwstr>
  </property>
</Properties>
</file>