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179" w:rsidRPr="003740FF" w:rsidRDefault="00596179" w:rsidP="00596179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3740FF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Generation and characterization of Early-stage Oral Cancer cell line of Buccal mucosa of Indian Origin</w:t>
      </w:r>
    </w:p>
    <w:p w:rsidR="00596179" w:rsidRPr="003740FF" w:rsidRDefault="00596179" w:rsidP="00596179">
      <w:pPr>
        <w:spacing w:line="360" w:lineRule="auto"/>
        <w:jc w:val="both"/>
        <w:rPr>
          <w:rFonts w:ascii="Times New Roman" w:hAnsi="Times New Roman" w:cs="Times New Roman"/>
        </w:rPr>
      </w:pPr>
      <w:r w:rsidRPr="003740FF">
        <w:rPr>
          <w:rFonts w:ascii="Times New Roman" w:hAnsi="Times New Roman" w:cs="Times New Roman"/>
        </w:rPr>
        <w:t>Akhila George</w:t>
      </w:r>
      <w:r w:rsidRPr="003740FF">
        <w:rPr>
          <w:rFonts w:ascii="Times New Roman" w:hAnsi="Times New Roman" w:cs="Times New Roman"/>
          <w:vertAlign w:val="superscript"/>
        </w:rPr>
        <w:t>1,2</w:t>
      </w:r>
      <w:r w:rsidRPr="003740FF">
        <w:rPr>
          <w:rFonts w:ascii="Times New Roman" w:hAnsi="Times New Roman" w:cs="Times New Roman"/>
        </w:rPr>
        <w:t xml:space="preserve">, Sudhir Nair </w:t>
      </w:r>
      <w:r w:rsidRPr="003740FF">
        <w:rPr>
          <w:rFonts w:ascii="Times New Roman" w:hAnsi="Times New Roman" w:cs="Times New Roman"/>
          <w:vertAlign w:val="superscript"/>
        </w:rPr>
        <w:t>2,3,4</w:t>
      </w:r>
      <w:r w:rsidRPr="003740FF">
        <w:rPr>
          <w:rFonts w:ascii="Times New Roman" w:hAnsi="Times New Roman" w:cs="Times New Roman"/>
        </w:rPr>
        <w:t>, Kumar Prabhash</w:t>
      </w:r>
      <w:r w:rsidRPr="003740FF">
        <w:rPr>
          <w:rFonts w:ascii="Times New Roman" w:hAnsi="Times New Roman" w:cs="Times New Roman"/>
          <w:vertAlign w:val="superscript"/>
        </w:rPr>
        <w:t>2,4,5,6</w:t>
      </w:r>
      <w:r w:rsidRPr="003740FF">
        <w:rPr>
          <w:rFonts w:ascii="Times New Roman" w:hAnsi="Times New Roman" w:cs="Times New Roman"/>
        </w:rPr>
        <w:t xml:space="preserve">, </w:t>
      </w:r>
      <w:proofErr w:type="spellStart"/>
      <w:r w:rsidRPr="003740FF">
        <w:rPr>
          <w:rFonts w:ascii="Times New Roman" w:hAnsi="Times New Roman" w:cs="Times New Roman"/>
        </w:rPr>
        <w:t>Sayujata</w:t>
      </w:r>
      <w:proofErr w:type="spellEnd"/>
      <w:r w:rsidRPr="003740FF">
        <w:rPr>
          <w:rFonts w:ascii="Times New Roman" w:hAnsi="Times New Roman" w:cs="Times New Roman"/>
        </w:rPr>
        <w:t xml:space="preserve"> Thakur</w:t>
      </w:r>
      <w:r w:rsidRPr="003740FF">
        <w:rPr>
          <w:rFonts w:ascii="Times New Roman" w:hAnsi="Times New Roman" w:cs="Times New Roman"/>
          <w:vertAlign w:val="superscript"/>
        </w:rPr>
        <w:t>1</w:t>
      </w:r>
      <w:r w:rsidRPr="003740FF">
        <w:rPr>
          <w:rFonts w:ascii="Times New Roman" w:hAnsi="Times New Roman" w:cs="Times New Roman"/>
        </w:rPr>
        <w:t>, Poonam Gera</w:t>
      </w:r>
      <w:r w:rsidRPr="003740FF">
        <w:rPr>
          <w:rFonts w:ascii="Times New Roman" w:hAnsi="Times New Roman" w:cs="Times New Roman"/>
          <w:vertAlign w:val="superscript"/>
        </w:rPr>
        <w:t>7</w:t>
      </w:r>
      <w:r w:rsidRPr="003740FF">
        <w:rPr>
          <w:rFonts w:ascii="Times New Roman" w:hAnsi="Times New Roman" w:cs="Times New Roman"/>
        </w:rPr>
        <w:t>, Arjun Singh</w:t>
      </w:r>
      <w:r w:rsidRPr="003740FF">
        <w:rPr>
          <w:rFonts w:ascii="Times New Roman" w:hAnsi="Times New Roman" w:cs="Times New Roman"/>
          <w:vertAlign w:val="superscript"/>
        </w:rPr>
        <w:t>2,3,4</w:t>
      </w:r>
      <w:r w:rsidRPr="003740FF">
        <w:rPr>
          <w:rFonts w:ascii="Times New Roman" w:hAnsi="Times New Roman" w:cs="Times New Roman"/>
        </w:rPr>
        <w:t>, Pankaj Chaturvedi</w:t>
      </w:r>
      <w:r w:rsidRPr="003740FF">
        <w:rPr>
          <w:rFonts w:ascii="Times New Roman" w:hAnsi="Times New Roman" w:cs="Times New Roman"/>
          <w:vertAlign w:val="superscript"/>
        </w:rPr>
        <w:t>2,3,4</w:t>
      </w:r>
      <w:r w:rsidRPr="003740FF">
        <w:rPr>
          <w:rFonts w:ascii="Times New Roman" w:hAnsi="Times New Roman" w:cs="Times New Roman"/>
        </w:rPr>
        <w:t>, Swapnil Rane</w:t>
      </w:r>
      <w:r w:rsidRPr="003740FF">
        <w:rPr>
          <w:rFonts w:ascii="Times New Roman" w:hAnsi="Times New Roman" w:cs="Times New Roman"/>
          <w:vertAlign w:val="superscript"/>
        </w:rPr>
        <w:t>2,4,8</w:t>
      </w:r>
      <w:r w:rsidRPr="003740FF">
        <w:rPr>
          <w:rFonts w:ascii="Times New Roman" w:hAnsi="Times New Roman" w:cs="Times New Roman"/>
        </w:rPr>
        <w:t>, Trupti Pradhan</w:t>
      </w:r>
      <w:r w:rsidRPr="003740FF">
        <w:rPr>
          <w:rFonts w:ascii="Times New Roman" w:hAnsi="Times New Roman" w:cs="Times New Roman"/>
          <w:vertAlign w:val="superscript"/>
        </w:rPr>
        <w:t>1</w:t>
      </w:r>
      <w:r w:rsidRPr="003740FF">
        <w:rPr>
          <w:rFonts w:ascii="Times New Roman" w:hAnsi="Times New Roman" w:cs="Times New Roman"/>
        </w:rPr>
        <w:t>, Subrata Sen</w:t>
      </w:r>
      <w:r w:rsidRPr="003740FF">
        <w:rPr>
          <w:rFonts w:ascii="Times New Roman" w:hAnsi="Times New Roman" w:cs="Times New Roman"/>
          <w:vertAlign w:val="superscript"/>
        </w:rPr>
        <w:t>9</w:t>
      </w:r>
      <w:r w:rsidRPr="003740FF">
        <w:rPr>
          <w:rFonts w:ascii="Times New Roman" w:hAnsi="Times New Roman" w:cs="Times New Roman"/>
        </w:rPr>
        <w:t>, Madan Barkume</w:t>
      </w:r>
      <w:r w:rsidRPr="003740FF">
        <w:rPr>
          <w:rFonts w:ascii="Times New Roman" w:hAnsi="Times New Roman" w:cs="Times New Roman"/>
          <w:vertAlign w:val="superscript"/>
        </w:rPr>
        <w:t>9</w:t>
      </w:r>
      <w:r w:rsidRPr="003740FF">
        <w:rPr>
          <w:rFonts w:ascii="Times New Roman" w:hAnsi="Times New Roman" w:cs="Times New Roman"/>
        </w:rPr>
        <w:t xml:space="preserve">, </w:t>
      </w:r>
      <w:proofErr w:type="spellStart"/>
      <w:r w:rsidRPr="003740FF">
        <w:rPr>
          <w:rFonts w:ascii="Times New Roman" w:hAnsi="Times New Roman" w:cs="Times New Roman"/>
        </w:rPr>
        <w:t>Dhanlaxmi</w:t>
      </w:r>
      <w:proofErr w:type="spellEnd"/>
      <w:r w:rsidRPr="003740FF">
        <w:rPr>
          <w:rFonts w:ascii="Times New Roman" w:hAnsi="Times New Roman" w:cs="Times New Roman"/>
        </w:rPr>
        <w:t xml:space="preserve"> Shetty</w:t>
      </w:r>
      <w:r w:rsidRPr="003740FF">
        <w:rPr>
          <w:rFonts w:ascii="Times New Roman" w:hAnsi="Times New Roman" w:cs="Times New Roman"/>
          <w:vertAlign w:val="superscript"/>
        </w:rPr>
        <w:t>2</w:t>
      </w:r>
      <w:r w:rsidRPr="003740FF">
        <w:rPr>
          <w:rFonts w:ascii="Times New Roman" w:hAnsi="Times New Roman" w:cs="Times New Roman"/>
        </w:rPr>
        <w:t>,</w:t>
      </w:r>
      <w:r w:rsidRPr="003740FF">
        <w:rPr>
          <w:rFonts w:ascii="Times New Roman" w:hAnsi="Times New Roman" w:cs="Times New Roman"/>
          <w:vertAlign w:val="superscript"/>
        </w:rPr>
        <w:t>10</w:t>
      </w:r>
      <w:r w:rsidRPr="003740FF">
        <w:rPr>
          <w:rFonts w:ascii="Times New Roman" w:hAnsi="Times New Roman" w:cs="Times New Roman"/>
        </w:rPr>
        <w:t xml:space="preserve">, </w:t>
      </w:r>
      <w:proofErr w:type="spellStart"/>
      <w:r w:rsidRPr="003740FF">
        <w:rPr>
          <w:rFonts w:ascii="Times New Roman" w:hAnsi="Times New Roman" w:cs="Times New Roman"/>
        </w:rPr>
        <w:t>Kruti</w:t>
      </w:r>
      <w:proofErr w:type="spellEnd"/>
      <w:r w:rsidRPr="003740FF">
        <w:rPr>
          <w:rFonts w:ascii="Times New Roman" w:hAnsi="Times New Roman" w:cs="Times New Roman"/>
        </w:rPr>
        <w:t xml:space="preserve"> Chaubal</w:t>
      </w:r>
      <w:r w:rsidRPr="003740FF">
        <w:rPr>
          <w:rFonts w:ascii="Times New Roman" w:hAnsi="Times New Roman" w:cs="Times New Roman"/>
          <w:vertAlign w:val="superscript"/>
        </w:rPr>
        <w:t>10</w:t>
      </w:r>
      <w:r w:rsidRPr="003740FF">
        <w:rPr>
          <w:rFonts w:ascii="Times New Roman" w:hAnsi="Times New Roman" w:cs="Times New Roman"/>
        </w:rPr>
        <w:t>, Arpita Ghosh</w:t>
      </w:r>
      <w:r w:rsidRPr="003740FF">
        <w:rPr>
          <w:rFonts w:ascii="Times New Roman" w:hAnsi="Times New Roman" w:cs="Times New Roman"/>
          <w:vertAlign w:val="superscript"/>
        </w:rPr>
        <w:t>11</w:t>
      </w:r>
      <w:r w:rsidRPr="003740FF">
        <w:rPr>
          <w:rFonts w:ascii="Times New Roman" w:hAnsi="Times New Roman" w:cs="Times New Roman"/>
        </w:rPr>
        <w:t>, Sanjeev Kamte</w:t>
      </w:r>
      <w:r w:rsidRPr="003740FF">
        <w:rPr>
          <w:rFonts w:ascii="Times New Roman" w:hAnsi="Times New Roman" w:cs="Times New Roman"/>
          <w:vertAlign w:val="superscript"/>
        </w:rPr>
        <w:t>11</w:t>
      </w:r>
      <w:r w:rsidRPr="003740FF">
        <w:rPr>
          <w:rFonts w:ascii="Times New Roman" w:hAnsi="Times New Roman" w:cs="Times New Roman"/>
        </w:rPr>
        <w:t>, Jyoti Kode</w:t>
      </w:r>
      <w:r w:rsidRPr="003740FF">
        <w:rPr>
          <w:rFonts w:ascii="Times New Roman" w:hAnsi="Times New Roman" w:cs="Times New Roman"/>
          <w:vertAlign w:val="superscript"/>
        </w:rPr>
        <w:t>1,2,9*</w:t>
      </w:r>
    </w:p>
    <w:p w:rsidR="00171E56" w:rsidRPr="003740FF" w:rsidRDefault="009F2553">
      <w:r w:rsidRPr="003740FF">
        <w:rPr>
          <w:rFonts w:ascii="Times New Roman" w:hAnsi="Times New Roman" w:cs="Times New Roman"/>
        </w:rPr>
        <w:t>Supplementary figures:</w:t>
      </w:r>
    </w:p>
    <w:p w:rsidR="008C38CE" w:rsidRPr="003740FF" w:rsidRDefault="008C38CE" w:rsidP="008C38CE"/>
    <w:p w:rsidR="008C38CE" w:rsidRPr="003740FF" w:rsidRDefault="009F2553" w:rsidP="008C38CE">
      <w:r w:rsidRPr="003740FF">
        <w:rPr>
          <w:noProof/>
          <w:lang w:eastAsia="en-IN"/>
        </w:rPr>
        <w:drawing>
          <wp:anchor distT="0" distB="0" distL="114300" distR="114300" simplePos="0" relativeHeight="251660288" behindDoc="0" locked="0" layoutInCell="1" allowOverlap="1" wp14:anchorId="4D7ED1EB" wp14:editId="3CA2B418">
            <wp:simplePos x="0" y="0"/>
            <wp:positionH relativeFrom="column">
              <wp:posOffset>234950</wp:posOffset>
            </wp:positionH>
            <wp:positionV relativeFrom="paragraph">
              <wp:posOffset>51435</wp:posOffset>
            </wp:positionV>
            <wp:extent cx="4927951" cy="3836035"/>
            <wp:effectExtent l="0" t="0" r="6350" b="0"/>
            <wp:wrapNone/>
            <wp:docPr id="22" name="Picture 2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8D0DE54-1BBF-0E79-F5DF-3FFD3E1736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8D0DE54-1BBF-0E79-F5DF-3FFD3E1736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951" cy="3836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C38CE" w:rsidRPr="003740FF" w:rsidRDefault="008C38CE" w:rsidP="008C38CE"/>
    <w:p w:rsidR="008C38CE" w:rsidRPr="003740FF" w:rsidRDefault="008C38CE" w:rsidP="008C38CE"/>
    <w:p w:rsidR="008C38CE" w:rsidRPr="003740FF" w:rsidRDefault="008C38CE" w:rsidP="008C38CE"/>
    <w:p w:rsidR="008C38CE" w:rsidRPr="003740FF" w:rsidRDefault="008C38CE" w:rsidP="008C38CE"/>
    <w:p w:rsidR="008C38CE" w:rsidRPr="003740FF" w:rsidRDefault="008C38CE" w:rsidP="008C38CE"/>
    <w:p w:rsidR="008C38CE" w:rsidRPr="003740FF" w:rsidRDefault="008C38CE" w:rsidP="008C38CE"/>
    <w:p w:rsidR="008C38CE" w:rsidRPr="003740FF" w:rsidRDefault="008C38CE" w:rsidP="008C38CE"/>
    <w:p w:rsidR="008C38CE" w:rsidRPr="003740FF" w:rsidRDefault="008C38CE" w:rsidP="008C38CE"/>
    <w:p w:rsidR="008C38CE" w:rsidRPr="003740FF" w:rsidRDefault="008C38CE" w:rsidP="008C38CE"/>
    <w:p w:rsidR="009F2553" w:rsidRPr="003740FF" w:rsidRDefault="009F2553" w:rsidP="00EB7AF3">
      <w:pPr>
        <w:rPr>
          <w:rFonts w:ascii="Times New Roman" w:hAnsi="Times New Roman" w:cs="Times New Roman"/>
        </w:rPr>
      </w:pPr>
    </w:p>
    <w:p w:rsidR="009F2553" w:rsidRPr="003740FF" w:rsidRDefault="009F2553" w:rsidP="00EB7AF3">
      <w:pPr>
        <w:rPr>
          <w:rFonts w:ascii="Times New Roman" w:hAnsi="Times New Roman" w:cs="Times New Roman"/>
        </w:rPr>
      </w:pPr>
    </w:p>
    <w:p w:rsidR="009F2553" w:rsidRPr="003740FF" w:rsidRDefault="009F2553" w:rsidP="00EB7AF3">
      <w:pPr>
        <w:rPr>
          <w:rFonts w:ascii="Times New Roman" w:hAnsi="Times New Roman" w:cs="Times New Roman"/>
        </w:rPr>
      </w:pPr>
    </w:p>
    <w:p w:rsidR="00EB7AF3" w:rsidRPr="003740FF" w:rsidRDefault="00EB7AF3" w:rsidP="009F2553">
      <w:pPr>
        <w:spacing w:line="360" w:lineRule="auto"/>
        <w:rPr>
          <w:rFonts w:ascii="Times New Roman" w:hAnsi="Times New Roman" w:cs="Times New Roman"/>
        </w:rPr>
      </w:pPr>
      <w:r w:rsidRPr="003740FF">
        <w:rPr>
          <w:rFonts w:ascii="Times New Roman" w:hAnsi="Times New Roman" w:cs="Times New Roman"/>
        </w:rPr>
        <w:t>Figure S1</w:t>
      </w:r>
      <w:r w:rsidR="009F2553" w:rsidRPr="003740FF">
        <w:rPr>
          <w:rFonts w:ascii="Times New Roman" w:hAnsi="Times New Roman" w:cs="Times New Roman"/>
        </w:rPr>
        <w:t>: Growth curve of Cell line TBM-02; Doubling time of the cell line was found to be 26.39 hours.</w:t>
      </w:r>
    </w:p>
    <w:p w:rsidR="009F2553" w:rsidRPr="003740FF" w:rsidRDefault="009F2553" w:rsidP="00EB7AF3">
      <w:pPr>
        <w:rPr>
          <w:rFonts w:ascii="Times New Roman" w:hAnsi="Times New Roman" w:cs="Times New Roman"/>
        </w:rPr>
      </w:pPr>
    </w:p>
    <w:p w:rsidR="009F2553" w:rsidRPr="003740FF" w:rsidRDefault="009F2553" w:rsidP="00EB7AF3">
      <w:pPr>
        <w:rPr>
          <w:rFonts w:ascii="Times New Roman" w:hAnsi="Times New Roman" w:cs="Times New Roman"/>
        </w:rPr>
      </w:pPr>
      <w:r w:rsidRPr="003740FF">
        <w:rPr>
          <w:rFonts w:ascii="Times New Roman" w:hAnsi="Times New Roman" w:cs="Times New Roman"/>
          <w:noProof/>
        </w:rPr>
        <w:t xml:space="preserve">                         </w:t>
      </w:r>
      <w:r w:rsidRPr="003740FF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458C08C3">
            <wp:extent cx="3079750" cy="3951377"/>
            <wp:effectExtent l="0" t="0" r="6350" b="0"/>
            <wp:docPr id="8504797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239" cy="3955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7AF3" w:rsidRPr="003740FF" w:rsidRDefault="00EB7AF3" w:rsidP="008C38CE"/>
    <w:p w:rsidR="00EB7AF3" w:rsidRPr="003740FF" w:rsidRDefault="00EB7AF3" w:rsidP="009F2553">
      <w:pPr>
        <w:spacing w:line="360" w:lineRule="auto"/>
        <w:rPr>
          <w:rFonts w:ascii="Times New Roman" w:hAnsi="Times New Roman" w:cs="Times New Roman"/>
        </w:rPr>
      </w:pPr>
      <w:r w:rsidRPr="003740FF">
        <w:rPr>
          <w:rFonts w:ascii="Times New Roman" w:hAnsi="Times New Roman" w:cs="Times New Roman"/>
        </w:rPr>
        <w:t>Figure S2: Mycoplasma detection in cell culture supernatant</w:t>
      </w:r>
      <w:r w:rsidR="009F2553" w:rsidRPr="003740FF">
        <w:rPr>
          <w:rFonts w:ascii="Times New Roman" w:hAnsi="Times New Roman" w:cs="Times New Roman"/>
        </w:rPr>
        <w:t>; the cell culture supernatant of TBM-02 shows absence of any mycoplasma contamination</w:t>
      </w:r>
    </w:p>
    <w:p w:rsidR="00176550" w:rsidRPr="003740FF" w:rsidRDefault="00176550" w:rsidP="008C38CE">
      <w:pPr>
        <w:ind w:firstLine="720"/>
      </w:pPr>
    </w:p>
    <w:p w:rsidR="00176550" w:rsidRPr="003740FF" w:rsidRDefault="004B059A" w:rsidP="008C38CE">
      <w:pPr>
        <w:ind w:firstLine="720"/>
        <w:rPr>
          <w:noProof/>
        </w:rPr>
      </w:pPr>
      <w:r w:rsidRPr="003740FF">
        <w:rPr>
          <w:noProof/>
          <w:lang w:eastAsia="en-IN"/>
        </w:rPr>
        <w:drawing>
          <wp:inline distT="0" distB="0" distL="0" distR="0">
            <wp:extent cx="5173345" cy="6699250"/>
            <wp:effectExtent l="0" t="0" r="8255" b="6350"/>
            <wp:docPr id="543630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345" cy="669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3CC" w:rsidRPr="003740FF" w:rsidRDefault="00C453CC" w:rsidP="00C453CC">
      <w:pPr>
        <w:spacing w:line="360" w:lineRule="auto"/>
        <w:rPr>
          <w:rFonts w:ascii="Times New Roman" w:hAnsi="Times New Roman" w:cs="Times New Roman"/>
        </w:rPr>
      </w:pPr>
      <w:r w:rsidRPr="003740FF">
        <w:rPr>
          <w:rFonts w:ascii="Times New Roman" w:hAnsi="Times New Roman" w:cs="Times New Roman"/>
        </w:rPr>
        <w:t xml:space="preserve">Figure S3: </w:t>
      </w:r>
      <w:r w:rsidR="000B392F" w:rsidRPr="003740FF">
        <w:rPr>
          <w:rFonts w:ascii="Times New Roman" w:hAnsi="Times New Roman" w:cs="Times New Roman"/>
        </w:rPr>
        <w:t>STR profile of TBM-02 at passage 50.</w:t>
      </w:r>
    </w:p>
    <w:p w:rsidR="00176550" w:rsidRPr="003740FF" w:rsidRDefault="00176550" w:rsidP="008C38CE">
      <w:pPr>
        <w:ind w:firstLine="720"/>
        <w:rPr>
          <w:noProof/>
        </w:rPr>
      </w:pPr>
    </w:p>
    <w:p w:rsidR="008C38CE" w:rsidRPr="003740FF" w:rsidRDefault="00176550" w:rsidP="008C38CE">
      <w:pPr>
        <w:ind w:firstLine="720"/>
      </w:pPr>
      <w:r w:rsidRPr="003740FF">
        <w:rPr>
          <w:noProof/>
          <w:lang w:eastAsia="en-IN"/>
        </w:rPr>
        <w:drawing>
          <wp:inline distT="0" distB="0" distL="0" distR="0" wp14:anchorId="782B5727">
            <wp:extent cx="4425950" cy="3061970"/>
            <wp:effectExtent l="0" t="0" r="0" b="0"/>
            <wp:docPr id="19403665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6550" w:rsidRPr="003740FF" w:rsidRDefault="00176550" w:rsidP="00176550">
      <w:pPr>
        <w:spacing w:line="360" w:lineRule="auto"/>
        <w:rPr>
          <w:rFonts w:ascii="Times New Roman" w:hAnsi="Times New Roman" w:cs="Times New Roman"/>
        </w:rPr>
      </w:pPr>
      <w:r w:rsidRPr="003740FF">
        <w:rPr>
          <w:rFonts w:ascii="Times New Roman" w:hAnsi="Times New Roman" w:cs="Times New Roman"/>
        </w:rPr>
        <w:t>Figure S</w:t>
      </w:r>
      <w:r w:rsidR="003E6E97" w:rsidRPr="003740FF">
        <w:rPr>
          <w:rFonts w:ascii="Times New Roman" w:hAnsi="Times New Roman" w:cs="Times New Roman"/>
        </w:rPr>
        <w:t>4</w:t>
      </w:r>
      <w:r w:rsidRPr="003740FF">
        <w:rPr>
          <w:rFonts w:ascii="Times New Roman" w:hAnsi="Times New Roman" w:cs="Times New Roman"/>
        </w:rPr>
        <w:t>: Inhibitory concentration (IC</w:t>
      </w:r>
      <w:r w:rsidRPr="003740FF">
        <w:rPr>
          <w:rFonts w:ascii="Times New Roman" w:hAnsi="Times New Roman" w:cs="Times New Roman"/>
          <w:vertAlign w:val="subscript"/>
        </w:rPr>
        <w:t>50</w:t>
      </w:r>
      <w:r w:rsidRPr="003740FF">
        <w:rPr>
          <w:rFonts w:ascii="Times New Roman" w:hAnsi="Times New Roman" w:cs="Times New Roman"/>
        </w:rPr>
        <w:t>) of phytochemical 6</w:t>
      </w:r>
      <w:bookmarkStart w:id="0" w:name="_GoBack"/>
      <w:bookmarkEnd w:id="0"/>
      <w:r w:rsidRPr="003740FF">
        <w:rPr>
          <w:rFonts w:ascii="Times New Roman" w:hAnsi="Times New Roman" w:cs="Times New Roman"/>
        </w:rPr>
        <w:t xml:space="preserve">-Shogaol was found to be 20 </w:t>
      </w:r>
      <w:r w:rsidRPr="003740FF">
        <w:rPr>
          <w:rFonts w:ascii="Calibri" w:hAnsi="Calibri" w:cs="Calibri"/>
        </w:rPr>
        <w:t>μ</w:t>
      </w:r>
      <w:r w:rsidRPr="003740FF">
        <w:rPr>
          <w:rFonts w:ascii="Times New Roman" w:hAnsi="Times New Roman" w:cs="Times New Roman"/>
        </w:rPr>
        <w:t>M</w:t>
      </w:r>
    </w:p>
    <w:p w:rsidR="00176550" w:rsidRPr="003740FF" w:rsidRDefault="00176550" w:rsidP="00176550">
      <w:pPr>
        <w:ind w:firstLine="720"/>
      </w:pPr>
    </w:p>
    <w:p w:rsidR="003620F0" w:rsidRPr="003740FF" w:rsidRDefault="003620F0" w:rsidP="00176550">
      <w:pPr>
        <w:ind w:firstLine="720"/>
        <w:rPr>
          <w:rFonts w:ascii="Times New Roman" w:hAnsi="Times New Roman" w:cs="Times New Roman"/>
        </w:rPr>
      </w:pPr>
      <w:r w:rsidRPr="003740FF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23A17E49">
            <wp:extent cx="5886922" cy="6043616"/>
            <wp:effectExtent l="0" t="0" r="0" b="0"/>
            <wp:docPr id="1354725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763" cy="6065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20F0" w:rsidRDefault="003620F0" w:rsidP="00DD7F92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3740FF">
        <w:rPr>
          <w:rFonts w:ascii="Times New Roman" w:hAnsi="Times New Roman" w:cs="Times New Roman"/>
          <w:b/>
          <w:bCs/>
        </w:rPr>
        <w:t>Figure S4:</w:t>
      </w:r>
      <w:r w:rsidR="007927EF" w:rsidRPr="003740FF">
        <w:rPr>
          <w:rFonts w:ascii="Times New Roman" w:hAnsi="Times New Roman" w:cs="Times New Roman"/>
          <w:b/>
          <w:bCs/>
        </w:rPr>
        <w:t xml:space="preserve"> Transcriptome analysis of TBM-02 cell line</w:t>
      </w:r>
      <w:r w:rsidR="007927EF" w:rsidRPr="003740FF">
        <w:rPr>
          <w:rFonts w:ascii="Times New Roman" w:hAnsi="Times New Roman" w:cs="Times New Roman"/>
        </w:rPr>
        <w:t>. The graphs show gene ontology to decipher the genes associated with the dysregulated pathways of TBM-02 at early passage p11(A) and late passage p62 (B). KEGG pathways analysis in TBM-02 p11 (</w:t>
      </w:r>
      <w:r w:rsidR="006F0C65" w:rsidRPr="003740FF">
        <w:rPr>
          <w:rFonts w:ascii="Times New Roman" w:hAnsi="Times New Roman" w:cs="Times New Roman"/>
        </w:rPr>
        <w:t>C</w:t>
      </w:r>
      <w:r w:rsidR="007927EF" w:rsidRPr="003740FF">
        <w:rPr>
          <w:rFonts w:ascii="Times New Roman" w:hAnsi="Times New Roman" w:cs="Times New Roman"/>
        </w:rPr>
        <w:t>) and p62 (</w:t>
      </w:r>
      <w:r w:rsidR="006F0C65" w:rsidRPr="003740FF">
        <w:rPr>
          <w:rFonts w:ascii="Times New Roman" w:hAnsi="Times New Roman" w:cs="Times New Roman"/>
        </w:rPr>
        <w:t>D</w:t>
      </w:r>
      <w:r w:rsidR="007927EF" w:rsidRPr="003740FF">
        <w:rPr>
          <w:rFonts w:ascii="Times New Roman" w:hAnsi="Times New Roman" w:cs="Times New Roman"/>
        </w:rPr>
        <w:t>)  in comparison to normal buccal</w:t>
      </w:r>
      <w:r w:rsidR="006F0C65" w:rsidRPr="003740FF">
        <w:rPr>
          <w:rFonts w:ascii="Times New Roman" w:hAnsi="Times New Roman" w:cs="Times New Roman"/>
        </w:rPr>
        <w:t xml:space="preserve"> </w:t>
      </w:r>
      <w:r w:rsidR="007927EF" w:rsidRPr="003740FF">
        <w:rPr>
          <w:rFonts w:ascii="Times New Roman" w:hAnsi="Times New Roman" w:cs="Times New Roman"/>
        </w:rPr>
        <w:t>mucosa (</w:t>
      </w:r>
      <w:r w:rsidR="007927EF" w:rsidRPr="003740FF">
        <w:rPr>
          <w:rFonts w:ascii="Times New Roman" w:hAnsi="Times New Roman" w:cs="Times New Roman"/>
          <w:color w:val="000000" w:themeColor="text1"/>
        </w:rPr>
        <w:t xml:space="preserve">SRA database </w:t>
      </w:r>
      <w:hyperlink r:id="rId10" w:history="1">
        <w:r w:rsidR="007927EF" w:rsidRPr="003740FF">
          <w:rPr>
            <w:rStyle w:val="Hyperlink"/>
            <w:rFonts w:ascii="Times New Roman" w:hAnsi="Times New Roman" w:cs="Times New Roman"/>
            <w:color w:val="000000" w:themeColor="text1"/>
          </w:rPr>
          <w:t>SRX19125628</w:t>
        </w:r>
      </w:hyperlink>
      <w:r w:rsidR="007927EF" w:rsidRPr="003740FF">
        <w:rPr>
          <w:rFonts w:ascii="Times New Roman" w:hAnsi="Times New Roman" w:cs="Times New Roman"/>
          <w:color w:val="000000" w:themeColor="text1"/>
        </w:rPr>
        <w:t xml:space="preserve"> and SRX19125629)</w:t>
      </w:r>
      <w:r w:rsidR="007927EF" w:rsidRPr="003740F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CE49FC" w:rsidRPr="00176550" w:rsidRDefault="00CE49FC" w:rsidP="00DD7F92"/>
    <w:sectPr w:rsidR="00CE49FC" w:rsidRPr="00176550" w:rsidSect="003740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A9"/>
    <w:rsid w:val="000B392F"/>
    <w:rsid w:val="00171E56"/>
    <w:rsid w:val="00176550"/>
    <w:rsid w:val="002A6A21"/>
    <w:rsid w:val="003620F0"/>
    <w:rsid w:val="0036433F"/>
    <w:rsid w:val="003740FF"/>
    <w:rsid w:val="00393CA9"/>
    <w:rsid w:val="003E6E97"/>
    <w:rsid w:val="004B059A"/>
    <w:rsid w:val="004E3776"/>
    <w:rsid w:val="00596179"/>
    <w:rsid w:val="0059770B"/>
    <w:rsid w:val="0060437E"/>
    <w:rsid w:val="006755B4"/>
    <w:rsid w:val="006F0C65"/>
    <w:rsid w:val="007927EF"/>
    <w:rsid w:val="008C38CE"/>
    <w:rsid w:val="008E12F2"/>
    <w:rsid w:val="00923538"/>
    <w:rsid w:val="009F2553"/>
    <w:rsid w:val="00B12800"/>
    <w:rsid w:val="00B43BF1"/>
    <w:rsid w:val="00BD1D04"/>
    <w:rsid w:val="00C453CC"/>
    <w:rsid w:val="00C82B27"/>
    <w:rsid w:val="00CE49FC"/>
    <w:rsid w:val="00DC059F"/>
    <w:rsid w:val="00DD7F92"/>
    <w:rsid w:val="00E32023"/>
    <w:rsid w:val="00EB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3D74C7-F0E6-4EB6-A86E-E5CFCE1D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3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3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3C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3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3C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3C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3C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3C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3C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3C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3C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3C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3C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3C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3C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3C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3C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3C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3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3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3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3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3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3C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3C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3C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C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C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3CA9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0B392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27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ncbi.nlm.nih.gov/sra/SRX19125628%5baccn%5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11E87-1A9E-45A8-811B-0A4AF197D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Akhila George</dc:creator>
  <cp:keywords/>
  <dc:description/>
  <cp:lastModifiedBy>Balasubramaniyan Thangavel</cp:lastModifiedBy>
  <cp:revision>8</cp:revision>
  <dcterms:created xsi:type="dcterms:W3CDTF">2025-11-28T06:32:00Z</dcterms:created>
  <dcterms:modified xsi:type="dcterms:W3CDTF">2025-12-07T08:41:00Z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11th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