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F6" w:rsidRPr="00950BEF" w:rsidRDefault="00F468F6" w:rsidP="00F468F6">
      <w:pPr>
        <w:spacing w:line="360" w:lineRule="auto"/>
        <w:jc w:val="both"/>
        <w:rPr>
          <w:b/>
          <w:bCs/>
          <w:sz w:val="22"/>
          <w:szCs w:val="22"/>
          <w:lang w:val="en-US"/>
        </w:rPr>
      </w:pPr>
      <w:r w:rsidRPr="00950BEF">
        <w:rPr>
          <w:b/>
          <w:bCs/>
          <w:sz w:val="22"/>
          <w:szCs w:val="22"/>
          <w:lang w:val="en-US"/>
        </w:rPr>
        <w:t>Appendix A. Supporting information</w:t>
      </w:r>
    </w:p>
    <w:p w:rsidR="008E72FA" w:rsidRDefault="008E72FA" w:rsidP="00F468F6">
      <w:pPr>
        <w:spacing w:line="360" w:lineRule="auto"/>
        <w:jc w:val="both"/>
        <w:rPr>
          <w:b/>
          <w:bCs/>
          <w:sz w:val="22"/>
          <w:szCs w:val="22"/>
          <w:lang w:val="en-US"/>
        </w:rPr>
      </w:pPr>
      <w:bookmarkStart w:id="0" w:name="_GoBack"/>
      <w:bookmarkEnd w:id="0"/>
    </w:p>
    <w:p w:rsidR="008E72FA" w:rsidRDefault="008E72FA" w:rsidP="00F468F6">
      <w:pPr>
        <w:spacing w:line="36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IN" w:eastAsia="en-IN"/>
        </w:rPr>
        <w:drawing>
          <wp:inline distT="0" distB="0" distL="0" distR="0">
            <wp:extent cx="4930140" cy="3057525"/>
            <wp:effectExtent l="0" t="0" r="3810" b="9525"/>
            <wp:docPr id="1" name="Picture 1" descr="C:\itools\iwms\Springer\e735115ad05dfe5e8a558e7d213f29b4\HEAB-D-25-00108_Manuscript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tools\iwms\Springer\e735115ad05dfe5e8a558e7d213f29b4\HEAB-D-25-00108_Manuscript\Figure 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F6" w:rsidRDefault="00F468F6" w:rsidP="00F468F6">
      <w:pPr>
        <w:spacing w:line="360" w:lineRule="auto"/>
        <w:jc w:val="both"/>
        <w:rPr>
          <w:sz w:val="22"/>
          <w:szCs w:val="22"/>
          <w:lang w:val="en-US"/>
        </w:rPr>
      </w:pPr>
      <w:proofErr w:type="gramStart"/>
      <w:r w:rsidRPr="00950BEF">
        <w:rPr>
          <w:b/>
          <w:bCs/>
          <w:sz w:val="22"/>
          <w:szCs w:val="22"/>
          <w:lang w:val="en-US"/>
        </w:rPr>
        <w:t>Supplementary Figure 1.</w:t>
      </w:r>
      <w:proofErr w:type="gramEnd"/>
      <w:r w:rsidRPr="00950BEF">
        <w:rPr>
          <w:b/>
          <w:bCs/>
          <w:sz w:val="22"/>
          <w:szCs w:val="22"/>
          <w:lang w:val="en-US"/>
        </w:rPr>
        <w:t xml:space="preserve"> </w:t>
      </w:r>
      <w:r w:rsidRPr="00950BEF">
        <w:rPr>
          <w:sz w:val="22"/>
          <w:szCs w:val="22"/>
          <w:lang w:val="en-US"/>
        </w:rPr>
        <w:t xml:space="preserve">Scatter plot between </w:t>
      </w:r>
      <w:proofErr w:type="spellStart"/>
      <w:r w:rsidRPr="00950BEF">
        <w:rPr>
          <w:sz w:val="22"/>
          <w:szCs w:val="22"/>
          <w:lang w:val="en-US"/>
        </w:rPr>
        <w:t>RNAseq</w:t>
      </w:r>
      <w:proofErr w:type="spellEnd"/>
      <w:r w:rsidRPr="00950BEF">
        <w:rPr>
          <w:sz w:val="22"/>
          <w:szCs w:val="22"/>
          <w:lang w:val="en-US"/>
        </w:rPr>
        <w:t xml:space="preserve"> (</w:t>
      </w:r>
      <w:proofErr w:type="gramStart"/>
      <w:r w:rsidRPr="00950BEF">
        <w:rPr>
          <w:sz w:val="22"/>
          <w:szCs w:val="22"/>
          <w:lang w:val="en-US"/>
        </w:rPr>
        <w:t>Log</w:t>
      </w:r>
      <w:r w:rsidRPr="00950BEF">
        <w:rPr>
          <w:sz w:val="22"/>
          <w:szCs w:val="22"/>
          <w:vertAlign w:val="subscript"/>
          <w:lang w:val="en-US"/>
        </w:rPr>
        <w:t>2</w:t>
      </w:r>
      <w:r w:rsidRPr="00950BEF">
        <w:rPr>
          <w:sz w:val="22"/>
          <w:szCs w:val="22"/>
          <w:lang w:val="en-US"/>
        </w:rPr>
        <w:t>(</w:t>
      </w:r>
      <w:proofErr w:type="gramEnd"/>
      <w:r w:rsidRPr="00950BEF">
        <w:rPr>
          <w:sz w:val="22"/>
          <w:szCs w:val="22"/>
          <w:lang w:val="en-US"/>
        </w:rPr>
        <w:t xml:space="preserve">FC)) and </w:t>
      </w:r>
      <w:proofErr w:type="spellStart"/>
      <w:r w:rsidRPr="00950BEF">
        <w:rPr>
          <w:sz w:val="22"/>
          <w:szCs w:val="22"/>
          <w:lang w:val="en-US"/>
        </w:rPr>
        <w:t>qRT</w:t>
      </w:r>
      <w:proofErr w:type="spellEnd"/>
      <w:r w:rsidRPr="00950BEF">
        <w:rPr>
          <w:sz w:val="22"/>
          <w:szCs w:val="22"/>
          <w:lang w:val="en-US"/>
        </w:rPr>
        <w:t>-PCR (-</w:t>
      </w:r>
      <w:r w:rsidRPr="00950BEF">
        <w:rPr>
          <w:sz w:val="22"/>
          <w:szCs w:val="22"/>
        </w:rPr>
        <w:t>ΔΔ</w:t>
      </w:r>
      <w:r w:rsidR="008E72FA">
        <w:rPr>
          <w:sz w:val="22"/>
          <w:szCs w:val="22"/>
          <w:lang w:val="en-US"/>
        </w:rPr>
        <w:t>Ct) of genes of interest.</w:t>
      </w:r>
    </w:p>
    <w:p w:rsidR="008E72FA" w:rsidRPr="00950BEF" w:rsidRDefault="008E72FA" w:rsidP="00F468F6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IN" w:eastAsia="en-IN"/>
        </w:rPr>
        <w:drawing>
          <wp:inline distT="0" distB="0" distL="0" distR="0">
            <wp:extent cx="5731510" cy="1749884"/>
            <wp:effectExtent l="0" t="0" r="2540" b="3175"/>
            <wp:docPr id="2" name="Picture 2" descr="C:\itools\iwms\Springer\e735115ad05dfe5e8a558e7d213f29b4\HEAB-D-25-00108_Manuscript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itools\iwms\Springer\e735115ad05dfe5e8a558e7d213f29b4\HEAB-D-25-00108_Manuscript\Figure S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4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F6" w:rsidRPr="00950BEF" w:rsidRDefault="00F468F6" w:rsidP="00F468F6">
      <w:pPr>
        <w:spacing w:line="360" w:lineRule="auto"/>
        <w:jc w:val="both"/>
        <w:rPr>
          <w:sz w:val="22"/>
          <w:szCs w:val="22"/>
          <w:lang w:val="en-US"/>
        </w:rPr>
      </w:pPr>
      <w:proofErr w:type="gramStart"/>
      <w:r w:rsidRPr="00950BEF">
        <w:rPr>
          <w:b/>
          <w:bCs/>
          <w:sz w:val="22"/>
          <w:szCs w:val="22"/>
          <w:lang w:val="en-US"/>
        </w:rPr>
        <w:t>Supplementary Figure 2.</w:t>
      </w:r>
      <w:proofErr w:type="gramEnd"/>
      <w:r w:rsidRPr="00950BEF">
        <w:rPr>
          <w:b/>
          <w:bCs/>
          <w:sz w:val="22"/>
          <w:szCs w:val="22"/>
          <w:lang w:val="en-US"/>
        </w:rPr>
        <w:t xml:space="preserve"> </w:t>
      </w:r>
      <w:r w:rsidRPr="00950BEF">
        <w:rPr>
          <w:sz w:val="22"/>
          <w:szCs w:val="22"/>
          <w:lang w:val="en-US"/>
        </w:rPr>
        <w:t>GO enrichment analysis of cellular component and molecular function of DEGs under the various comparisons.</w:t>
      </w:r>
    </w:p>
    <w:p w:rsidR="00FB2A25" w:rsidRPr="00F468F6" w:rsidRDefault="00FB2A25">
      <w:pPr>
        <w:rPr>
          <w:lang w:val="en-US"/>
        </w:rPr>
      </w:pPr>
    </w:p>
    <w:sectPr w:rsidR="00FB2A25" w:rsidRPr="00F46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08"/>
    <w:rsid w:val="00165AE8"/>
    <w:rsid w:val="008D48CD"/>
    <w:rsid w:val="008E72FA"/>
    <w:rsid w:val="00BB5B08"/>
    <w:rsid w:val="00DD35FC"/>
    <w:rsid w:val="00F468F6"/>
    <w:rsid w:val="00F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2FA"/>
    <w:rPr>
      <w:rFonts w:ascii="Tahoma" w:eastAsia="Times New Roman" w:hAnsi="Tahoma" w:cs="Tahoma"/>
      <w:sz w:val="16"/>
      <w:szCs w:val="16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2FA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Karpagavalli Sarangabani (Integra)</dc:creator>
  <cp:keywords/>
  <dc:description/>
  <cp:lastModifiedBy>Editorial Integra</cp:lastModifiedBy>
  <cp:revision>3</cp:revision>
  <dcterms:created xsi:type="dcterms:W3CDTF">2025-07-14T03:54:00Z</dcterms:created>
  <dcterms:modified xsi:type="dcterms:W3CDTF">2025-07-14T06:45:00Z</dcterms:modified>
</cp:coreProperties>
</file>