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DF4" w:rsidRDefault="00032DF4" w:rsidP="00D7152F">
      <w:pPr>
        <w:jc w:val="center"/>
      </w:pPr>
      <w:bookmarkStart w:id="0" w:name="_GoBack"/>
      <w:bookmarkEnd w:id="0"/>
    </w:p>
    <w:p w:rsidR="00D7152F" w:rsidRDefault="00D7152F" w:rsidP="00D7152F">
      <w:pPr>
        <w:jc w:val="center"/>
      </w:pPr>
      <w:r>
        <w:rPr>
          <w:noProof/>
        </w:rPr>
        <w:drawing>
          <wp:inline distT="0" distB="0" distL="0" distR="0">
            <wp:extent cx="2311400" cy="3315970"/>
            <wp:effectExtent l="0" t="0" r="0" b="0"/>
            <wp:docPr id="3" name="Picture 3" descr="A close up of a logo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l Figure (Experiment 4)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74"/>
                    <a:stretch/>
                  </pic:blipFill>
                  <pic:spPr bwMode="auto">
                    <a:xfrm>
                      <a:off x="0" y="0"/>
                      <a:ext cx="2311582" cy="3316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52F" w:rsidRDefault="00D7152F" w:rsidP="00D7152F">
      <w:pPr>
        <w:spacing w:after="0" w:line="480" w:lineRule="auto"/>
      </w:pPr>
    </w:p>
    <w:p w:rsidR="00D7152F" w:rsidRDefault="00D7152F" w:rsidP="00D7152F">
      <w:pPr>
        <w:spacing w:after="0" w:line="480" w:lineRule="auto"/>
      </w:pPr>
      <w:r>
        <w:t>Hemolymph ecdysteroids and ovary activation in daughters of an SDI queen reared without manipulation in their SDI natal colony and collected at 5, 12, or 20 days of age. (</w:t>
      </w:r>
      <w:r>
        <w:rPr>
          <w:i/>
        </w:rPr>
        <w:t>Experiment 4</w:t>
      </w:r>
      <w:r>
        <w:t xml:space="preserve">). </w:t>
      </w:r>
      <w:r>
        <w:rPr>
          <w:b/>
        </w:rPr>
        <w:t>a.</w:t>
      </w:r>
      <w:r>
        <w:t xml:space="preserve"> Ecdysteroid titers (mean ± standard error, pg/µL). </w:t>
      </w:r>
      <w:r>
        <w:rPr>
          <w:b/>
        </w:rPr>
        <w:t>b.</w:t>
      </w:r>
      <w:r>
        <w:t xml:space="preserve"> Ovary activation by treatment (mean ± standard error). * denotes significant difference in Tukey-Kramer </w:t>
      </w:r>
      <w:r>
        <w:rPr>
          <w:i/>
        </w:rPr>
        <w:t>post hoc</w:t>
      </w:r>
      <w:r>
        <w:t xml:space="preserve"> pairwise comparisons of 5, 12, and 20-day old workers, </w:t>
      </w:r>
      <w:r>
        <w:rPr>
          <w:i/>
        </w:rPr>
        <w:t>p</w:t>
      </w:r>
      <w:r>
        <w:t xml:space="preserve"> &lt; 0.0001. Sample sizes: 5 days (</w:t>
      </w:r>
      <w:r>
        <w:rPr>
          <w:i/>
        </w:rPr>
        <w:t>n</w:t>
      </w:r>
      <w:r>
        <w:t xml:space="preserve"> = 19); 12 days (</w:t>
      </w:r>
      <w:r>
        <w:rPr>
          <w:i/>
        </w:rPr>
        <w:t>n</w:t>
      </w:r>
      <w:r>
        <w:t xml:space="preserve"> = 15); 20 days (</w:t>
      </w:r>
      <w:r>
        <w:rPr>
          <w:i/>
        </w:rPr>
        <w:t xml:space="preserve">n </w:t>
      </w:r>
      <w:r>
        <w:t xml:space="preserve">= 23). </w:t>
      </w:r>
    </w:p>
    <w:p w:rsidR="00D7152F" w:rsidRDefault="00D7152F" w:rsidP="00D7152F">
      <w:pPr>
        <w:jc w:val="center"/>
      </w:pPr>
    </w:p>
    <w:sectPr w:rsidR="00D71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2F"/>
    <w:rsid w:val="00032DF4"/>
    <w:rsid w:val="004960AA"/>
    <w:rsid w:val="00AB2433"/>
    <w:rsid w:val="00D7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C43FD-40CD-4A5F-A474-30658006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Fahrbach, Susan E.</dc:creator>
  <cp:keywords/>
  <dc:description/>
  <cp:lastModifiedBy>Fahrbach, Susan E.</cp:lastModifiedBy>
  <cp:revision>2</cp:revision>
  <dcterms:created xsi:type="dcterms:W3CDTF">2017-11-04T16:24:00Z</dcterms:created>
  <dcterms:modified xsi:type="dcterms:W3CDTF">2017-11-04T16:24:00Z</dcterms:modified>
</cp:coreProperties>
</file>