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E5BD7" w14:textId="661A0F40" w:rsidR="00EC212B" w:rsidRPr="00FF4B56" w:rsidRDefault="0010488B" w:rsidP="004B166F">
      <w:pPr>
        <w:spacing w:line="360" w:lineRule="auto"/>
        <w:rPr>
          <w:rFonts w:ascii="Times New Roman" w:hAnsi="Times New Roman" w:cs="Times New Roman"/>
          <w:b/>
          <w:u w:val="single"/>
        </w:rPr>
      </w:pPr>
      <w:r w:rsidRPr="00FF4B56">
        <w:rPr>
          <w:rFonts w:ascii="Times New Roman" w:hAnsi="Times New Roman" w:cs="Times New Roman"/>
          <w:b/>
          <w:u w:val="single"/>
        </w:rPr>
        <w:t xml:space="preserve">Supplementary </w:t>
      </w:r>
      <w:r w:rsidR="004B166F" w:rsidRPr="00FF4B56">
        <w:rPr>
          <w:rFonts w:ascii="Times New Roman" w:hAnsi="Times New Roman" w:cs="Times New Roman"/>
          <w:b/>
          <w:u w:val="single"/>
        </w:rPr>
        <w:t>M</w:t>
      </w:r>
      <w:r w:rsidRPr="00FF4B56">
        <w:rPr>
          <w:rFonts w:ascii="Times New Roman" w:hAnsi="Times New Roman" w:cs="Times New Roman"/>
          <w:b/>
          <w:u w:val="single"/>
        </w:rPr>
        <w:t>aterial</w:t>
      </w:r>
      <w:r w:rsidR="00A96D37" w:rsidRPr="00FF4B56">
        <w:rPr>
          <w:rFonts w:ascii="Times New Roman" w:hAnsi="Times New Roman" w:cs="Times New Roman"/>
          <w:b/>
          <w:u w:val="single"/>
        </w:rPr>
        <w:t>s</w:t>
      </w:r>
    </w:p>
    <w:p w14:paraId="79E5FD21" w14:textId="77777777" w:rsidR="0010488B" w:rsidRPr="00FF4B56" w:rsidRDefault="0010488B" w:rsidP="00A96D37">
      <w:pPr>
        <w:spacing w:line="360" w:lineRule="auto"/>
        <w:rPr>
          <w:rFonts w:ascii="Times New Roman" w:hAnsi="Times New Roman" w:cs="Times New Roman"/>
        </w:rPr>
      </w:pPr>
    </w:p>
    <w:p w14:paraId="072CCA69" w14:textId="34271395" w:rsidR="0010488B" w:rsidRDefault="00243B73" w:rsidP="004F1AB1">
      <w:pPr>
        <w:pStyle w:val="Heading3"/>
        <w:spacing w:line="360" w:lineRule="auto"/>
        <w:jc w:val="both"/>
        <w:rPr>
          <w:rFonts w:cs="Times New Roman"/>
          <w:szCs w:val="22"/>
        </w:rPr>
      </w:pPr>
      <w:r w:rsidRPr="00FF4B56">
        <w:rPr>
          <w:rFonts w:cs="Times New Roman"/>
          <w:szCs w:val="22"/>
        </w:rPr>
        <w:t>Table S</w:t>
      </w:r>
      <w:r w:rsidR="0010488B" w:rsidRPr="00FF4B56">
        <w:rPr>
          <w:rFonts w:cs="Times New Roman"/>
          <w:szCs w:val="22"/>
        </w:rPr>
        <w:t xml:space="preserve">1: Resilience definitions from </w:t>
      </w:r>
      <w:r w:rsidR="008A041B" w:rsidRPr="00FF4B56">
        <w:rPr>
          <w:rFonts w:cs="Times New Roman"/>
          <w:szCs w:val="22"/>
        </w:rPr>
        <w:t xml:space="preserve">the </w:t>
      </w:r>
      <w:r w:rsidR="006F32B6">
        <w:rPr>
          <w:rFonts w:cs="Times New Roman"/>
          <w:szCs w:val="22"/>
        </w:rPr>
        <w:t>53</w:t>
      </w:r>
      <w:r w:rsidR="006F32B6" w:rsidRPr="00FF4B56">
        <w:rPr>
          <w:rFonts w:cs="Times New Roman"/>
          <w:szCs w:val="22"/>
        </w:rPr>
        <w:t xml:space="preserve"> </w:t>
      </w:r>
      <w:r w:rsidR="0010488B" w:rsidRPr="00FF4B56">
        <w:rPr>
          <w:rFonts w:cs="Times New Roman"/>
          <w:szCs w:val="22"/>
        </w:rPr>
        <w:t>studies explicitly referring to resilience assessment and conceptualization of resilience assessment according to the authors. Quoted citations are directly extracted from the text.</w:t>
      </w:r>
    </w:p>
    <w:p w14:paraId="480A727B" w14:textId="77777777" w:rsidR="006F32B6" w:rsidRPr="006F32B6" w:rsidRDefault="006F32B6" w:rsidP="006F32B6"/>
    <w:tbl>
      <w:tblPr>
        <w:tblW w:w="12160" w:type="dxa"/>
        <w:tblLook w:val="04A0" w:firstRow="1" w:lastRow="0" w:firstColumn="1" w:lastColumn="0" w:noHBand="0" w:noVBand="1"/>
      </w:tblPr>
      <w:tblGrid>
        <w:gridCol w:w="3060"/>
        <w:gridCol w:w="5940"/>
        <w:gridCol w:w="3160"/>
      </w:tblGrid>
      <w:tr w:rsidR="006F32B6" w:rsidRPr="006F32B6" w14:paraId="5D1C329E" w14:textId="77777777" w:rsidTr="006F32B6">
        <w:trPr>
          <w:trHeight w:val="300"/>
        </w:trPr>
        <w:tc>
          <w:tcPr>
            <w:tcW w:w="3060" w:type="dxa"/>
            <w:tcBorders>
              <w:top w:val="nil"/>
              <w:left w:val="nil"/>
              <w:bottom w:val="nil"/>
              <w:right w:val="nil"/>
            </w:tcBorders>
            <w:shd w:val="clear" w:color="auto" w:fill="auto"/>
            <w:noWrap/>
            <w:hideMark/>
          </w:tcPr>
          <w:p w14:paraId="4272E030" w14:textId="77777777" w:rsidR="006F32B6" w:rsidRPr="006F32B6" w:rsidRDefault="006F32B6" w:rsidP="006F32B6">
            <w:pPr>
              <w:spacing w:after="0" w:line="276" w:lineRule="auto"/>
              <w:rPr>
                <w:rFonts w:ascii="Times New Roman" w:eastAsia="Times New Roman" w:hAnsi="Times New Roman" w:cs="Times New Roman"/>
                <w:b/>
                <w:bCs/>
                <w:color w:val="000000"/>
                <w:lang w:eastAsia="en-GB"/>
              </w:rPr>
            </w:pPr>
            <w:r w:rsidRPr="006F32B6">
              <w:rPr>
                <w:rFonts w:ascii="Times New Roman" w:eastAsia="Times New Roman" w:hAnsi="Times New Roman" w:cs="Times New Roman"/>
                <w:b/>
                <w:bCs/>
                <w:color w:val="000000"/>
                <w:lang w:eastAsia="en-GB"/>
              </w:rPr>
              <w:t>Study</w:t>
            </w:r>
          </w:p>
        </w:tc>
        <w:tc>
          <w:tcPr>
            <w:tcW w:w="5940" w:type="dxa"/>
            <w:tcBorders>
              <w:top w:val="nil"/>
              <w:left w:val="nil"/>
              <w:bottom w:val="nil"/>
              <w:right w:val="nil"/>
            </w:tcBorders>
            <w:shd w:val="clear" w:color="auto" w:fill="auto"/>
            <w:hideMark/>
          </w:tcPr>
          <w:p w14:paraId="4C0F6B47" w14:textId="77777777" w:rsidR="006F32B6" w:rsidRPr="006F32B6" w:rsidRDefault="006F32B6" w:rsidP="006F32B6">
            <w:pPr>
              <w:spacing w:after="0" w:line="276" w:lineRule="auto"/>
              <w:rPr>
                <w:rFonts w:ascii="Times New Roman" w:eastAsia="Times New Roman" w:hAnsi="Times New Roman" w:cs="Times New Roman"/>
                <w:b/>
                <w:bCs/>
                <w:color w:val="000000"/>
                <w:lang w:eastAsia="en-GB"/>
              </w:rPr>
            </w:pPr>
            <w:r w:rsidRPr="006F32B6">
              <w:rPr>
                <w:rFonts w:ascii="Times New Roman" w:eastAsia="Times New Roman" w:hAnsi="Times New Roman" w:cs="Times New Roman"/>
                <w:b/>
                <w:bCs/>
                <w:color w:val="000000"/>
                <w:lang w:eastAsia="en-GB"/>
              </w:rPr>
              <w:t>Definition</w:t>
            </w:r>
          </w:p>
        </w:tc>
        <w:tc>
          <w:tcPr>
            <w:tcW w:w="3160" w:type="dxa"/>
            <w:tcBorders>
              <w:top w:val="nil"/>
              <w:left w:val="nil"/>
              <w:bottom w:val="nil"/>
              <w:right w:val="nil"/>
            </w:tcBorders>
            <w:shd w:val="clear" w:color="auto" w:fill="auto"/>
            <w:hideMark/>
          </w:tcPr>
          <w:p w14:paraId="06935478" w14:textId="77777777" w:rsidR="006F32B6" w:rsidRPr="006F32B6" w:rsidRDefault="006F32B6" w:rsidP="006F32B6">
            <w:pPr>
              <w:spacing w:after="0" w:line="276" w:lineRule="auto"/>
              <w:rPr>
                <w:rFonts w:ascii="Times New Roman" w:eastAsia="Times New Roman" w:hAnsi="Times New Roman" w:cs="Times New Roman"/>
                <w:b/>
                <w:bCs/>
                <w:color w:val="000000"/>
                <w:lang w:eastAsia="en-GB"/>
              </w:rPr>
            </w:pPr>
            <w:r w:rsidRPr="006F32B6">
              <w:rPr>
                <w:rFonts w:ascii="Times New Roman" w:eastAsia="Times New Roman" w:hAnsi="Times New Roman" w:cs="Times New Roman"/>
                <w:b/>
                <w:bCs/>
                <w:color w:val="000000"/>
                <w:lang w:eastAsia="en-GB"/>
              </w:rPr>
              <w:t>References</w:t>
            </w:r>
          </w:p>
        </w:tc>
      </w:tr>
      <w:tr w:rsidR="006F32B6" w:rsidRPr="006F32B6" w14:paraId="7061322D" w14:textId="77777777" w:rsidTr="006F32B6">
        <w:trPr>
          <w:trHeight w:val="300"/>
        </w:trPr>
        <w:tc>
          <w:tcPr>
            <w:tcW w:w="3060" w:type="dxa"/>
            <w:tcBorders>
              <w:top w:val="single" w:sz="4" w:space="0" w:color="auto"/>
              <w:left w:val="nil"/>
              <w:bottom w:val="single" w:sz="4" w:space="0" w:color="auto"/>
              <w:right w:val="nil"/>
            </w:tcBorders>
            <w:shd w:val="clear" w:color="auto" w:fill="auto"/>
            <w:noWrap/>
            <w:hideMark/>
          </w:tcPr>
          <w:p w14:paraId="1DCECBFD"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Adhikari et al., 2023</w:t>
            </w:r>
          </w:p>
        </w:tc>
        <w:tc>
          <w:tcPr>
            <w:tcW w:w="5940" w:type="dxa"/>
            <w:tcBorders>
              <w:top w:val="single" w:sz="8" w:space="0" w:color="auto"/>
              <w:left w:val="nil"/>
              <w:bottom w:val="single" w:sz="8" w:space="0" w:color="auto"/>
              <w:right w:val="nil"/>
            </w:tcBorders>
            <w:shd w:val="clear" w:color="auto" w:fill="auto"/>
            <w:hideMark/>
          </w:tcPr>
          <w:p w14:paraId="217474AA"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c>
          <w:tcPr>
            <w:tcW w:w="3160" w:type="dxa"/>
            <w:tcBorders>
              <w:top w:val="single" w:sz="8" w:space="0" w:color="auto"/>
              <w:left w:val="nil"/>
              <w:bottom w:val="single" w:sz="8" w:space="0" w:color="auto"/>
              <w:right w:val="nil"/>
            </w:tcBorders>
            <w:shd w:val="clear" w:color="auto" w:fill="auto"/>
            <w:hideMark/>
          </w:tcPr>
          <w:p w14:paraId="0BAC69BD"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r>
      <w:tr w:rsidR="006F32B6" w:rsidRPr="006F32B6" w14:paraId="24F2AFF6" w14:textId="77777777" w:rsidTr="006F32B6">
        <w:trPr>
          <w:trHeight w:val="1740"/>
        </w:trPr>
        <w:tc>
          <w:tcPr>
            <w:tcW w:w="3060" w:type="dxa"/>
            <w:tcBorders>
              <w:top w:val="nil"/>
              <w:left w:val="nil"/>
              <w:bottom w:val="nil"/>
              <w:right w:val="nil"/>
            </w:tcBorders>
            <w:shd w:val="clear" w:color="auto" w:fill="auto"/>
            <w:noWrap/>
            <w:hideMark/>
          </w:tcPr>
          <w:p w14:paraId="5BCEE33B"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Asrari</w:t>
            </w:r>
            <w:proofErr w:type="spellEnd"/>
            <w:r w:rsidRPr="006F32B6">
              <w:rPr>
                <w:rFonts w:ascii="Times New Roman" w:eastAsia="Times New Roman" w:hAnsi="Times New Roman" w:cs="Times New Roman"/>
                <w:color w:val="000000"/>
                <w:lang w:eastAsia="en-GB"/>
              </w:rPr>
              <w:t xml:space="preserve"> et al., 2022</w:t>
            </w:r>
          </w:p>
        </w:tc>
        <w:tc>
          <w:tcPr>
            <w:tcW w:w="5940" w:type="dxa"/>
            <w:tcBorders>
              <w:top w:val="nil"/>
              <w:left w:val="nil"/>
              <w:bottom w:val="nil"/>
              <w:right w:val="nil"/>
            </w:tcBorders>
            <w:shd w:val="clear" w:color="auto" w:fill="auto"/>
            <w:hideMark/>
          </w:tcPr>
          <w:p w14:paraId="2AF02414"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Extent to which a system is able to absorb changes and continue on its path, to cope with external tensions and disruptions resulting from social, political, and environmental changes. Ability of people to adapt and acquire psychological, social, and physical resources to ultimately maintain their health and well-being</w:t>
            </w:r>
          </w:p>
        </w:tc>
        <w:tc>
          <w:tcPr>
            <w:tcW w:w="3160" w:type="dxa"/>
            <w:tcBorders>
              <w:top w:val="nil"/>
              <w:left w:val="nil"/>
              <w:bottom w:val="nil"/>
              <w:right w:val="nil"/>
            </w:tcBorders>
            <w:shd w:val="clear" w:color="auto" w:fill="auto"/>
            <w:hideMark/>
          </w:tcPr>
          <w:p w14:paraId="59A4DE58"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Holling</w:t>
            </w:r>
            <w:proofErr w:type="spellEnd"/>
            <w:r w:rsidRPr="006F32B6">
              <w:rPr>
                <w:rFonts w:ascii="Times New Roman" w:eastAsia="Times New Roman" w:hAnsi="Times New Roman" w:cs="Times New Roman"/>
                <w:color w:val="000000"/>
                <w:lang w:eastAsia="en-GB"/>
              </w:rPr>
              <w:t xml:space="preserve">, 1973; </w:t>
            </w:r>
            <w:proofErr w:type="spellStart"/>
            <w:r w:rsidRPr="006F32B6">
              <w:rPr>
                <w:rFonts w:ascii="Times New Roman" w:eastAsia="Times New Roman" w:hAnsi="Times New Roman" w:cs="Times New Roman"/>
                <w:color w:val="000000"/>
                <w:lang w:eastAsia="en-GB"/>
              </w:rPr>
              <w:t>Adger</w:t>
            </w:r>
            <w:proofErr w:type="spellEnd"/>
            <w:r w:rsidRPr="006F32B6">
              <w:rPr>
                <w:rFonts w:ascii="Times New Roman" w:eastAsia="Times New Roman" w:hAnsi="Times New Roman" w:cs="Times New Roman"/>
                <w:color w:val="000000"/>
                <w:lang w:eastAsia="en-GB"/>
              </w:rPr>
              <w:t>, 2000; Ungar 2011</w:t>
            </w:r>
          </w:p>
        </w:tc>
      </w:tr>
      <w:tr w:rsidR="006F32B6" w:rsidRPr="006F32B6" w14:paraId="45D3CE6F" w14:textId="77777777" w:rsidTr="006F32B6">
        <w:trPr>
          <w:trHeight w:val="840"/>
        </w:trPr>
        <w:tc>
          <w:tcPr>
            <w:tcW w:w="3060" w:type="dxa"/>
            <w:tcBorders>
              <w:top w:val="single" w:sz="4" w:space="0" w:color="auto"/>
              <w:left w:val="nil"/>
              <w:bottom w:val="single" w:sz="4" w:space="0" w:color="auto"/>
              <w:right w:val="nil"/>
            </w:tcBorders>
            <w:shd w:val="clear" w:color="auto" w:fill="auto"/>
            <w:noWrap/>
            <w:hideMark/>
          </w:tcPr>
          <w:p w14:paraId="0D55299E"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Bardsley</w:t>
            </w:r>
            <w:proofErr w:type="spellEnd"/>
            <w:r w:rsidRPr="006F32B6">
              <w:rPr>
                <w:rFonts w:ascii="Times New Roman" w:eastAsia="Times New Roman" w:hAnsi="Times New Roman" w:cs="Times New Roman"/>
                <w:color w:val="000000"/>
                <w:lang w:eastAsia="en-GB"/>
              </w:rPr>
              <w:t xml:space="preserve"> et al., 2018</w:t>
            </w:r>
          </w:p>
        </w:tc>
        <w:tc>
          <w:tcPr>
            <w:tcW w:w="5940" w:type="dxa"/>
            <w:tcBorders>
              <w:top w:val="single" w:sz="8" w:space="0" w:color="auto"/>
              <w:left w:val="nil"/>
              <w:bottom w:val="single" w:sz="8" w:space="0" w:color="auto"/>
              <w:right w:val="nil"/>
            </w:tcBorders>
            <w:shd w:val="clear" w:color="auto" w:fill="auto"/>
            <w:hideMark/>
          </w:tcPr>
          <w:p w14:paraId="172A3D2F"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"the capacity of a system to absorb disturbance and reorganize while undergoing change so as to still retain essentially the same function, structure, identity, and feedbacks."</w:t>
            </w:r>
          </w:p>
        </w:tc>
        <w:tc>
          <w:tcPr>
            <w:tcW w:w="3160" w:type="dxa"/>
            <w:tcBorders>
              <w:top w:val="single" w:sz="8" w:space="0" w:color="auto"/>
              <w:left w:val="nil"/>
              <w:bottom w:val="single" w:sz="8" w:space="0" w:color="auto"/>
              <w:right w:val="nil"/>
            </w:tcBorders>
            <w:shd w:val="clear" w:color="auto" w:fill="auto"/>
            <w:noWrap/>
            <w:hideMark/>
          </w:tcPr>
          <w:p w14:paraId="4A7A030C"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Walker et al. 2004</w:t>
            </w:r>
          </w:p>
        </w:tc>
      </w:tr>
      <w:tr w:rsidR="006F32B6" w:rsidRPr="006F32B6" w14:paraId="4FB2C934" w14:textId="77777777" w:rsidTr="006F32B6">
        <w:trPr>
          <w:trHeight w:val="300"/>
        </w:trPr>
        <w:tc>
          <w:tcPr>
            <w:tcW w:w="3060" w:type="dxa"/>
            <w:tcBorders>
              <w:top w:val="nil"/>
              <w:left w:val="nil"/>
              <w:bottom w:val="nil"/>
              <w:right w:val="nil"/>
            </w:tcBorders>
            <w:shd w:val="clear" w:color="auto" w:fill="auto"/>
            <w:noWrap/>
            <w:hideMark/>
          </w:tcPr>
          <w:p w14:paraId="69A34174"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Ben Nasr et al., 2021</w:t>
            </w:r>
          </w:p>
        </w:tc>
        <w:tc>
          <w:tcPr>
            <w:tcW w:w="5940" w:type="dxa"/>
            <w:tcBorders>
              <w:top w:val="nil"/>
              <w:left w:val="nil"/>
              <w:bottom w:val="nil"/>
              <w:right w:val="nil"/>
            </w:tcBorders>
            <w:shd w:val="clear" w:color="auto" w:fill="auto"/>
            <w:hideMark/>
          </w:tcPr>
          <w:p w14:paraId="3712E3C5"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"individual’s ability to cope with a difficult or stressful situation"</w:t>
            </w:r>
          </w:p>
        </w:tc>
        <w:tc>
          <w:tcPr>
            <w:tcW w:w="3160" w:type="dxa"/>
            <w:tcBorders>
              <w:top w:val="nil"/>
              <w:left w:val="nil"/>
              <w:bottom w:val="nil"/>
              <w:right w:val="nil"/>
            </w:tcBorders>
            <w:shd w:val="clear" w:color="auto" w:fill="auto"/>
            <w:noWrap/>
            <w:hideMark/>
          </w:tcPr>
          <w:p w14:paraId="6AB8D43B"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
        </w:tc>
      </w:tr>
      <w:tr w:rsidR="006F32B6" w:rsidRPr="006F32B6" w14:paraId="57093EFF" w14:textId="77777777" w:rsidTr="006F32B6">
        <w:trPr>
          <w:trHeight w:val="2028"/>
        </w:trPr>
        <w:tc>
          <w:tcPr>
            <w:tcW w:w="3060" w:type="dxa"/>
            <w:tcBorders>
              <w:top w:val="single" w:sz="4" w:space="0" w:color="auto"/>
              <w:left w:val="nil"/>
              <w:bottom w:val="single" w:sz="4" w:space="0" w:color="auto"/>
              <w:right w:val="nil"/>
            </w:tcBorders>
            <w:shd w:val="clear" w:color="auto" w:fill="auto"/>
            <w:noWrap/>
            <w:hideMark/>
          </w:tcPr>
          <w:p w14:paraId="18DDADB4" w14:textId="10426876"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xml:space="preserve">Cetinkaya </w:t>
            </w:r>
            <w:proofErr w:type="spellStart"/>
            <w:r w:rsidRPr="006F32B6">
              <w:rPr>
                <w:rFonts w:ascii="Times New Roman" w:eastAsia="Times New Roman" w:hAnsi="Times New Roman" w:cs="Times New Roman"/>
                <w:color w:val="000000"/>
                <w:lang w:eastAsia="en-GB"/>
              </w:rPr>
              <w:t>Ciftcioglu</w:t>
            </w:r>
            <w:proofErr w:type="spellEnd"/>
            <w:r w:rsidRPr="006F32B6">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w:t>
            </w:r>
            <w:r w:rsidRPr="006F32B6">
              <w:rPr>
                <w:rFonts w:ascii="Times New Roman" w:eastAsia="Times New Roman" w:hAnsi="Times New Roman" w:cs="Times New Roman"/>
                <w:color w:val="000000"/>
                <w:lang w:eastAsia="en-GB"/>
              </w:rPr>
              <w:t>2022</w:t>
            </w:r>
          </w:p>
        </w:tc>
        <w:tc>
          <w:tcPr>
            <w:tcW w:w="5940" w:type="dxa"/>
            <w:tcBorders>
              <w:top w:val="single" w:sz="8" w:space="0" w:color="auto"/>
              <w:left w:val="nil"/>
              <w:bottom w:val="single" w:sz="8" w:space="0" w:color="auto"/>
              <w:right w:val="nil"/>
            </w:tcBorders>
            <w:shd w:val="clear" w:color="auto" w:fill="auto"/>
            <w:hideMark/>
          </w:tcPr>
          <w:p w14:paraId="0B5D95C1"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"Resilience means the capacity of a social-ecological system (e.g. agricultural landscapes), which changes while maintaining the key ecosystem functions and processes, and supporting human livelihoods and wellbeing" [...] "Within this context, the resilience of the farming system means the capacity of the system to ensure the provision of the system functions in the face of complex challenges"</w:t>
            </w:r>
          </w:p>
        </w:tc>
        <w:tc>
          <w:tcPr>
            <w:tcW w:w="3160" w:type="dxa"/>
            <w:tcBorders>
              <w:top w:val="single" w:sz="8" w:space="0" w:color="auto"/>
              <w:left w:val="nil"/>
              <w:bottom w:val="single" w:sz="8" w:space="0" w:color="auto"/>
              <w:right w:val="nil"/>
            </w:tcBorders>
            <w:shd w:val="clear" w:color="auto" w:fill="auto"/>
            <w:hideMark/>
          </w:tcPr>
          <w:p w14:paraId="2046CBE8"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w:t>
            </w:r>
          </w:p>
        </w:tc>
      </w:tr>
      <w:tr w:rsidR="006F32B6" w:rsidRPr="006F32B6" w14:paraId="263E9BAC" w14:textId="77777777" w:rsidTr="006F32B6">
        <w:trPr>
          <w:trHeight w:val="2790"/>
        </w:trPr>
        <w:tc>
          <w:tcPr>
            <w:tcW w:w="3060" w:type="dxa"/>
            <w:tcBorders>
              <w:top w:val="nil"/>
              <w:left w:val="nil"/>
              <w:bottom w:val="nil"/>
              <w:right w:val="nil"/>
            </w:tcBorders>
            <w:shd w:val="clear" w:color="auto" w:fill="auto"/>
            <w:noWrap/>
            <w:hideMark/>
          </w:tcPr>
          <w:p w14:paraId="18C2B3ED"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lastRenderedPageBreak/>
              <w:t>Chaudhary et al., 2022</w:t>
            </w:r>
          </w:p>
        </w:tc>
        <w:tc>
          <w:tcPr>
            <w:tcW w:w="5940" w:type="dxa"/>
            <w:tcBorders>
              <w:top w:val="nil"/>
              <w:left w:val="nil"/>
              <w:bottom w:val="nil"/>
              <w:right w:val="nil"/>
            </w:tcBorders>
            <w:shd w:val="clear" w:color="auto" w:fill="auto"/>
            <w:hideMark/>
          </w:tcPr>
          <w:p w14:paraId="007D452C"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"Robustness of the system that can reduce climatic stresses and impacts, as well as dealing with future risks"</w:t>
            </w:r>
          </w:p>
        </w:tc>
        <w:tc>
          <w:tcPr>
            <w:tcW w:w="3160" w:type="dxa"/>
            <w:tcBorders>
              <w:top w:val="nil"/>
              <w:left w:val="nil"/>
              <w:bottom w:val="nil"/>
              <w:right w:val="nil"/>
            </w:tcBorders>
            <w:shd w:val="clear" w:color="auto" w:fill="auto"/>
            <w:hideMark/>
          </w:tcPr>
          <w:p w14:paraId="60D353B1"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Adger</w:t>
            </w:r>
            <w:proofErr w:type="spellEnd"/>
            <w:r w:rsidRPr="006F32B6">
              <w:rPr>
                <w:rFonts w:ascii="Times New Roman" w:eastAsia="Times New Roman" w:hAnsi="Times New Roman" w:cs="Times New Roman"/>
                <w:color w:val="000000"/>
                <w:lang w:eastAsia="en-GB"/>
              </w:rPr>
              <w:t>, 2006; Folke, 2006; Speranza, 2010; IPCC, 2014</w:t>
            </w:r>
          </w:p>
        </w:tc>
      </w:tr>
      <w:tr w:rsidR="006F32B6" w:rsidRPr="006F32B6" w14:paraId="69029137" w14:textId="77777777" w:rsidTr="006F32B6">
        <w:trPr>
          <w:trHeight w:val="300"/>
        </w:trPr>
        <w:tc>
          <w:tcPr>
            <w:tcW w:w="3060" w:type="dxa"/>
            <w:tcBorders>
              <w:top w:val="single" w:sz="4" w:space="0" w:color="auto"/>
              <w:left w:val="nil"/>
              <w:bottom w:val="single" w:sz="4" w:space="0" w:color="auto"/>
              <w:right w:val="nil"/>
            </w:tcBorders>
            <w:shd w:val="clear" w:color="auto" w:fill="auto"/>
            <w:noWrap/>
            <w:hideMark/>
          </w:tcPr>
          <w:p w14:paraId="4AE6E9C7"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Collins et al., 2023</w:t>
            </w:r>
          </w:p>
        </w:tc>
        <w:tc>
          <w:tcPr>
            <w:tcW w:w="5940" w:type="dxa"/>
            <w:tcBorders>
              <w:top w:val="single" w:sz="8" w:space="0" w:color="auto"/>
              <w:left w:val="nil"/>
              <w:bottom w:val="single" w:sz="8" w:space="0" w:color="auto"/>
              <w:right w:val="nil"/>
            </w:tcBorders>
            <w:shd w:val="clear" w:color="auto" w:fill="auto"/>
            <w:hideMark/>
          </w:tcPr>
          <w:p w14:paraId="17A35E66"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c>
          <w:tcPr>
            <w:tcW w:w="3160" w:type="dxa"/>
            <w:tcBorders>
              <w:top w:val="single" w:sz="8" w:space="0" w:color="auto"/>
              <w:left w:val="nil"/>
              <w:bottom w:val="single" w:sz="8" w:space="0" w:color="auto"/>
              <w:right w:val="nil"/>
            </w:tcBorders>
            <w:shd w:val="clear" w:color="auto" w:fill="auto"/>
            <w:hideMark/>
          </w:tcPr>
          <w:p w14:paraId="71692021"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r>
      <w:tr w:rsidR="006F32B6" w:rsidRPr="006F32B6" w14:paraId="0B4D1050" w14:textId="77777777" w:rsidTr="006F32B6">
        <w:trPr>
          <w:trHeight w:val="1392"/>
        </w:trPr>
        <w:tc>
          <w:tcPr>
            <w:tcW w:w="3060" w:type="dxa"/>
            <w:tcBorders>
              <w:top w:val="nil"/>
              <w:left w:val="nil"/>
              <w:bottom w:val="single" w:sz="4" w:space="0" w:color="auto"/>
              <w:right w:val="nil"/>
            </w:tcBorders>
            <w:shd w:val="clear" w:color="auto" w:fill="auto"/>
            <w:noWrap/>
            <w:hideMark/>
          </w:tcPr>
          <w:p w14:paraId="2289D54E"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Cradock-Henry, 2021</w:t>
            </w:r>
          </w:p>
        </w:tc>
        <w:tc>
          <w:tcPr>
            <w:tcW w:w="5940" w:type="dxa"/>
            <w:tcBorders>
              <w:top w:val="nil"/>
              <w:left w:val="nil"/>
              <w:bottom w:val="single" w:sz="8" w:space="0" w:color="auto"/>
              <w:right w:val="nil"/>
            </w:tcBorders>
            <w:shd w:val="clear" w:color="auto" w:fill="auto"/>
            <w:hideMark/>
          </w:tcPr>
          <w:p w14:paraId="1CC8E183"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xml:space="preserve">Combination of socio-ecological resilience and disaster resilience concepts. "examines the interrelationships between human activity and resource use and the impact those activities and uses have on ecological systems" and "considers the ways in which individuals and communities respond to risks" </w:t>
            </w:r>
          </w:p>
        </w:tc>
        <w:tc>
          <w:tcPr>
            <w:tcW w:w="3160" w:type="dxa"/>
            <w:tcBorders>
              <w:top w:val="nil"/>
              <w:left w:val="nil"/>
              <w:bottom w:val="single" w:sz="8" w:space="0" w:color="auto"/>
              <w:right w:val="nil"/>
            </w:tcBorders>
            <w:shd w:val="clear" w:color="auto" w:fill="auto"/>
            <w:hideMark/>
          </w:tcPr>
          <w:p w14:paraId="61801FB3"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Adger</w:t>
            </w:r>
            <w:proofErr w:type="spellEnd"/>
            <w:r w:rsidRPr="006F32B6">
              <w:rPr>
                <w:rFonts w:ascii="Times New Roman" w:eastAsia="Times New Roman" w:hAnsi="Times New Roman" w:cs="Times New Roman"/>
                <w:color w:val="000000"/>
                <w:lang w:eastAsia="en-GB"/>
              </w:rPr>
              <w:t xml:space="preserve"> et al. 2005, Nayak and Berkes 2014, Brown and Westaway 2011, Alexander 2013, Spector et al. 2019</w:t>
            </w:r>
          </w:p>
        </w:tc>
      </w:tr>
      <w:tr w:rsidR="006F32B6" w:rsidRPr="006F32B6" w14:paraId="3F72BBB7" w14:textId="77777777" w:rsidTr="006F32B6">
        <w:trPr>
          <w:trHeight w:val="300"/>
        </w:trPr>
        <w:tc>
          <w:tcPr>
            <w:tcW w:w="3060" w:type="dxa"/>
            <w:tcBorders>
              <w:top w:val="nil"/>
              <w:left w:val="nil"/>
              <w:bottom w:val="nil"/>
              <w:right w:val="nil"/>
            </w:tcBorders>
            <w:shd w:val="clear" w:color="auto" w:fill="auto"/>
            <w:noWrap/>
            <w:hideMark/>
          </w:tcPr>
          <w:p w14:paraId="26779153"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Dalgliesh et al., 2016</w:t>
            </w:r>
          </w:p>
        </w:tc>
        <w:tc>
          <w:tcPr>
            <w:tcW w:w="5940" w:type="dxa"/>
            <w:tcBorders>
              <w:top w:val="nil"/>
              <w:left w:val="nil"/>
              <w:bottom w:val="nil"/>
              <w:right w:val="nil"/>
            </w:tcBorders>
            <w:shd w:val="clear" w:color="auto" w:fill="auto"/>
            <w:hideMark/>
          </w:tcPr>
          <w:p w14:paraId="540EE2D6"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c>
          <w:tcPr>
            <w:tcW w:w="3160" w:type="dxa"/>
            <w:tcBorders>
              <w:top w:val="nil"/>
              <w:left w:val="nil"/>
              <w:bottom w:val="nil"/>
              <w:right w:val="nil"/>
            </w:tcBorders>
            <w:shd w:val="clear" w:color="auto" w:fill="auto"/>
            <w:noWrap/>
            <w:hideMark/>
          </w:tcPr>
          <w:p w14:paraId="5A2102BC"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
        </w:tc>
      </w:tr>
      <w:tr w:rsidR="006F32B6" w:rsidRPr="006F32B6" w14:paraId="6F1F9D93" w14:textId="77777777" w:rsidTr="006F32B6">
        <w:trPr>
          <w:trHeight w:val="588"/>
        </w:trPr>
        <w:tc>
          <w:tcPr>
            <w:tcW w:w="3060" w:type="dxa"/>
            <w:tcBorders>
              <w:top w:val="single" w:sz="4" w:space="0" w:color="auto"/>
              <w:left w:val="nil"/>
              <w:bottom w:val="single" w:sz="4" w:space="0" w:color="auto"/>
              <w:right w:val="nil"/>
            </w:tcBorders>
            <w:shd w:val="clear" w:color="auto" w:fill="auto"/>
            <w:noWrap/>
            <w:hideMark/>
          </w:tcPr>
          <w:p w14:paraId="2F983805"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Daniele et al., 2022</w:t>
            </w:r>
          </w:p>
        </w:tc>
        <w:tc>
          <w:tcPr>
            <w:tcW w:w="5940" w:type="dxa"/>
            <w:tcBorders>
              <w:top w:val="single" w:sz="8" w:space="0" w:color="auto"/>
              <w:left w:val="nil"/>
              <w:bottom w:val="single" w:sz="8" w:space="0" w:color="auto"/>
              <w:right w:val="nil"/>
            </w:tcBorders>
            <w:shd w:val="clear" w:color="auto" w:fill="auto"/>
            <w:hideMark/>
          </w:tcPr>
          <w:p w14:paraId="7DA9D7CD"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Capacity of a system to keep delivering its essential functions despite challenges</w:t>
            </w:r>
          </w:p>
        </w:tc>
        <w:tc>
          <w:tcPr>
            <w:tcW w:w="3160" w:type="dxa"/>
            <w:tcBorders>
              <w:top w:val="single" w:sz="8" w:space="0" w:color="auto"/>
              <w:left w:val="nil"/>
              <w:bottom w:val="single" w:sz="8" w:space="0" w:color="auto"/>
              <w:right w:val="nil"/>
            </w:tcBorders>
            <w:shd w:val="clear" w:color="auto" w:fill="auto"/>
            <w:hideMark/>
          </w:tcPr>
          <w:p w14:paraId="77C8D851"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Meuwissen et al. 2019</w:t>
            </w:r>
          </w:p>
        </w:tc>
      </w:tr>
      <w:tr w:rsidR="006F32B6" w:rsidRPr="006F32B6" w14:paraId="0B48BDD5" w14:textId="77777777" w:rsidTr="006F32B6">
        <w:trPr>
          <w:trHeight w:val="300"/>
        </w:trPr>
        <w:tc>
          <w:tcPr>
            <w:tcW w:w="3060" w:type="dxa"/>
            <w:tcBorders>
              <w:top w:val="nil"/>
              <w:left w:val="nil"/>
              <w:bottom w:val="nil"/>
              <w:right w:val="nil"/>
            </w:tcBorders>
            <w:shd w:val="clear" w:color="auto" w:fill="auto"/>
            <w:noWrap/>
            <w:hideMark/>
          </w:tcPr>
          <w:p w14:paraId="2AECFDE0"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Dardonville et al., 2022</w:t>
            </w:r>
          </w:p>
        </w:tc>
        <w:tc>
          <w:tcPr>
            <w:tcW w:w="5940" w:type="dxa"/>
            <w:tcBorders>
              <w:top w:val="nil"/>
              <w:left w:val="nil"/>
              <w:bottom w:val="nil"/>
              <w:right w:val="nil"/>
            </w:tcBorders>
            <w:shd w:val="clear" w:color="auto" w:fill="auto"/>
            <w:hideMark/>
          </w:tcPr>
          <w:p w14:paraId="60D43C63"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“Ability to ensure provision of system functions”</w:t>
            </w:r>
          </w:p>
        </w:tc>
        <w:tc>
          <w:tcPr>
            <w:tcW w:w="3160" w:type="dxa"/>
            <w:tcBorders>
              <w:top w:val="nil"/>
              <w:left w:val="nil"/>
              <w:bottom w:val="nil"/>
              <w:right w:val="nil"/>
            </w:tcBorders>
            <w:shd w:val="clear" w:color="auto" w:fill="auto"/>
            <w:hideMark/>
          </w:tcPr>
          <w:p w14:paraId="491D7CC7"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Meuwissen et al., 2019</w:t>
            </w:r>
          </w:p>
        </w:tc>
      </w:tr>
      <w:tr w:rsidR="006F32B6" w:rsidRPr="00AF6801" w14:paraId="55C84C00" w14:textId="77777777" w:rsidTr="006F32B6">
        <w:trPr>
          <w:trHeight w:val="564"/>
        </w:trPr>
        <w:tc>
          <w:tcPr>
            <w:tcW w:w="3060" w:type="dxa"/>
            <w:tcBorders>
              <w:top w:val="single" w:sz="4" w:space="0" w:color="auto"/>
              <w:left w:val="nil"/>
              <w:bottom w:val="single" w:sz="4" w:space="0" w:color="auto"/>
              <w:right w:val="nil"/>
            </w:tcBorders>
            <w:shd w:val="clear" w:color="auto" w:fill="auto"/>
            <w:noWrap/>
            <w:hideMark/>
          </w:tcPr>
          <w:p w14:paraId="00A73833"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Daugstad</w:t>
            </w:r>
            <w:proofErr w:type="spellEnd"/>
            <w:r w:rsidRPr="006F32B6">
              <w:rPr>
                <w:rFonts w:ascii="Times New Roman" w:eastAsia="Times New Roman" w:hAnsi="Times New Roman" w:cs="Times New Roman"/>
                <w:color w:val="000000"/>
                <w:lang w:eastAsia="en-GB"/>
              </w:rPr>
              <w:t>, 2019</w:t>
            </w:r>
          </w:p>
        </w:tc>
        <w:tc>
          <w:tcPr>
            <w:tcW w:w="5940" w:type="dxa"/>
            <w:tcBorders>
              <w:top w:val="single" w:sz="8" w:space="0" w:color="auto"/>
              <w:left w:val="nil"/>
              <w:bottom w:val="single" w:sz="8" w:space="0" w:color="auto"/>
              <w:right w:val="nil"/>
            </w:tcBorders>
            <w:shd w:val="clear" w:color="auto" w:fill="auto"/>
            <w:hideMark/>
          </w:tcPr>
          <w:p w14:paraId="2A23A943"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"Farmer’s capability to navigate change in relations that are never stable"  mobilizing buffer, adaptive and transformative capability</w:t>
            </w:r>
          </w:p>
        </w:tc>
        <w:tc>
          <w:tcPr>
            <w:tcW w:w="3160" w:type="dxa"/>
            <w:tcBorders>
              <w:top w:val="single" w:sz="8" w:space="0" w:color="auto"/>
              <w:left w:val="nil"/>
              <w:bottom w:val="single" w:sz="8" w:space="0" w:color="auto"/>
              <w:right w:val="nil"/>
            </w:tcBorders>
            <w:shd w:val="clear" w:color="auto" w:fill="auto"/>
            <w:hideMark/>
          </w:tcPr>
          <w:p w14:paraId="352133AD" w14:textId="77777777" w:rsidR="006F32B6" w:rsidRPr="006F32B6" w:rsidRDefault="006F32B6" w:rsidP="006F32B6">
            <w:pPr>
              <w:spacing w:after="0" w:line="276" w:lineRule="auto"/>
              <w:rPr>
                <w:rFonts w:ascii="Times New Roman" w:eastAsia="Times New Roman" w:hAnsi="Times New Roman" w:cs="Times New Roman"/>
                <w:color w:val="000000"/>
                <w:lang w:val="fr-FR" w:eastAsia="en-GB"/>
              </w:rPr>
            </w:pPr>
            <w:r w:rsidRPr="006F32B6">
              <w:rPr>
                <w:rFonts w:ascii="Times New Roman" w:eastAsia="Times New Roman" w:hAnsi="Times New Roman" w:cs="Times New Roman"/>
                <w:color w:val="000000"/>
                <w:lang w:val="fr-FR" w:eastAsia="en-GB"/>
              </w:rPr>
              <w:t xml:space="preserve">Wilson et al. 2018; </w:t>
            </w:r>
            <w:proofErr w:type="spellStart"/>
            <w:r w:rsidRPr="006F32B6">
              <w:rPr>
                <w:rFonts w:ascii="Times New Roman" w:eastAsia="Times New Roman" w:hAnsi="Times New Roman" w:cs="Times New Roman"/>
                <w:color w:val="000000"/>
                <w:lang w:val="fr-FR" w:eastAsia="en-GB"/>
              </w:rPr>
              <w:t>Schermer</w:t>
            </w:r>
            <w:proofErr w:type="spellEnd"/>
            <w:r w:rsidRPr="006F32B6">
              <w:rPr>
                <w:rFonts w:ascii="Times New Roman" w:eastAsia="Times New Roman" w:hAnsi="Times New Roman" w:cs="Times New Roman"/>
                <w:color w:val="000000"/>
                <w:lang w:val="fr-FR" w:eastAsia="en-GB"/>
              </w:rPr>
              <w:t xml:space="preserve"> et al. 2016; </w:t>
            </w:r>
            <w:proofErr w:type="spellStart"/>
            <w:r w:rsidRPr="006F32B6">
              <w:rPr>
                <w:rFonts w:ascii="Times New Roman" w:eastAsia="Times New Roman" w:hAnsi="Times New Roman" w:cs="Times New Roman"/>
                <w:color w:val="000000"/>
                <w:lang w:val="fr-FR" w:eastAsia="en-GB"/>
              </w:rPr>
              <w:t>Darnhofer</w:t>
            </w:r>
            <w:proofErr w:type="spellEnd"/>
            <w:r w:rsidRPr="006F32B6">
              <w:rPr>
                <w:rFonts w:ascii="Times New Roman" w:eastAsia="Times New Roman" w:hAnsi="Times New Roman" w:cs="Times New Roman"/>
                <w:color w:val="000000"/>
                <w:lang w:val="fr-FR" w:eastAsia="en-GB"/>
              </w:rPr>
              <w:t xml:space="preserve"> 2014</w:t>
            </w:r>
          </w:p>
        </w:tc>
      </w:tr>
      <w:tr w:rsidR="006F32B6" w:rsidRPr="006F32B6" w14:paraId="01D77647" w14:textId="77777777" w:rsidTr="006F32B6">
        <w:trPr>
          <w:trHeight w:val="564"/>
        </w:trPr>
        <w:tc>
          <w:tcPr>
            <w:tcW w:w="3060" w:type="dxa"/>
            <w:tcBorders>
              <w:top w:val="nil"/>
              <w:left w:val="nil"/>
              <w:bottom w:val="nil"/>
              <w:right w:val="nil"/>
            </w:tcBorders>
            <w:shd w:val="clear" w:color="auto" w:fill="auto"/>
            <w:noWrap/>
            <w:hideMark/>
          </w:tcPr>
          <w:p w14:paraId="00187D86"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Diserens et al., 2018</w:t>
            </w:r>
          </w:p>
        </w:tc>
        <w:tc>
          <w:tcPr>
            <w:tcW w:w="5940" w:type="dxa"/>
            <w:tcBorders>
              <w:top w:val="nil"/>
              <w:left w:val="nil"/>
              <w:bottom w:val="nil"/>
              <w:right w:val="nil"/>
            </w:tcBorders>
            <w:shd w:val="clear" w:color="auto" w:fill="auto"/>
            <w:hideMark/>
          </w:tcPr>
          <w:p w14:paraId="46942D7C"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"Resilience is the ability of a system to recover, reorganize and evolve following external stresses and disturbances"</w:t>
            </w:r>
          </w:p>
        </w:tc>
        <w:tc>
          <w:tcPr>
            <w:tcW w:w="3160" w:type="dxa"/>
            <w:tcBorders>
              <w:top w:val="nil"/>
              <w:left w:val="nil"/>
              <w:bottom w:val="nil"/>
              <w:right w:val="nil"/>
            </w:tcBorders>
            <w:shd w:val="clear" w:color="auto" w:fill="auto"/>
            <w:hideMark/>
          </w:tcPr>
          <w:p w14:paraId="3DA1C38B"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Choptiany et al. 2015</w:t>
            </w:r>
          </w:p>
        </w:tc>
      </w:tr>
      <w:tr w:rsidR="006F32B6" w:rsidRPr="006F32B6" w14:paraId="0CD72331" w14:textId="77777777" w:rsidTr="006F32B6">
        <w:trPr>
          <w:trHeight w:val="300"/>
        </w:trPr>
        <w:tc>
          <w:tcPr>
            <w:tcW w:w="3060" w:type="dxa"/>
            <w:tcBorders>
              <w:top w:val="single" w:sz="4" w:space="0" w:color="auto"/>
              <w:left w:val="nil"/>
              <w:bottom w:val="single" w:sz="4" w:space="0" w:color="auto"/>
              <w:right w:val="nil"/>
            </w:tcBorders>
            <w:shd w:val="clear" w:color="auto" w:fill="auto"/>
            <w:noWrap/>
            <w:hideMark/>
          </w:tcPr>
          <w:p w14:paraId="41E13FE9"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Dobkowtiz</w:t>
            </w:r>
            <w:proofErr w:type="spellEnd"/>
            <w:r w:rsidRPr="006F32B6">
              <w:rPr>
                <w:rFonts w:ascii="Times New Roman" w:eastAsia="Times New Roman" w:hAnsi="Times New Roman" w:cs="Times New Roman"/>
                <w:color w:val="000000"/>
                <w:lang w:eastAsia="en-GB"/>
              </w:rPr>
              <w:t xml:space="preserve"> et al., 2020</w:t>
            </w:r>
          </w:p>
        </w:tc>
        <w:tc>
          <w:tcPr>
            <w:tcW w:w="5940" w:type="dxa"/>
            <w:tcBorders>
              <w:top w:val="single" w:sz="8" w:space="0" w:color="auto"/>
              <w:left w:val="nil"/>
              <w:bottom w:val="single" w:sz="8" w:space="0" w:color="auto"/>
              <w:right w:val="nil"/>
            </w:tcBorders>
            <w:shd w:val="clear" w:color="auto" w:fill="auto"/>
            <w:hideMark/>
          </w:tcPr>
          <w:p w14:paraId="795D9760"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"opposite of vulnerability"</w:t>
            </w:r>
          </w:p>
        </w:tc>
        <w:tc>
          <w:tcPr>
            <w:tcW w:w="3160" w:type="dxa"/>
            <w:tcBorders>
              <w:top w:val="single" w:sz="8" w:space="0" w:color="auto"/>
              <w:left w:val="nil"/>
              <w:bottom w:val="single" w:sz="8" w:space="0" w:color="auto"/>
              <w:right w:val="nil"/>
            </w:tcBorders>
            <w:shd w:val="clear" w:color="auto" w:fill="auto"/>
            <w:noWrap/>
            <w:hideMark/>
          </w:tcPr>
          <w:p w14:paraId="16852488"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Douxchamp</w:t>
            </w:r>
            <w:proofErr w:type="spellEnd"/>
            <w:r w:rsidRPr="006F32B6">
              <w:rPr>
                <w:rFonts w:ascii="Times New Roman" w:eastAsia="Times New Roman" w:hAnsi="Times New Roman" w:cs="Times New Roman"/>
                <w:color w:val="000000"/>
                <w:lang w:eastAsia="en-GB"/>
              </w:rPr>
              <w:t xml:space="preserve"> et al. 2017</w:t>
            </w:r>
          </w:p>
        </w:tc>
      </w:tr>
      <w:tr w:rsidR="006F32B6" w:rsidRPr="006F32B6" w14:paraId="72EFAD29" w14:textId="77777777" w:rsidTr="006F32B6">
        <w:trPr>
          <w:trHeight w:val="840"/>
        </w:trPr>
        <w:tc>
          <w:tcPr>
            <w:tcW w:w="3060" w:type="dxa"/>
            <w:tcBorders>
              <w:top w:val="nil"/>
              <w:left w:val="nil"/>
              <w:bottom w:val="nil"/>
              <w:right w:val="nil"/>
            </w:tcBorders>
            <w:shd w:val="clear" w:color="auto" w:fill="auto"/>
            <w:noWrap/>
            <w:hideMark/>
          </w:tcPr>
          <w:p w14:paraId="346DC19A"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Duncan et al., 2017</w:t>
            </w:r>
          </w:p>
        </w:tc>
        <w:tc>
          <w:tcPr>
            <w:tcW w:w="5940" w:type="dxa"/>
            <w:tcBorders>
              <w:top w:val="nil"/>
              <w:left w:val="nil"/>
              <w:bottom w:val="nil"/>
              <w:right w:val="nil"/>
            </w:tcBorders>
            <w:shd w:val="clear" w:color="auto" w:fill="auto"/>
            <w:hideMark/>
          </w:tcPr>
          <w:p w14:paraId="71A910A0"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xml:space="preserve">"capacity, possessed by a unit, </w:t>
            </w:r>
            <w:r w:rsidRPr="006F32B6">
              <w:rPr>
                <w:rFonts w:ascii="Times New Roman" w:eastAsia="Times New Roman" w:hAnsi="Times New Roman" w:cs="Times New Roman"/>
                <w:i/>
                <w:iCs/>
                <w:color w:val="000000"/>
                <w:lang w:eastAsia="en-GB"/>
              </w:rPr>
              <w:t>e.g.</w:t>
            </w:r>
            <w:r w:rsidRPr="006F32B6">
              <w:rPr>
                <w:rFonts w:ascii="Times New Roman" w:eastAsia="Times New Roman" w:hAnsi="Times New Roman" w:cs="Times New Roman"/>
                <w:color w:val="000000"/>
                <w:lang w:eastAsia="en-GB"/>
              </w:rPr>
              <w:t xml:space="preserve"> household, community, or country, to maintain or improve standards of living while facing an uncertain risk landscape"</w:t>
            </w:r>
          </w:p>
        </w:tc>
        <w:tc>
          <w:tcPr>
            <w:tcW w:w="3160" w:type="dxa"/>
            <w:tcBorders>
              <w:top w:val="nil"/>
              <w:left w:val="nil"/>
              <w:bottom w:val="nil"/>
              <w:right w:val="nil"/>
            </w:tcBorders>
            <w:shd w:val="clear" w:color="auto" w:fill="auto"/>
            <w:noWrap/>
            <w:hideMark/>
          </w:tcPr>
          <w:p w14:paraId="7DEFC89A"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Barrett and Constas 2014</w:t>
            </w:r>
          </w:p>
        </w:tc>
      </w:tr>
      <w:tr w:rsidR="006F32B6" w:rsidRPr="006F32B6" w14:paraId="566D8BE3" w14:textId="77777777" w:rsidTr="006F32B6">
        <w:trPr>
          <w:trHeight w:val="876"/>
        </w:trPr>
        <w:tc>
          <w:tcPr>
            <w:tcW w:w="3060" w:type="dxa"/>
            <w:tcBorders>
              <w:top w:val="single" w:sz="4" w:space="0" w:color="auto"/>
              <w:left w:val="nil"/>
              <w:bottom w:val="single" w:sz="4" w:space="0" w:color="auto"/>
              <w:right w:val="nil"/>
            </w:tcBorders>
            <w:shd w:val="clear" w:color="auto" w:fill="auto"/>
            <w:noWrap/>
            <w:hideMark/>
          </w:tcPr>
          <w:p w14:paraId="6FD2E96A"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lastRenderedPageBreak/>
              <w:t xml:space="preserve">El </w:t>
            </w:r>
            <w:proofErr w:type="spellStart"/>
            <w:r w:rsidRPr="006F32B6">
              <w:rPr>
                <w:rFonts w:ascii="Times New Roman" w:eastAsia="Times New Roman" w:hAnsi="Times New Roman" w:cs="Times New Roman"/>
                <w:color w:val="000000"/>
                <w:lang w:eastAsia="en-GB"/>
              </w:rPr>
              <w:t>Ayadi</w:t>
            </w:r>
            <w:proofErr w:type="spellEnd"/>
            <w:r w:rsidRPr="006F32B6">
              <w:rPr>
                <w:rFonts w:ascii="Times New Roman" w:eastAsia="Times New Roman" w:hAnsi="Times New Roman" w:cs="Times New Roman"/>
                <w:color w:val="000000"/>
                <w:lang w:eastAsia="en-GB"/>
              </w:rPr>
              <w:t xml:space="preserve"> et al., 2021</w:t>
            </w:r>
          </w:p>
        </w:tc>
        <w:tc>
          <w:tcPr>
            <w:tcW w:w="5940" w:type="dxa"/>
            <w:tcBorders>
              <w:top w:val="single" w:sz="8" w:space="0" w:color="auto"/>
              <w:left w:val="nil"/>
              <w:bottom w:val="single" w:sz="8" w:space="0" w:color="auto"/>
              <w:right w:val="nil"/>
            </w:tcBorders>
            <w:shd w:val="clear" w:color="auto" w:fill="auto"/>
            <w:hideMark/>
          </w:tcPr>
          <w:p w14:paraId="09517A87"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Capacity of a system to maintain its long-term functions, i.e. its capacity to provide fodder and water to herds, as well as its multipurpose character</w:t>
            </w:r>
          </w:p>
        </w:tc>
        <w:tc>
          <w:tcPr>
            <w:tcW w:w="3160" w:type="dxa"/>
            <w:tcBorders>
              <w:top w:val="single" w:sz="8" w:space="0" w:color="auto"/>
              <w:left w:val="nil"/>
              <w:bottom w:val="single" w:sz="8" w:space="0" w:color="auto"/>
              <w:right w:val="nil"/>
            </w:tcBorders>
            <w:shd w:val="clear" w:color="auto" w:fill="auto"/>
            <w:hideMark/>
          </w:tcPr>
          <w:p w14:paraId="15D639A1"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Nettier</w:t>
            </w:r>
            <w:proofErr w:type="spellEnd"/>
            <w:r w:rsidRPr="006F32B6">
              <w:rPr>
                <w:rFonts w:ascii="Times New Roman" w:eastAsia="Times New Roman" w:hAnsi="Times New Roman" w:cs="Times New Roman"/>
                <w:color w:val="000000"/>
                <w:lang w:eastAsia="en-GB"/>
              </w:rPr>
              <w:t xml:space="preserve"> et al. 2017</w:t>
            </w:r>
          </w:p>
        </w:tc>
      </w:tr>
      <w:tr w:rsidR="006F32B6" w:rsidRPr="00AF6801" w14:paraId="06BD50BF" w14:textId="77777777" w:rsidTr="006F32B6">
        <w:trPr>
          <w:trHeight w:val="1392"/>
        </w:trPr>
        <w:tc>
          <w:tcPr>
            <w:tcW w:w="3060" w:type="dxa"/>
            <w:tcBorders>
              <w:top w:val="nil"/>
              <w:left w:val="nil"/>
              <w:bottom w:val="nil"/>
              <w:right w:val="nil"/>
            </w:tcBorders>
            <w:shd w:val="clear" w:color="auto" w:fill="auto"/>
            <w:noWrap/>
            <w:hideMark/>
          </w:tcPr>
          <w:p w14:paraId="439C585C"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Griffiths and Evans, 2015</w:t>
            </w:r>
          </w:p>
        </w:tc>
        <w:tc>
          <w:tcPr>
            <w:tcW w:w="5940" w:type="dxa"/>
            <w:tcBorders>
              <w:top w:val="nil"/>
              <w:left w:val="nil"/>
              <w:bottom w:val="nil"/>
              <w:right w:val="nil"/>
            </w:tcBorders>
            <w:shd w:val="clear" w:color="auto" w:fill="auto"/>
            <w:hideMark/>
          </w:tcPr>
          <w:p w14:paraId="5FF6938B"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Set of "flexible responses to system shocks (), that enables them to ‘bounce forward’" through a "reorganization of the current farm system, often within the constraints of culture and tradition, but one which also incorporates actions and measures intended to limit future vulnerability"</w:t>
            </w:r>
          </w:p>
        </w:tc>
        <w:tc>
          <w:tcPr>
            <w:tcW w:w="3160" w:type="dxa"/>
            <w:tcBorders>
              <w:top w:val="nil"/>
              <w:left w:val="nil"/>
              <w:bottom w:val="nil"/>
              <w:right w:val="nil"/>
            </w:tcBorders>
            <w:shd w:val="clear" w:color="auto" w:fill="auto"/>
            <w:hideMark/>
          </w:tcPr>
          <w:p w14:paraId="11871856" w14:textId="77777777" w:rsidR="006F32B6" w:rsidRPr="006F32B6" w:rsidRDefault="006F32B6" w:rsidP="006F32B6">
            <w:pPr>
              <w:spacing w:after="0" w:line="276" w:lineRule="auto"/>
              <w:rPr>
                <w:rFonts w:ascii="Times New Roman" w:eastAsia="Times New Roman" w:hAnsi="Times New Roman" w:cs="Times New Roman"/>
                <w:color w:val="000000"/>
                <w:lang w:val="fr-FR" w:eastAsia="en-GB"/>
              </w:rPr>
            </w:pPr>
            <w:proofErr w:type="spellStart"/>
            <w:r w:rsidRPr="006F32B6">
              <w:rPr>
                <w:rFonts w:ascii="Times New Roman" w:eastAsia="Times New Roman" w:hAnsi="Times New Roman" w:cs="Times New Roman"/>
                <w:color w:val="000000"/>
                <w:lang w:val="fr-FR" w:eastAsia="en-GB"/>
              </w:rPr>
              <w:t>Comfort</w:t>
            </w:r>
            <w:proofErr w:type="spellEnd"/>
            <w:r w:rsidRPr="006F32B6">
              <w:rPr>
                <w:rFonts w:ascii="Times New Roman" w:eastAsia="Times New Roman" w:hAnsi="Times New Roman" w:cs="Times New Roman"/>
                <w:color w:val="000000"/>
                <w:lang w:val="fr-FR" w:eastAsia="en-GB"/>
              </w:rPr>
              <w:t xml:space="preserve"> et al. 2001; Cutter et al. 2008; IPCC 2014; Sinclair et al. 2014, </w:t>
            </w:r>
            <w:proofErr w:type="spellStart"/>
            <w:r w:rsidRPr="006F32B6">
              <w:rPr>
                <w:rFonts w:ascii="Times New Roman" w:eastAsia="Times New Roman" w:hAnsi="Times New Roman" w:cs="Times New Roman"/>
                <w:color w:val="000000"/>
                <w:lang w:val="fr-FR" w:eastAsia="en-GB"/>
              </w:rPr>
              <w:t>Milestad</w:t>
            </w:r>
            <w:proofErr w:type="spellEnd"/>
            <w:r w:rsidRPr="006F32B6">
              <w:rPr>
                <w:rFonts w:ascii="Times New Roman" w:eastAsia="Times New Roman" w:hAnsi="Times New Roman" w:cs="Times New Roman"/>
                <w:color w:val="000000"/>
                <w:lang w:val="fr-FR" w:eastAsia="en-GB"/>
              </w:rPr>
              <w:t xml:space="preserve"> and </w:t>
            </w:r>
            <w:proofErr w:type="spellStart"/>
            <w:r w:rsidRPr="006F32B6">
              <w:rPr>
                <w:rFonts w:ascii="Times New Roman" w:eastAsia="Times New Roman" w:hAnsi="Times New Roman" w:cs="Times New Roman"/>
                <w:color w:val="000000"/>
                <w:lang w:val="fr-FR" w:eastAsia="en-GB"/>
              </w:rPr>
              <w:t>Darnhofer</w:t>
            </w:r>
            <w:proofErr w:type="spellEnd"/>
            <w:r w:rsidRPr="006F32B6">
              <w:rPr>
                <w:rFonts w:ascii="Times New Roman" w:eastAsia="Times New Roman" w:hAnsi="Times New Roman" w:cs="Times New Roman"/>
                <w:color w:val="000000"/>
                <w:lang w:val="fr-FR" w:eastAsia="en-GB"/>
              </w:rPr>
              <w:t xml:space="preserve"> 2003</w:t>
            </w:r>
          </w:p>
        </w:tc>
      </w:tr>
      <w:tr w:rsidR="006F32B6" w:rsidRPr="006F32B6" w14:paraId="718451E0" w14:textId="77777777" w:rsidTr="006F32B6">
        <w:trPr>
          <w:trHeight w:val="588"/>
        </w:trPr>
        <w:tc>
          <w:tcPr>
            <w:tcW w:w="3060" w:type="dxa"/>
            <w:tcBorders>
              <w:top w:val="single" w:sz="4" w:space="0" w:color="auto"/>
              <w:left w:val="nil"/>
              <w:bottom w:val="single" w:sz="4" w:space="0" w:color="auto"/>
              <w:right w:val="nil"/>
            </w:tcBorders>
            <w:shd w:val="clear" w:color="auto" w:fill="auto"/>
            <w:noWrap/>
            <w:hideMark/>
          </w:tcPr>
          <w:p w14:paraId="27CF5707"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Gugissa</w:t>
            </w:r>
            <w:proofErr w:type="spellEnd"/>
            <w:r w:rsidRPr="006F32B6">
              <w:rPr>
                <w:rFonts w:ascii="Times New Roman" w:eastAsia="Times New Roman" w:hAnsi="Times New Roman" w:cs="Times New Roman"/>
                <w:color w:val="000000"/>
                <w:lang w:eastAsia="en-GB"/>
              </w:rPr>
              <w:t xml:space="preserve"> et al., 2022</w:t>
            </w:r>
          </w:p>
        </w:tc>
        <w:tc>
          <w:tcPr>
            <w:tcW w:w="5940" w:type="dxa"/>
            <w:tcBorders>
              <w:top w:val="single" w:sz="8" w:space="0" w:color="auto"/>
              <w:left w:val="nil"/>
              <w:bottom w:val="single" w:sz="8" w:space="0" w:color="auto"/>
              <w:right w:val="nil"/>
            </w:tcBorders>
            <w:shd w:val="clear" w:color="auto" w:fill="auto"/>
            <w:hideMark/>
          </w:tcPr>
          <w:p w14:paraId="584A5E64"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"Ability of a production system to recover, reorganize, and evolve following external stresses and disturbances"</w:t>
            </w:r>
          </w:p>
        </w:tc>
        <w:tc>
          <w:tcPr>
            <w:tcW w:w="3160" w:type="dxa"/>
            <w:tcBorders>
              <w:top w:val="single" w:sz="8" w:space="0" w:color="auto"/>
              <w:left w:val="nil"/>
              <w:bottom w:val="single" w:sz="8" w:space="0" w:color="auto"/>
              <w:right w:val="nil"/>
            </w:tcBorders>
            <w:shd w:val="clear" w:color="auto" w:fill="auto"/>
            <w:hideMark/>
          </w:tcPr>
          <w:p w14:paraId="3813FAAB"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Choptiany et al., 2015</w:t>
            </w:r>
          </w:p>
        </w:tc>
      </w:tr>
      <w:tr w:rsidR="006F32B6" w:rsidRPr="006F32B6" w14:paraId="0B920C73" w14:textId="77777777" w:rsidTr="006F32B6">
        <w:trPr>
          <w:trHeight w:val="1116"/>
        </w:trPr>
        <w:tc>
          <w:tcPr>
            <w:tcW w:w="3060" w:type="dxa"/>
            <w:tcBorders>
              <w:top w:val="nil"/>
              <w:left w:val="nil"/>
              <w:bottom w:val="nil"/>
              <w:right w:val="nil"/>
            </w:tcBorders>
            <w:shd w:val="clear" w:color="auto" w:fill="auto"/>
            <w:noWrap/>
            <w:hideMark/>
          </w:tcPr>
          <w:p w14:paraId="7C4603D2"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Hammond et al., 2013</w:t>
            </w:r>
          </w:p>
        </w:tc>
        <w:tc>
          <w:tcPr>
            <w:tcW w:w="5940" w:type="dxa"/>
            <w:tcBorders>
              <w:top w:val="nil"/>
              <w:left w:val="nil"/>
              <w:bottom w:val="nil"/>
              <w:right w:val="nil"/>
            </w:tcBorders>
            <w:shd w:val="clear" w:color="auto" w:fill="auto"/>
            <w:hideMark/>
          </w:tcPr>
          <w:p w14:paraId="250D7C76"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"amount of change a system can undergo, while retaining similar function and structure" through its "ability to organize itself and to increase its capacity to adapt to changing conditions in the socioeconomic and natural environments"</w:t>
            </w:r>
          </w:p>
        </w:tc>
        <w:tc>
          <w:tcPr>
            <w:tcW w:w="3160" w:type="dxa"/>
            <w:tcBorders>
              <w:top w:val="nil"/>
              <w:left w:val="nil"/>
              <w:bottom w:val="nil"/>
              <w:right w:val="nil"/>
            </w:tcBorders>
            <w:shd w:val="clear" w:color="auto" w:fill="auto"/>
            <w:noWrap/>
            <w:hideMark/>
          </w:tcPr>
          <w:p w14:paraId="116C875F"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The Resilience Alliance 2010</w:t>
            </w:r>
          </w:p>
        </w:tc>
      </w:tr>
      <w:tr w:rsidR="006F32B6" w:rsidRPr="006F32B6" w14:paraId="6D07C6F7" w14:textId="77777777" w:rsidTr="006F32B6">
        <w:trPr>
          <w:trHeight w:val="876"/>
        </w:trPr>
        <w:tc>
          <w:tcPr>
            <w:tcW w:w="3060" w:type="dxa"/>
            <w:tcBorders>
              <w:top w:val="single" w:sz="4" w:space="0" w:color="auto"/>
              <w:left w:val="nil"/>
              <w:bottom w:val="single" w:sz="4" w:space="0" w:color="auto"/>
              <w:right w:val="nil"/>
            </w:tcBorders>
            <w:shd w:val="clear" w:color="auto" w:fill="auto"/>
            <w:noWrap/>
            <w:hideMark/>
          </w:tcPr>
          <w:p w14:paraId="7CF44F72"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Haydari</w:t>
            </w:r>
            <w:proofErr w:type="spellEnd"/>
            <w:r w:rsidRPr="006F32B6">
              <w:rPr>
                <w:rFonts w:ascii="Times New Roman" w:eastAsia="Times New Roman" w:hAnsi="Times New Roman" w:cs="Times New Roman"/>
                <w:color w:val="000000"/>
                <w:lang w:eastAsia="en-GB"/>
              </w:rPr>
              <w:t xml:space="preserve"> et al., 2024</w:t>
            </w:r>
          </w:p>
        </w:tc>
        <w:tc>
          <w:tcPr>
            <w:tcW w:w="5940" w:type="dxa"/>
            <w:tcBorders>
              <w:top w:val="single" w:sz="8" w:space="0" w:color="auto"/>
              <w:left w:val="nil"/>
              <w:bottom w:val="single" w:sz="8" w:space="0" w:color="auto"/>
              <w:right w:val="nil"/>
            </w:tcBorders>
            <w:shd w:val="clear" w:color="auto" w:fill="auto"/>
            <w:hideMark/>
          </w:tcPr>
          <w:p w14:paraId="4398C70B"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Capabilities and potentials in the face of shocks, accidents and natural disasters, including recover and return to a previous state after a disaster</w:t>
            </w:r>
          </w:p>
        </w:tc>
        <w:tc>
          <w:tcPr>
            <w:tcW w:w="3160" w:type="dxa"/>
            <w:tcBorders>
              <w:top w:val="single" w:sz="8" w:space="0" w:color="auto"/>
              <w:left w:val="nil"/>
              <w:bottom w:val="single" w:sz="8" w:space="0" w:color="auto"/>
              <w:right w:val="nil"/>
            </w:tcBorders>
            <w:shd w:val="clear" w:color="auto" w:fill="auto"/>
            <w:hideMark/>
          </w:tcPr>
          <w:p w14:paraId="5718C9EF"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xml:space="preserve">Martini and </w:t>
            </w:r>
            <w:proofErr w:type="spellStart"/>
            <w:r w:rsidRPr="006F32B6">
              <w:rPr>
                <w:rFonts w:ascii="Times New Roman" w:eastAsia="Times New Roman" w:hAnsi="Times New Roman" w:cs="Times New Roman"/>
                <w:color w:val="000000"/>
                <w:lang w:eastAsia="en-GB"/>
              </w:rPr>
              <w:t>Platania</w:t>
            </w:r>
            <w:proofErr w:type="spellEnd"/>
            <w:r w:rsidRPr="006F32B6">
              <w:rPr>
                <w:rFonts w:ascii="Times New Roman" w:eastAsia="Times New Roman" w:hAnsi="Times New Roman" w:cs="Times New Roman"/>
                <w:color w:val="000000"/>
                <w:lang w:eastAsia="en-GB"/>
              </w:rPr>
              <w:t xml:space="preserve"> 2019; </w:t>
            </w:r>
            <w:proofErr w:type="spellStart"/>
            <w:r w:rsidRPr="006F32B6">
              <w:rPr>
                <w:rFonts w:ascii="Times New Roman" w:eastAsia="Times New Roman" w:hAnsi="Times New Roman" w:cs="Times New Roman"/>
                <w:color w:val="000000"/>
                <w:lang w:eastAsia="en-GB"/>
              </w:rPr>
              <w:t>Adger</w:t>
            </w:r>
            <w:proofErr w:type="spellEnd"/>
            <w:r w:rsidRPr="006F32B6">
              <w:rPr>
                <w:rFonts w:ascii="Times New Roman" w:eastAsia="Times New Roman" w:hAnsi="Times New Roman" w:cs="Times New Roman"/>
                <w:color w:val="000000"/>
                <w:lang w:eastAsia="en-GB"/>
              </w:rPr>
              <w:t xml:space="preserve"> et  al. 2005; Badri et  al. 2014; Keck and </w:t>
            </w:r>
            <w:proofErr w:type="spellStart"/>
            <w:r w:rsidRPr="006F32B6">
              <w:rPr>
                <w:rFonts w:ascii="Times New Roman" w:eastAsia="Times New Roman" w:hAnsi="Times New Roman" w:cs="Times New Roman"/>
                <w:color w:val="000000"/>
                <w:lang w:eastAsia="en-GB"/>
              </w:rPr>
              <w:t>Sakdapolrak</w:t>
            </w:r>
            <w:proofErr w:type="spellEnd"/>
            <w:r w:rsidRPr="006F32B6">
              <w:rPr>
                <w:rFonts w:ascii="Times New Roman" w:eastAsia="Times New Roman" w:hAnsi="Times New Roman" w:cs="Times New Roman"/>
                <w:color w:val="000000"/>
                <w:lang w:eastAsia="en-GB"/>
              </w:rPr>
              <w:t xml:space="preserve"> 2013; Pasteur 2011</w:t>
            </w:r>
          </w:p>
        </w:tc>
      </w:tr>
      <w:tr w:rsidR="006F32B6" w:rsidRPr="006F32B6" w14:paraId="71342C22" w14:textId="77777777" w:rsidTr="006F32B6">
        <w:trPr>
          <w:trHeight w:val="840"/>
        </w:trPr>
        <w:tc>
          <w:tcPr>
            <w:tcW w:w="3060" w:type="dxa"/>
            <w:tcBorders>
              <w:top w:val="nil"/>
              <w:left w:val="nil"/>
              <w:bottom w:val="nil"/>
              <w:right w:val="nil"/>
            </w:tcBorders>
            <w:shd w:val="clear" w:color="auto" w:fill="auto"/>
            <w:noWrap/>
            <w:hideMark/>
          </w:tcPr>
          <w:p w14:paraId="5E68D635"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Heckelman</w:t>
            </w:r>
            <w:proofErr w:type="spellEnd"/>
            <w:r w:rsidRPr="006F32B6">
              <w:rPr>
                <w:rFonts w:ascii="Times New Roman" w:eastAsia="Times New Roman" w:hAnsi="Times New Roman" w:cs="Times New Roman"/>
                <w:color w:val="000000"/>
                <w:lang w:eastAsia="en-GB"/>
              </w:rPr>
              <w:t xml:space="preserve"> et al., 2018</w:t>
            </w:r>
          </w:p>
        </w:tc>
        <w:tc>
          <w:tcPr>
            <w:tcW w:w="5940" w:type="dxa"/>
            <w:tcBorders>
              <w:top w:val="nil"/>
              <w:left w:val="nil"/>
              <w:bottom w:val="nil"/>
              <w:right w:val="nil"/>
            </w:tcBorders>
            <w:shd w:val="clear" w:color="auto" w:fill="auto"/>
            <w:hideMark/>
          </w:tcPr>
          <w:p w14:paraId="76EE9F6B"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"function of social and ecological integrative processes and outcomes that enhance adaptive capacity, augment mitigation potential and reduce the vulnerability of a farming system"</w:t>
            </w:r>
          </w:p>
        </w:tc>
        <w:tc>
          <w:tcPr>
            <w:tcW w:w="3160" w:type="dxa"/>
            <w:tcBorders>
              <w:top w:val="nil"/>
              <w:left w:val="nil"/>
              <w:bottom w:val="nil"/>
              <w:right w:val="nil"/>
            </w:tcBorders>
            <w:shd w:val="clear" w:color="auto" w:fill="auto"/>
            <w:hideMark/>
          </w:tcPr>
          <w:p w14:paraId="3B66C8DA"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Cabell and Oelofse 2012; Miller et al. 2010</w:t>
            </w:r>
          </w:p>
        </w:tc>
      </w:tr>
      <w:tr w:rsidR="006F32B6" w:rsidRPr="006F32B6" w14:paraId="14B14D46" w14:textId="77777777" w:rsidTr="006F32B6">
        <w:trPr>
          <w:trHeight w:val="588"/>
        </w:trPr>
        <w:tc>
          <w:tcPr>
            <w:tcW w:w="3060" w:type="dxa"/>
            <w:tcBorders>
              <w:top w:val="single" w:sz="4" w:space="0" w:color="auto"/>
              <w:left w:val="nil"/>
              <w:bottom w:val="single" w:sz="4" w:space="0" w:color="auto"/>
              <w:right w:val="nil"/>
            </w:tcBorders>
            <w:shd w:val="clear" w:color="auto" w:fill="auto"/>
            <w:noWrap/>
            <w:hideMark/>
          </w:tcPr>
          <w:p w14:paraId="798E057D"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Herrera and Kopainsky, 2023</w:t>
            </w:r>
          </w:p>
        </w:tc>
        <w:tc>
          <w:tcPr>
            <w:tcW w:w="5940" w:type="dxa"/>
            <w:tcBorders>
              <w:top w:val="single" w:sz="8" w:space="0" w:color="auto"/>
              <w:left w:val="nil"/>
              <w:bottom w:val="single" w:sz="8" w:space="0" w:color="auto"/>
              <w:right w:val="nil"/>
            </w:tcBorders>
            <w:shd w:val="clear" w:color="auto" w:fill="auto"/>
            <w:hideMark/>
          </w:tcPr>
          <w:p w14:paraId="58759767"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System’s ability to maintain its functionality even when it is affected by external disturbances"</w:t>
            </w:r>
          </w:p>
        </w:tc>
        <w:tc>
          <w:tcPr>
            <w:tcW w:w="3160" w:type="dxa"/>
            <w:tcBorders>
              <w:top w:val="single" w:sz="8" w:space="0" w:color="auto"/>
              <w:left w:val="nil"/>
              <w:bottom w:val="single" w:sz="8" w:space="0" w:color="auto"/>
              <w:right w:val="nil"/>
            </w:tcBorders>
            <w:shd w:val="clear" w:color="auto" w:fill="auto"/>
            <w:hideMark/>
          </w:tcPr>
          <w:p w14:paraId="323E2229"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xml:space="preserve">Folke et al., 2010; C. </w:t>
            </w:r>
            <w:proofErr w:type="spellStart"/>
            <w:r w:rsidRPr="006F32B6">
              <w:rPr>
                <w:rFonts w:ascii="Times New Roman" w:eastAsia="Times New Roman" w:hAnsi="Times New Roman" w:cs="Times New Roman"/>
                <w:color w:val="000000"/>
                <w:lang w:eastAsia="en-GB"/>
              </w:rPr>
              <w:t>Holling</w:t>
            </w:r>
            <w:proofErr w:type="spellEnd"/>
            <w:r w:rsidRPr="006F32B6">
              <w:rPr>
                <w:rFonts w:ascii="Times New Roman" w:eastAsia="Times New Roman" w:hAnsi="Times New Roman" w:cs="Times New Roman"/>
                <w:color w:val="000000"/>
                <w:lang w:eastAsia="en-GB"/>
              </w:rPr>
              <w:t>, 1986; Meuwissen et al., 2019</w:t>
            </w:r>
          </w:p>
        </w:tc>
      </w:tr>
      <w:tr w:rsidR="006F32B6" w:rsidRPr="00AF6801" w14:paraId="7F30ACCC" w14:textId="77777777" w:rsidTr="006F32B6">
        <w:trPr>
          <w:trHeight w:val="840"/>
        </w:trPr>
        <w:tc>
          <w:tcPr>
            <w:tcW w:w="3060" w:type="dxa"/>
            <w:tcBorders>
              <w:top w:val="nil"/>
              <w:left w:val="nil"/>
              <w:bottom w:val="single" w:sz="4" w:space="0" w:color="auto"/>
              <w:right w:val="nil"/>
            </w:tcBorders>
            <w:shd w:val="clear" w:color="auto" w:fill="auto"/>
            <w:noWrap/>
            <w:hideMark/>
          </w:tcPr>
          <w:p w14:paraId="70EE29C1"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Hossard</w:t>
            </w:r>
            <w:proofErr w:type="spellEnd"/>
            <w:r w:rsidRPr="006F32B6">
              <w:rPr>
                <w:rFonts w:ascii="Times New Roman" w:eastAsia="Times New Roman" w:hAnsi="Times New Roman" w:cs="Times New Roman"/>
                <w:color w:val="000000"/>
                <w:lang w:eastAsia="en-GB"/>
              </w:rPr>
              <w:t xml:space="preserve"> et al., 2021</w:t>
            </w:r>
          </w:p>
        </w:tc>
        <w:tc>
          <w:tcPr>
            <w:tcW w:w="5940" w:type="dxa"/>
            <w:tcBorders>
              <w:top w:val="nil"/>
              <w:left w:val="nil"/>
              <w:bottom w:val="single" w:sz="8" w:space="0" w:color="auto"/>
              <w:right w:val="nil"/>
            </w:tcBorders>
            <w:shd w:val="clear" w:color="auto" w:fill="auto"/>
            <w:hideMark/>
          </w:tcPr>
          <w:p w14:paraId="7BC4BB35"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"capacity to reorganize and maintain interconnected functions and structures that are defined at different temporal and spatial scales"</w:t>
            </w:r>
          </w:p>
        </w:tc>
        <w:tc>
          <w:tcPr>
            <w:tcW w:w="3160" w:type="dxa"/>
            <w:tcBorders>
              <w:top w:val="nil"/>
              <w:left w:val="nil"/>
              <w:bottom w:val="single" w:sz="8" w:space="0" w:color="auto"/>
              <w:right w:val="nil"/>
            </w:tcBorders>
            <w:shd w:val="clear" w:color="auto" w:fill="auto"/>
            <w:noWrap/>
            <w:hideMark/>
          </w:tcPr>
          <w:p w14:paraId="454EE840" w14:textId="77777777" w:rsidR="006F32B6" w:rsidRPr="006F32B6" w:rsidRDefault="006F32B6" w:rsidP="006F32B6">
            <w:pPr>
              <w:spacing w:after="0" w:line="276" w:lineRule="auto"/>
              <w:rPr>
                <w:rFonts w:ascii="Times New Roman" w:eastAsia="Times New Roman" w:hAnsi="Times New Roman" w:cs="Times New Roman"/>
                <w:color w:val="000000"/>
                <w:lang w:val="fr-FR" w:eastAsia="en-GB"/>
              </w:rPr>
            </w:pPr>
            <w:r w:rsidRPr="006F32B6">
              <w:rPr>
                <w:rFonts w:ascii="Times New Roman" w:eastAsia="Times New Roman" w:hAnsi="Times New Roman" w:cs="Times New Roman"/>
                <w:color w:val="000000"/>
                <w:lang w:val="fr-FR" w:eastAsia="en-GB"/>
              </w:rPr>
              <w:t xml:space="preserve">Walker et al. 2004; </w:t>
            </w:r>
            <w:proofErr w:type="spellStart"/>
            <w:r w:rsidRPr="006F32B6">
              <w:rPr>
                <w:rFonts w:ascii="Times New Roman" w:eastAsia="Times New Roman" w:hAnsi="Times New Roman" w:cs="Times New Roman"/>
                <w:color w:val="000000"/>
                <w:lang w:val="fr-FR" w:eastAsia="en-GB"/>
              </w:rPr>
              <w:t>Souissi</w:t>
            </w:r>
            <w:proofErr w:type="spellEnd"/>
            <w:r w:rsidRPr="006F32B6">
              <w:rPr>
                <w:rFonts w:ascii="Times New Roman" w:eastAsia="Times New Roman" w:hAnsi="Times New Roman" w:cs="Times New Roman"/>
                <w:color w:val="000000"/>
                <w:lang w:val="fr-FR" w:eastAsia="en-GB"/>
              </w:rPr>
              <w:t xml:space="preserve"> et al. 2018</w:t>
            </w:r>
          </w:p>
        </w:tc>
      </w:tr>
      <w:tr w:rsidR="006F32B6" w:rsidRPr="006F32B6" w14:paraId="057686BF" w14:textId="77777777" w:rsidTr="006F32B6">
        <w:trPr>
          <w:trHeight w:val="840"/>
        </w:trPr>
        <w:tc>
          <w:tcPr>
            <w:tcW w:w="3060" w:type="dxa"/>
            <w:tcBorders>
              <w:top w:val="single" w:sz="4" w:space="0" w:color="auto"/>
              <w:left w:val="nil"/>
              <w:bottom w:val="single" w:sz="4" w:space="0" w:color="auto"/>
              <w:right w:val="nil"/>
            </w:tcBorders>
            <w:shd w:val="clear" w:color="auto" w:fill="auto"/>
            <w:noWrap/>
            <w:hideMark/>
          </w:tcPr>
          <w:p w14:paraId="09620E3E"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Jacobi et al., 2015</w:t>
            </w:r>
          </w:p>
        </w:tc>
        <w:tc>
          <w:tcPr>
            <w:tcW w:w="5940" w:type="dxa"/>
            <w:tcBorders>
              <w:top w:val="nil"/>
              <w:left w:val="nil"/>
              <w:bottom w:val="single" w:sz="4" w:space="0" w:color="auto"/>
              <w:right w:val="nil"/>
            </w:tcBorders>
            <w:shd w:val="clear" w:color="auto" w:fill="auto"/>
            <w:hideMark/>
          </w:tcPr>
          <w:p w14:paraId="11C90504"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"ability of a social–ecological system to withstand stress factors while maintaining its productivity, its main functions, and its capacities to learn and to adapt"</w:t>
            </w:r>
          </w:p>
        </w:tc>
        <w:tc>
          <w:tcPr>
            <w:tcW w:w="3160" w:type="dxa"/>
            <w:tcBorders>
              <w:top w:val="nil"/>
              <w:left w:val="nil"/>
              <w:bottom w:val="single" w:sz="4" w:space="0" w:color="auto"/>
              <w:right w:val="nil"/>
            </w:tcBorders>
            <w:shd w:val="clear" w:color="auto" w:fill="auto"/>
            <w:noWrap/>
            <w:hideMark/>
          </w:tcPr>
          <w:p w14:paraId="67D22F89"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Adger</w:t>
            </w:r>
            <w:proofErr w:type="spellEnd"/>
            <w:r w:rsidRPr="006F32B6">
              <w:rPr>
                <w:rFonts w:ascii="Times New Roman" w:eastAsia="Times New Roman" w:hAnsi="Times New Roman" w:cs="Times New Roman"/>
                <w:color w:val="000000"/>
                <w:lang w:eastAsia="en-GB"/>
              </w:rPr>
              <w:t xml:space="preserve"> 2003; Folke et al. 2010</w:t>
            </w:r>
          </w:p>
        </w:tc>
      </w:tr>
      <w:tr w:rsidR="006F32B6" w:rsidRPr="006F32B6" w14:paraId="047FDD5C" w14:textId="77777777" w:rsidTr="006F32B6">
        <w:trPr>
          <w:trHeight w:val="564"/>
        </w:trPr>
        <w:tc>
          <w:tcPr>
            <w:tcW w:w="3060" w:type="dxa"/>
            <w:tcBorders>
              <w:top w:val="single" w:sz="4" w:space="0" w:color="auto"/>
              <w:left w:val="nil"/>
              <w:bottom w:val="single" w:sz="4" w:space="0" w:color="auto"/>
              <w:right w:val="nil"/>
            </w:tcBorders>
            <w:shd w:val="clear" w:color="auto" w:fill="auto"/>
            <w:noWrap/>
            <w:hideMark/>
          </w:tcPr>
          <w:p w14:paraId="2F1BF70C"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lastRenderedPageBreak/>
              <w:t>Jamil et al., 2021</w:t>
            </w:r>
          </w:p>
        </w:tc>
        <w:tc>
          <w:tcPr>
            <w:tcW w:w="5940" w:type="dxa"/>
            <w:tcBorders>
              <w:top w:val="single" w:sz="4" w:space="0" w:color="auto"/>
              <w:left w:val="nil"/>
              <w:bottom w:val="single" w:sz="8" w:space="0" w:color="auto"/>
              <w:right w:val="nil"/>
            </w:tcBorders>
            <w:shd w:val="clear" w:color="auto" w:fill="auto"/>
            <w:hideMark/>
          </w:tcPr>
          <w:p w14:paraId="5EE160E6"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Capacity to increase farm income and enhance resource use efficiency</w:t>
            </w:r>
          </w:p>
        </w:tc>
        <w:tc>
          <w:tcPr>
            <w:tcW w:w="3160" w:type="dxa"/>
            <w:tcBorders>
              <w:top w:val="single" w:sz="4" w:space="0" w:color="auto"/>
              <w:left w:val="nil"/>
              <w:bottom w:val="single" w:sz="8" w:space="0" w:color="auto"/>
              <w:right w:val="nil"/>
            </w:tcBorders>
            <w:shd w:val="clear" w:color="auto" w:fill="auto"/>
            <w:noWrap/>
            <w:hideMark/>
          </w:tcPr>
          <w:p w14:paraId="074F33B8"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w:t>
            </w:r>
          </w:p>
        </w:tc>
      </w:tr>
      <w:tr w:rsidR="006F32B6" w:rsidRPr="006F32B6" w14:paraId="45FAF59C" w14:textId="77777777" w:rsidTr="006F32B6">
        <w:trPr>
          <w:trHeight w:val="300"/>
        </w:trPr>
        <w:tc>
          <w:tcPr>
            <w:tcW w:w="3060" w:type="dxa"/>
            <w:tcBorders>
              <w:top w:val="nil"/>
              <w:left w:val="nil"/>
              <w:bottom w:val="nil"/>
              <w:right w:val="nil"/>
            </w:tcBorders>
            <w:shd w:val="clear" w:color="auto" w:fill="auto"/>
            <w:noWrap/>
            <w:hideMark/>
          </w:tcPr>
          <w:p w14:paraId="385BB8C9"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Jiri et al., 2017</w:t>
            </w:r>
          </w:p>
        </w:tc>
        <w:tc>
          <w:tcPr>
            <w:tcW w:w="5940" w:type="dxa"/>
            <w:tcBorders>
              <w:top w:val="nil"/>
              <w:left w:val="nil"/>
              <w:bottom w:val="nil"/>
              <w:right w:val="nil"/>
            </w:tcBorders>
            <w:shd w:val="clear" w:color="auto" w:fill="auto"/>
            <w:hideMark/>
          </w:tcPr>
          <w:p w14:paraId="31CCD0DC"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c>
          <w:tcPr>
            <w:tcW w:w="3160" w:type="dxa"/>
            <w:tcBorders>
              <w:top w:val="nil"/>
              <w:left w:val="nil"/>
              <w:bottom w:val="nil"/>
              <w:right w:val="nil"/>
            </w:tcBorders>
            <w:shd w:val="clear" w:color="auto" w:fill="auto"/>
            <w:noWrap/>
            <w:hideMark/>
          </w:tcPr>
          <w:p w14:paraId="19755999"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
        </w:tc>
      </w:tr>
      <w:tr w:rsidR="006F32B6" w:rsidRPr="006F32B6" w14:paraId="44D22DBB" w14:textId="77777777" w:rsidTr="006F32B6">
        <w:trPr>
          <w:trHeight w:val="564"/>
        </w:trPr>
        <w:tc>
          <w:tcPr>
            <w:tcW w:w="3060" w:type="dxa"/>
            <w:tcBorders>
              <w:top w:val="single" w:sz="4" w:space="0" w:color="auto"/>
              <w:left w:val="nil"/>
              <w:bottom w:val="single" w:sz="4" w:space="0" w:color="auto"/>
              <w:right w:val="nil"/>
            </w:tcBorders>
            <w:shd w:val="clear" w:color="auto" w:fill="auto"/>
            <w:noWrap/>
            <w:hideMark/>
          </w:tcPr>
          <w:p w14:paraId="47AD2FE6"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Khan et al., 2021</w:t>
            </w:r>
          </w:p>
        </w:tc>
        <w:tc>
          <w:tcPr>
            <w:tcW w:w="5940" w:type="dxa"/>
            <w:tcBorders>
              <w:top w:val="single" w:sz="8" w:space="0" w:color="auto"/>
              <w:left w:val="nil"/>
              <w:bottom w:val="single" w:sz="8" w:space="0" w:color="auto"/>
              <w:right w:val="nil"/>
            </w:tcBorders>
            <w:shd w:val="clear" w:color="auto" w:fill="auto"/>
            <w:hideMark/>
          </w:tcPr>
          <w:p w14:paraId="5A13564E"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"Capability to respond to the current or potential changes in the climate" - Synonym of adaptability</w:t>
            </w:r>
          </w:p>
        </w:tc>
        <w:tc>
          <w:tcPr>
            <w:tcW w:w="3160" w:type="dxa"/>
            <w:tcBorders>
              <w:top w:val="single" w:sz="8" w:space="0" w:color="auto"/>
              <w:left w:val="nil"/>
              <w:bottom w:val="single" w:sz="8" w:space="0" w:color="auto"/>
              <w:right w:val="nil"/>
            </w:tcBorders>
            <w:shd w:val="clear" w:color="auto" w:fill="auto"/>
            <w:hideMark/>
          </w:tcPr>
          <w:p w14:paraId="32E2E0AD"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w:t>
            </w:r>
          </w:p>
        </w:tc>
      </w:tr>
      <w:tr w:rsidR="006F32B6" w:rsidRPr="006F32B6" w14:paraId="7A85C911" w14:textId="77777777" w:rsidTr="006F32B6">
        <w:trPr>
          <w:trHeight w:val="564"/>
        </w:trPr>
        <w:tc>
          <w:tcPr>
            <w:tcW w:w="3060" w:type="dxa"/>
            <w:tcBorders>
              <w:top w:val="nil"/>
              <w:left w:val="nil"/>
              <w:bottom w:val="single" w:sz="4" w:space="0" w:color="auto"/>
              <w:right w:val="nil"/>
            </w:tcBorders>
            <w:shd w:val="clear" w:color="auto" w:fill="auto"/>
            <w:noWrap/>
            <w:hideMark/>
          </w:tcPr>
          <w:p w14:paraId="4E313374"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Kozicka et al., 2020</w:t>
            </w:r>
          </w:p>
        </w:tc>
        <w:tc>
          <w:tcPr>
            <w:tcW w:w="5940" w:type="dxa"/>
            <w:tcBorders>
              <w:top w:val="nil"/>
              <w:left w:val="nil"/>
              <w:bottom w:val="single" w:sz="8" w:space="0" w:color="auto"/>
              <w:right w:val="nil"/>
            </w:tcBorders>
            <w:shd w:val="clear" w:color="auto" w:fill="auto"/>
            <w:hideMark/>
          </w:tcPr>
          <w:p w14:paraId="508FBEC8"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recovery of the farm's performance as a results of the farmer's reconfiguration</w:t>
            </w:r>
          </w:p>
        </w:tc>
        <w:tc>
          <w:tcPr>
            <w:tcW w:w="3160" w:type="dxa"/>
            <w:tcBorders>
              <w:top w:val="nil"/>
              <w:left w:val="nil"/>
              <w:bottom w:val="single" w:sz="8" w:space="0" w:color="auto"/>
              <w:right w:val="nil"/>
            </w:tcBorders>
            <w:shd w:val="clear" w:color="auto" w:fill="auto"/>
            <w:noWrap/>
            <w:hideMark/>
          </w:tcPr>
          <w:p w14:paraId="3596F019"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w:t>
            </w:r>
          </w:p>
        </w:tc>
      </w:tr>
      <w:tr w:rsidR="006F32B6" w:rsidRPr="006F32B6" w14:paraId="3C28D9FB" w14:textId="77777777" w:rsidTr="006F32B6">
        <w:trPr>
          <w:trHeight w:val="1392"/>
        </w:trPr>
        <w:tc>
          <w:tcPr>
            <w:tcW w:w="3060" w:type="dxa"/>
            <w:tcBorders>
              <w:top w:val="nil"/>
              <w:left w:val="nil"/>
              <w:bottom w:val="nil"/>
              <w:right w:val="nil"/>
            </w:tcBorders>
            <w:shd w:val="clear" w:color="auto" w:fill="auto"/>
            <w:noWrap/>
            <w:hideMark/>
          </w:tcPr>
          <w:p w14:paraId="797F9725"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Kuchimanchi</w:t>
            </w:r>
            <w:proofErr w:type="spellEnd"/>
            <w:r w:rsidRPr="006F32B6">
              <w:rPr>
                <w:rFonts w:ascii="Times New Roman" w:eastAsia="Times New Roman" w:hAnsi="Times New Roman" w:cs="Times New Roman"/>
                <w:color w:val="000000"/>
                <w:lang w:eastAsia="en-GB"/>
              </w:rPr>
              <w:t xml:space="preserve"> et al., 2021</w:t>
            </w:r>
          </w:p>
        </w:tc>
        <w:tc>
          <w:tcPr>
            <w:tcW w:w="5940" w:type="dxa"/>
            <w:tcBorders>
              <w:top w:val="nil"/>
              <w:left w:val="nil"/>
              <w:bottom w:val="single" w:sz="8" w:space="0" w:color="auto"/>
              <w:right w:val="nil"/>
            </w:tcBorders>
            <w:shd w:val="clear" w:color="auto" w:fill="auto"/>
            <w:hideMark/>
          </w:tcPr>
          <w:p w14:paraId="2ED65DF4"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xml:space="preserve">"Changes a system can undergo due to exposure while continuing to remain within the set of </w:t>
            </w:r>
            <w:proofErr w:type="spellStart"/>
            <w:r w:rsidRPr="006F32B6">
              <w:rPr>
                <w:rFonts w:ascii="Times New Roman" w:eastAsia="Times New Roman" w:hAnsi="Times New Roman" w:cs="Times New Roman"/>
                <w:color w:val="000000"/>
                <w:lang w:eastAsia="en-GB"/>
              </w:rPr>
              <w:t>naturalor</w:t>
            </w:r>
            <w:proofErr w:type="spellEnd"/>
            <w:r w:rsidRPr="006F32B6">
              <w:rPr>
                <w:rFonts w:ascii="Times New Roman" w:eastAsia="Times New Roman" w:hAnsi="Times New Roman" w:cs="Times New Roman"/>
                <w:color w:val="000000"/>
                <w:lang w:eastAsia="en-GB"/>
              </w:rPr>
              <w:t xml:space="preserve"> desirable states [...] Resilience is the dynamic result of the response of an SES to a perturbation, which can be short-term coping or long-term adjustment adaptation"</w:t>
            </w:r>
          </w:p>
        </w:tc>
        <w:tc>
          <w:tcPr>
            <w:tcW w:w="3160" w:type="dxa"/>
            <w:tcBorders>
              <w:top w:val="nil"/>
              <w:left w:val="nil"/>
              <w:bottom w:val="single" w:sz="8" w:space="0" w:color="auto"/>
              <w:right w:val="nil"/>
            </w:tcBorders>
            <w:shd w:val="clear" w:color="auto" w:fill="auto"/>
            <w:hideMark/>
          </w:tcPr>
          <w:p w14:paraId="70DF28B0"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Adger</w:t>
            </w:r>
            <w:proofErr w:type="spellEnd"/>
            <w:r w:rsidRPr="006F32B6">
              <w:rPr>
                <w:rFonts w:ascii="Times New Roman" w:eastAsia="Times New Roman" w:hAnsi="Times New Roman" w:cs="Times New Roman"/>
                <w:color w:val="000000"/>
                <w:lang w:eastAsia="en-GB"/>
              </w:rPr>
              <w:t xml:space="preserve"> 2006</w:t>
            </w:r>
          </w:p>
        </w:tc>
      </w:tr>
      <w:tr w:rsidR="006F32B6" w:rsidRPr="006F32B6" w14:paraId="4B79EFC1" w14:textId="77777777" w:rsidTr="006F32B6">
        <w:trPr>
          <w:trHeight w:val="1452"/>
        </w:trPr>
        <w:tc>
          <w:tcPr>
            <w:tcW w:w="3060" w:type="dxa"/>
            <w:tcBorders>
              <w:top w:val="single" w:sz="4" w:space="0" w:color="auto"/>
              <w:left w:val="nil"/>
              <w:bottom w:val="single" w:sz="4" w:space="0" w:color="auto"/>
              <w:right w:val="nil"/>
            </w:tcBorders>
            <w:shd w:val="clear" w:color="auto" w:fill="auto"/>
            <w:noWrap/>
            <w:hideMark/>
          </w:tcPr>
          <w:p w14:paraId="063F3759"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Le Goff et al., 2022</w:t>
            </w:r>
          </w:p>
        </w:tc>
        <w:tc>
          <w:tcPr>
            <w:tcW w:w="5940" w:type="dxa"/>
            <w:tcBorders>
              <w:top w:val="nil"/>
              <w:left w:val="nil"/>
              <w:bottom w:val="single" w:sz="8" w:space="0" w:color="auto"/>
              <w:right w:val="nil"/>
            </w:tcBorders>
            <w:shd w:val="clear" w:color="auto" w:fill="auto"/>
            <w:hideMark/>
          </w:tcPr>
          <w:p w14:paraId="423AF78C"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"the capacity of social, economic, and environmental systems to cope with a hazardous event or trend or disturbance, responding or reorganizing in ways that maintain their essential function, identity, and structure, while also maintaining the capacity for adaptation, learning, and transformation”</w:t>
            </w:r>
          </w:p>
        </w:tc>
        <w:tc>
          <w:tcPr>
            <w:tcW w:w="3160" w:type="dxa"/>
            <w:tcBorders>
              <w:top w:val="nil"/>
              <w:left w:val="nil"/>
              <w:bottom w:val="single" w:sz="8" w:space="0" w:color="auto"/>
              <w:right w:val="nil"/>
            </w:tcBorders>
            <w:shd w:val="clear" w:color="auto" w:fill="auto"/>
            <w:hideMark/>
          </w:tcPr>
          <w:p w14:paraId="6B3781C2"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IPCC, 2014</w:t>
            </w:r>
          </w:p>
        </w:tc>
      </w:tr>
      <w:tr w:rsidR="006F32B6" w:rsidRPr="006F32B6" w14:paraId="71B0D51E" w14:textId="77777777" w:rsidTr="006F32B6">
        <w:trPr>
          <w:trHeight w:val="300"/>
        </w:trPr>
        <w:tc>
          <w:tcPr>
            <w:tcW w:w="3060" w:type="dxa"/>
            <w:tcBorders>
              <w:top w:val="nil"/>
              <w:left w:val="nil"/>
              <w:bottom w:val="nil"/>
              <w:right w:val="nil"/>
            </w:tcBorders>
            <w:shd w:val="clear" w:color="auto" w:fill="auto"/>
            <w:noWrap/>
            <w:hideMark/>
          </w:tcPr>
          <w:p w14:paraId="1FEF97C1"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McKenzie et al., 2024</w:t>
            </w:r>
          </w:p>
        </w:tc>
        <w:tc>
          <w:tcPr>
            <w:tcW w:w="5940" w:type="dxa"/>
            <w:tcBorders>
              <w:top w:val="nil"/>
              <w:left w:val="nil"/>
              <w:bottom w:val="nil"/>
              <w:right w:val="nil"/>
            </w:tcBorders>
            <w:shd w:val="clear" w:color="auto" w:fill="auto"/>
            <w:hideMark/>
          </w:tcPr>
          <w:p w14:paraId="459D9C62"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c>
          <w:tcPr>
            <w:tcW w:w="3160" w:type="dxa"/>
            <w:tcBorders>
              <w:top w:val="nil"/>
              <w:left w:val="nil"/>
              <w:bottom w:val="nil"/>
              <w:right w:val="nil"/>
            </w:tcBorders>
            <w:shd w:val="clear" w:color="auto" w:fill="auto"/>
            <w:hideMark/>
          </w:tcPr>
          <w:p w14:paraId="4A852A33"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r>
      <w:tr w:rsidR="006F32B6" w:rsidRPr="006F32B6" w14:paraId="3416A08B" w14:textId="77777777" w:rsidTr="006F32B6">
        <w:trPr>
          <w:trHeight w:val="300"/>
        </w:trPr>
        <w:tc>
          <w:tcPr>
            <w:tcW w:w="3060" w:type="dxa"/>
            <w:tcBorders>
              <w:top w:val="single" w:sz="4" w:space="0" w:color="auto"/>
              <w:left w:val="nil"/>
              <w:bottom w:val="single" w:sz="4" w:space="0" w:color="auto"/>
              <w:right w:val="nil"/>
            </w:tcBorders>
            <w:shd w:val="clear" w:color="auto" w:fill="auto"/>
            <w:noWrap/>
            <w:hideMark/>
          </w:tcPr>
          <w:p w14:paraId="27ECE400"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McRae, 2024</w:t>
            </w:r>
          </w:p>
        </w:tc>
        <w:tc>
          <w:tcPr>
            <w:tcW w:w="5940" w:type="dxa"/>
            <w:tcBorders>
              <w:top w:val="single" w:sz="8" w:space="0" w:color="auto"/>
              <w:left w:val="nil"/>
              <w:bottom w:val="single" w:sz="8" w:space="0" w:color="auto"/>
              <w:right w:val="nil"/>
            </w:tcBorders>
            <w:shd w:val="clear" w:color="auto" w:fill="auto"/>
            <w:hideMark/>
          </w:tcPr>
          <w:p w14:paraId="45F39078"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c>
          <w:tcPr>
            <w:tcW w:w="3160" w:type="dxa"/>
            <w:tcBorders>
              <w:top w:val="single" w:sz="8" w:space="0" w:color="auto"/>
              <w:left w:val="nil"/>
              <w:bottom w:val="single" w:sz="8" w:space="0" w:color="auto"/>
              <w:right w:val="nil"/>
            </w:tcBorders>
            <w:shd w:val="clear" w:color="auto" w:fill="auto"/>
            <w:hideMark/>
          </w:tcPr>
          <w:p w14:paraId="2BFA1579"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r>
      <w:tr w:rsidR="006F32B6" w:rsidRPr="006F32B6" w14:paraId="2ACA75D9" w14:textId="77777777" w:rsidTr="006F32B6">
        <w:trPr>
          <w:trHeight w:val="1116"/>
        </w:trPr>
        <w:tc>
          <w:tcPr>
            <w:tcW w:w="3060" w:type="dxa"/>
            <w:tcBorders>
              <w:top w:val="nil"/>
              <w:left w:val="nil"/>
              <w:bottom w:val="single" w:sz="4" w:space="0" w:color="auto"/>
              <w:right w:val="nil"/>
            </w:tcBorders>
            <w:shd w:val="clear" w:color="auto" w:fill="auto"/>
            <w:noWrap/>
            <w:hideMark/>
          </w:tcPr>
          <w:p w14:paraId="6319C950"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Melvani</w:t>
            </w:r>
            <w:proofErr w:type="spellEnd"/>
            <w:r w:rsidRPr="006F32B6">
              <w:rPr>
                <w:rFonts w:ascii="Times New Roman" w:eastAsia="Times New Roman" w:hAnsi="Times New Roman" w:cs="Times New Roman"/>
                <w:color w:val="000000"/>
                <w:lang w:eastAsia="en-GB"/>
              </w:rPr>
              <w:t xml:space="preserve"> et al., 2020</w:t>
            </w:r>
          </w:p>
        </w:tc>
        <w:tc>
          <w:tcPr>
            <w:tcW w:w="5940" w:type="dxa"/>
            <w:tcBorders>
              <w:top w:val="nil"/>
              <w:left w:val="nil"/>
              <w:bottom w:val="single" w:sz="8" w:space="0" w:color="auto"/>
              <w:right w:val="nil"/>
            </w:tcBorders>
            <w:shd w:val="clear" w:color="auto" w:fill="auto"/>
            <w:hideMark/>
          </w:tcPr>
          <w:p w14:paraId="6F4CF394"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xml:space="preserve">"Ability of a social or ecological system to absorb disturbances while retaining the same basic structure and ways of functioning, the capacity for </w:t>
            </w:r>
            <w:proofErr w:type="spellStart"/>
            <w:r w:rsidRPr="006F32B6">
              <w:rPr>
                <w:rFonts w:ascii="Times New Roman" w:eastAsia="Times New Roman" w:hAnsi="Times New Roman" w:cs="Times New Roman"/>
                <w:color w:val="000000"/>
                <w:lang w:eastAsia="en-GB"/>
              </w:rPr>
              <w:t>selforganisation</w:t>
            </w:r>
            <w:proofErr w:type="spellEnd"/>
            <w:r w:rsidRPr="006F32B6">
              <w:rPr>
                <w:rFonts w:ascii="Times New Roman" w:eastAsia="Times New Roman" w:hAnsi="Times New Roman" w:cs="Times New Roman"/>
                <w:color w:val="000000"/>
                <w:lang w:eastAsia="en-GB"/>
              </w:rPr>
              <w:t>, and the capacity to adapt to stress and change and to endure"</w:t>
            </w:r>
          </w:p>
        </w:tc>
        <w:tc>
          <w:tcPr>
            <w:tcW w:w="3160" w:type="dxa"/>
            <w:tcBorders>
              <w:top w:val="nil"/>
              <w:left w:val="nil"/>
              <w:bottom w:val="single" w:sz="8" w:space="0" w:color="auto"/>
              <w:right w:val="nil"/>
            </w:tcBorders>
            <w:shd w:val="clear" w:color="auto" w:fill="auto"/>
            <w:hideMark/>
          </w:tcPr>
          <w:p w14:paraId="762955B8"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Intergovernmental Panel on Climate Change 2007; Hoang et al. 2014</w:t>
            </w:r>
          </w:p>
        </w:tc>
      </w:tr>
      <w:tr w:rsidR="006F32B6" w:rsidRPr="006F32B6" w14:paraId="4E2E618E" w14:textId="77777777" w:rsidTr="006F32B6">
        <w:trPr>
          <w:trHeight w:val="552"/>
        </w:trPr>
        <w:tc>
          <w:tcPr>
            <w:tcW w:w="3060" w:type="dxa"/>
            <w:tcBorders>
              <w:top w:val="nil"/>
              <w:left w:val="nil"/>
              <w:bottom w:val="single" w:sz="4" w:space="0" w:color="auto"/>
              <w:right w:val="nil"/>
            </w:tcBorders>
            <w:shd w:val="clear" w:color="auto" w:fill="auto"/>
            <w:noWrap/>
            <w:hideMark/>
          </w:tcPr>
          <w:p w14:paraId="3417BF01"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Mohammed et al., 2021</w:t>
            </w:r>
          </w:p>
        </w:tc>
        <w:tc>
          <w:tcPr>
            <w:tcW w:w="5940" w:type="dxa"/>
            <w:tcBorders>
              <w:top w:val="nil"/>
              <w:left w:val="nil"/>
              <w:bottom w:val="single" w:sz="4" w:space="0" w:color="auto"/>
              <w:right w:val="nil"/>
            </w:tcBorders>
            <w:shd w:val="clear" w:color="auto" w:fill="auto"/>
            <w:hideMark/>
          </w:tcPr>
          <w:p w14:paraId="0E07538C"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w:t>
            </w:r>
            <w:proofErr w:type="spellStart"/>
            <w:r w:rsidRPr="006F32B6">
              <w:rPr>
                <w:rFonts w:ascii="Times New Roman" w:eastAsia="Times New Roman" w:hAnsi="Times New Roman" w:cs="Times New Roman"/>
                <w:color w:val="000000"/>
                <w:lang w:eastAsia="en-GB"/>
              </w:rPr>
              <w:t>socialecological</w:t>
            </w:r>
            <w:proofErr w:type="spellEnd"/>
            <w:r w:rsidRPr="006F32B6">
              <w:rPr>
                <w:rFonts w:ascii="Times New Roman" w:eastAsia="Times New Roman" w:hAnsi="Times New Roman" w:cs="Times New Roman"/>
                <w:color w:val="000000"/>
                <w:lang w:eastAsia="en-GB"/>
              </w:rPr>
              <w:t xml:space="preserve"> outcome involving the interaction of complex ecological, socioeconomic, political, and cultural factors"</w:t>
            </w:r>
          </w:p>
        </w:tc>
        <w:tc>
          <w:tcPr>
            <w:tcW w:w="3160" w:type="dxa"/>
            <w:tcBorders>
              <w:top w:val="nil"/>
              <w:left w:val="nil"/>
              <w:bottom w:val="single" w:sz="4" w:space="0" w:color="auto"/>
              <w:right w:val="nil"/>
            </w:tcBorders>
            <w:shd w:val="clear" w:color="auto" w:fill="auto"/>
            <w:noWrap/>
            <w:hideMark/>
          </w:tcPr>
          <w:p w14:paraId="4A1CCE97"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xml:space="preserve">Folke 2006; </w:t>
            </w:r>
            <w:proofErr w:type="spellStart"/>
            <w:r w:rsidRPr="006F32B6">
              <w:rPr>
                <w:rFonts w:ascii="Times New Roman" w:eastAsia="Times New Roman" w:hAnsi="Times New Roman" w:cs="Times New Roman"/>
                <w:color w:val="000000"/>
                <w:lang w:eastAsia="en-GB"/>
              </w:rPr>
              <w:t>Holling</w:t>
            </w:r>
            <w:proofErr w:type="spellEnd"/>
            <w:r w:rsidRPr="006F32B6">
              <w:rPr>
                <w:rFonts w:ascii="Times New Roman" w:eastAsia="Times New Roman" w:hAnsi="Times New Roman" w:cs="Times New Roman"/>
                <w:color w:val="000000"/>
                <w:lang w:eastAsia="en-GB"/>
              </w:rPr>
              <w:t xml:space="preserve"> 1973</w:t>
            </w:r>
          </w:p>
        </w:tc>
      </w:tr>
      <w:tr w:rsidR="006F32B6" w:rsidRPr="006F32B6" w14:paraId="0939180C" w14:textId="77777777" w:rsidTr="006F32B6">
        <w:trPr>
          <w:trHeight w:val="288"/>
        </w:trPr>
        <w:tc>
          <w:tcPr>
            <w:tcW w:w="3060" w:type="dxa"/>
            <w:tcBorders>
              <w:top w:val="single" w:sz="4" w:space="0" w:color="auto"/>
              <w:left w:val="nil"/>
              <w:bottom w:val="single" w:sz="4" w:space="0" w:color="auto"/>
              <w:right w:val="nil"/>
            </w:tcBorders>
            <w:shd w:val="clear" w:color="auto" w:fill="auto"/>
            <w:noWrap/>
            <w:hideMark/>
          </w:tcPr>
          <w:p w14:paraId="6461513C"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Monjardino et al., 2022</w:t>
            </w:r>
          </w:p>
        </w:tc>
        <w:tc>
          <w:tcPr>
            <w:tcW w:w="5940" w:type="dxa"/>
            <w:tcBorders>
              <w:top w:val="single" w:sz="4" w:space="0" w:color="auto"/>
              <w:left w:val="nil"/>
              <w:bottom w:val="single" w:sz="4" w:space="0" w:color="auto"/>
              <w:right w:val="nil"/>
            </w:tcBorders>
            <w:shd w:val="clear" w:color="auto" w:fill="auto"/>
            <w:hideMark/>
          </w:tcPr>
          <w:p w14:paraId="04766409"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c>
          <w:tcPr>
            <w:tcW w:w="3160" w:type="dxa"/>
            <w:tcBorders>
              <w:top w:val="single" w:sz="4" w:space="0" w:color="auto"/>
              <w:left w:val="nil"/>
              <w:bottom w:val="single" w:sz="4" w:space="0" w:color="auto"/>
              <w:right w:val="nil"/>
            </w:tcBorders>
            <w:shd w:val="clear" w:color="auto" w:fill="auto"/>
            <w:hideMark/>
          </w:tcPr>
          <w:p w14:paraId="4CE85CB3"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
        </w:tc>
      </w:tr>
      <w:tr w:rsidR="006F32B6" w:rsidRPr="006F32B6" w14:paraId="32CF6CA0" w14:textId="77777777" w:rsidTr="006F32B6">
        <w:trPr>
          <w:trHeight w:val="552"/>
        </w:trPr>
        <w:tc>
          <w:tcPr>
            <w:tcW w:w="3060" w:type="dxa"/>
            <w:tcBorders>
              <w:top w:val="single" w:sz="4" w:space="0" w:color="auto"/>
              <w:left w:val="nil"/>
              <w:bottom w:val="single" w:sz="4" w:space="0" w:color="auto"/>
              <w:right w:val="nil"/>
            </w:tcBorders>
            <w:shd w:val="clear" w:color="auto" w:fill="auto"/>
            <w:noWrap/>
            <w:hideMark/>
          </w:tcPr>
          <w:p w14:paraId="6E5C2FBE"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Mutabazi</w:t>
            </w:r>
            <w:proofErr w:type="spellEnd"/>
            <w:r w:rsidRPr="006F32B6">
              <w:rPr>
                <w:rFonts w:ascii="Times New Roman" w:eastAsia="Times New Roman" w:hAnsi="Times New Roman" w:cs="Times New Roman"/>
                <w:color w:val="000000"/>
                <w:lang w:eastAsia="en-GB"/>
              </w:rPr>
              <w:t xml:space="preserve"> et al., 2015</w:t>
            </w:r>
          </w:p>
        </w:tc>
        <w:tc>
          <w:tcPr>
            <w:tcW w:w="5940" w:type="dxa"/>
            <w:tcBorders>
              <w:top w:val="single" w:sz="4" w:space="0" w:color="auto"/>
              <w:left w:val="nil"/>
              <w:bottom w:val="single" w:sz="4" w:space="0" w:color="auto"/>
              <w:right w:val="nil"/>
            </w:tcBorders>
            <w:shd w:val="clear" w:color="auto" w:fill="auto"/>
            <w:hideMark/>
          </w:tcPr>
          <w:p w14:paraId="61A06C61"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"ability of the farming system to withstand the shocks and stresses from climatic vagaries"</w:t>
            </w:r>
          </w:p>
        </w:tc>
        <w:tc>
          <w:tcPr>
            <w:tcW w:w="3160" w:type="dxa"/>
            <w:tcBorders>
              <w:top w:val="single" w:sz="4" w:space="0" w:color="auto"/>
              <w:left w:val="nil"/>
              <w:bottom w:val="single" w:sz="4" w:space="0" w:color="auto"/>
              <w:right w:val="nil"/>
            </w:tcBorders>
            <w:shd w:val="clear" w:color="auto" w:fill="auto"/>
            <w:noWrap/>
            <w:hideMark/>
          </w:tcPr>
          <w:p w14:paraId="626AB5DB"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
        </w:tc>
      </w:tr>
      <w:tr w:rsidR="006F32B6" w:rsidRPr="006F32B6" w14:paraId="73EB5E13" w14:textId="77777777" w:rsidTr="006F32B6">
        <w:trPr>
          <w:trHeight w:val="288"/>
        </w:trPr>
        <w:tc>
          <w:tcPr>
            <w:tcW w:w="3060" w:type="dxa"/>
            <w:tcBorders>
              <w:top w:val="single" w:sz="4" w:space="0" w:color="auto"/>
              <w:left w:val="nil"/>
              <w:bottom w:val="single" w:sz="4" w:space="0" w:color="auto"/>
              <w:right w:val="nil"/>
            </w:tcBorders>
            <w:shd w:val="clear" w:color="auto" w:fill="auto"/>
            <w:noWrap/>
            <w:hideMark/>
          </w:tcPr>
          <w:p w14:paraId="5A86F656"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Mzyece</w:t>
            </w:r>
            <w:proofErr w:type="spellEnd"/>
            <w:r w:rsidRPr="006F32B6">
              <w:rPr>
                <w:rFonts w:ascii="Times New Roman" w:eastAsia="Times New Roman" w:hAnsi="Times New Roman" w:cs="Times New Roman"/>
                <w:color w:val="000000"/>
                <w:lang w:eastAsia="en-GB"/>
              </w:rPr>
              <w:t xml:space="preserve"> et al., 2020</w:t>
            </w:r>
          </w:p>
        </w:tc>
        <w:tc>
          <w:tcPr>
            <w:tcW w:w="5940" w:type="dxa"/>
            <w:tcBorders>
              <w:top w:val="single" w:sz="4" w:space="0" w:color="auto"/>
              <w:left w:val="nil"/>
              <w:bottom w:val="single" w:sz="4" w:space="0" w:color="auto"/>
              <w:right w:val="nil"/>
            </w:tcBorders>
            <w:shd w:val="clear" w:color="auto" w:fill="auto"/>
            <w:hideMark/>
          </w:tcPr>
          <w:p w14:paraId="06A534A3"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Income stability</w:t>
            </w:r>
          </w:p>
        </w:tc>
        <w:tc>
          <w:tcPr>
            <w:tcW w:w="3160" w:type="dxa"/>
            <w:tcBorders>
              <w:top w:val="single" w:sz="4" w:space="0" w:color="auto"/>
              <w:left w:val="nil"/>
              <w:bottom w:val="single" w:sz="4" w:space="0" w:color="auto"/>
              <w:right w:val="nil"/>
            </w:tcBorders>
            <w:shd w:val="clear" w:color="auto" w:fill="auto"/>
            <w:hideMark/>
          </w:tcPr>
          <w:p w14:paraId="0AE0FA34"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
        </w:tc>
      </w:tr>
      <w:tr w:rsidR="006F32B6" w:rsidRPr="006F32B6" w14:paraId="26C71BDC" w14:textId="77777777" w:rsidTr="006F32B6">
        <w:trPr>
          <w:trHeight w:val="1104"/>
        </w:trPr>
        <w:tc>
          <w:tcPr>
            <w:tcW w:w="3060" w:type="dxa"/>
            <w:tcBorders>
              <w:top w:val="single" w:sz="4" w:space="0" w:color="auto"/>
              <w:left w:val="nil"/>
              <w:bottom w:val="single" w:sz="4" w:space="0" w:color="auto"/>
              <w:right w:val="nil"/>
            </w:tcBorders>
            <w:shd w:val="clear" w:color="auto" w:fill="auto"/>
            <w:noWrap/>
            <w:hideMark/>
          </w:tcPr>
          <w:p w14:paraId="27850028"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lastRenderedPageBreak/>
              <w:t>Nera et al., 2020</w:t>
            </w:r>
          </w:p>
        </w:tc>
        <w:tc>
          <w:tcPr>
            <w:tcW w:w="5940" w:type="dxa"/>
            <w:tcBorders>
              <w:top w:val="single" w:sz="4" w:space="0" w:color="auto"/>
              <w:left w:val="nil"/>
              <w:bottom w:val="single" w:sz="4" w:space="0" w:color="auto"/>
              <w:right w:val="nil"/>
            </w:tcBorders>
            <w:shd w:val="clear" w:color="auto" w:fill="auto"/>
            <w:hideMark/>
          </w:tcPr>
          <w:p w14:paraId="3463BEBF"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"Capacity of a system to perform its functions, related to both private and public goods. A resilient system should be able to maintain the delivery of private and public goods in the face of shocks and persistent pressures"</w:t>
            </w:r>
          </w:p>
        </w:tc>
        <w:tc>
          <w:tcPr>
            <w:tcW w:w="3160" w:type="dxa"/>
            <w:tcBorders>
              <w:top w:val="single" w:sz="4" w:space="0" w:color="auto"/>
              <w:left w:val="nil"/>
              <w:bottom w:val="single" w:sz="4" w:space="0" w:color="auto"/>
              <w:right w:val="nil"/>
            </w:tcBorders>
            <w:shd w:val="clear" w:color="auto" w:fill="auto"/>
            <w:hideMark/>
          </w:tcPr>
          <w:p w14:paraId="71997269"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Holling</w:t>
            </w:r>
            <w:proofErr w:type="spellEnd"/>
            <w:r w:rsidRPr="006F32B6">
              <w:rPr>
                <w:rFonts w:ascii="Times New Roman" w:eastAsia="Times New Roman" w:hAnsi="Times New Roman" w:cs="Times New Roman"/>
                <w:color w:val="000000"/>
                <w:lang w:eastAsia="en-GB"/>
              </w:rPr>
              <w:t xml:space="preserve"> 1973; </w:t>
            </w:r>
            <w:proofErr w:type="spellStart"/>
            <w:r w:rsidRPr="006F32B6">
              <w:rPr>
                <w:rFonts w:ascii="Times New Roman" w:eastAsia="Times New Roman" w:hAnsi="Times New Roman" w:cs="Times New Roman"/>
                <w:color w:val="000000"/>
                <w:lang w:eastAsia="en-GB"/>
              </w:rPr>
              <w:t>Urruty</w:t>
            </w:r>
            <w:proofErr w:type="spellEnd"/>
            <w:r w:rsidRPr="006F32B6">
              <w:rPr>
                <w:rFonts w:ascii="Times New Roman" w:eastAsia="Times New Roman" w:hAnsi="Times New Roman" w:cs="Times New Roman"/>
                <w:color w:val="000000"/>
                <w:lang w:eastAsia="en-GB"/>
              </w:rPr>
              <w:t xml:space="preserve"> et al. 2016; Walker et al. 2004</w:t>
            </w:r>
          </w:p>
        </w:tc>
      </w:tr>
      <w:tr w:rsidR="006F32B6" w:rsidRPr="006F32B6" w14:paraId="1C4EF4E7" w14:textId="77777777" w:rsidTr="006F32B6">
        <w:trPr>
          <w:trHeight w:val="288"/>
        </w:trPr>
        <w:tc>
          <w:tcPr>
            <w:tcW w:w="3060" w:type="dxa"/>
            <w:tcBorders>
              <w:top w:val="single" w:sz="4" w:space="0" w:color="auto"/>
              <w:left w:val="nil"/>
              <w:bottom w:val="single" w:sz="4" w:space="0" w:color="auto"/>
              <w:right w:val="nil"/>
            </w:tcBorders>
            <w:shd w:val="clear" w:color="auto" w:fill="auto"/>
            <w:noWrap/>
            <w:hideMark/>
          </w:tcPr>
          <w:p w14:paraId="3F84882F"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Nguyen et al., 2020</w:t>
            </w:r>
          </w:p>
        </w:tc>
        <w:tc>
          <w:tcPr>
            <w:tcW w:w="5940" w:type="dxa"/>
            <w:tcBorders>
              <w:top w:val="single" w:sz="4" w:space="0" w:color="auto"/>
              <w:left w:val="nil"/>
              <w:bottom w:val="single" w:sz="4" w:space="0" w:color="auto"/>
              <w:right w:val="nil"/>
            </w:tcBorders>
            <w:shd w:val="clear" w:color="auto" w:fill="auto"/>
            <w:hideMark/>
          </w:tcPr>
          <w:p w14:paraId="5A6954EE"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c>
          <w:tcPr>
            <w:tcW w:w="3160" w:type="dxa"/>
            <w:tcBorders>
              <w:top w:val="single" w:sz="4" w:space="0" w:color="auto"/>
              <w:left w:val="nil"/>
              <w:bottom w:val="single" w:sz="4" w:space="0" w:color="auto"/>
              <w:right w:val="nil"/>
            </w:tcBorders>
            <w:shd w:val="clear" w:color="auto" w:fill="auto"/>
            <w:hideMark/>
          </w:tcPr>
          <w:p w14:paraId="15EC10D8"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
        </w:tc>
      </w:tr>
      <w:tr w:rsidR="006F32B6" w:rsidRPr="006F32B6" w14:paraId="6DD7FB9F" w14:textId="77777777" w:rsidTr="006F32B6">
        <w:trPr>
          <w:trHeight w:val="552"/>
        </w:trPr>
        <w:tc>
          <w:tcPr>
            <w:tcW w:w="3060" w:type="dxa"/>
            <w:tcBorders>
              <w:top w:val="single" w:sz="4" w:space="0" w:color="auto"/>
              <w:left w:val="nil"/>
              <w:right w:val="nil"/>
            </w:tcBorders>
            <w:shd w:val="clear" w:color="auto" w:fill="auto"/>
            <w:noWrap/>
            <w:hideMark/>
          </w:tcPr>
          <w:p w14:paraId="1C1611DE"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Nyong et al., 2020</w:t>
            </w:r>
          </w:p>
        </w:tc>
        <w:tc>
          <w:tcPr>
            <w:tcW w:w="5940" w:type="dxa"/>
            <w:tcBorders>
              <w:top w:val="single" w:sz="4" w:space="0" w:color="auto"/>
              <w:left w:val="nil"/>
              <w:right w:val="nil"/>
            </w:tcBorders>
            <w:shd w:val="clear" w:color="auto" w:fill="auto"/>
            <w:hideMark/>
          </w:tcPr>
          <w:p w14:paraId="15B84439"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xml:space="preserve">"Desired </w:t>
            </w:r>
            <w:proofErr w:type="spellStart"/>
            <w:r w:rsidRPr="006F32B6">
              <w:rPr>
                <w:rFonts w:ascii="Times New Roman" w:eastAsia="Times New Roman" w:hAnsi="Times New Roman" w:cs="Times New Roman"/>
                <w:color w:val="000000"/>
                <w:lang w:eastAsia="en-GB"/>
              </w:rPr>
              <w:t>pahtway</w:t>
            </w:r>
            <w:proofErr w:type="spellEnd"/>
            <w:r w:rsidRPr="006F32B6">
              <w:rPr>
                <w:rFonts w:ascii="Times New Roman" w:eastAsia="Times New Roman" w:hAnsi="Times New Roman" w:cs="Times New Roman"/>
                <w:color w:val="000000"/>
                <w:lang w:eastAsia="en-GB"/>
              </w:rPr>
              <w:t xml:space="preserve"> of development" that allows farming system to face shocks and stresses</w:t>
            </w:r>
          </w:p>
        </w:tc>
        <w:tc>
          <w:tcPr>
            <w:tcW w:w="3160" w:type="dxa"/>
            <w:tcBorders>
              <w:top w:val="single" w:sz="4" w:space="0" w:color="auto"/>
              <w:left w:val="nil"/>
              <w:right w:val="nil"/>
            </w:tcBorders>
            <w:shd w:val="clear" w:color="auto" w:fill="auto"/>
            <w:hideMark/>
          </w:tcPr>
          <w:p w14:paraId="591DF8A0"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Gordon 2009</w:t>
            </w:r>
          </w:p>
        </w:tc>
      </w:tr>
      <w:tr w:rsidR="006F32B6" w:rsidRPr="006F32B6" w14:paraId="2782925D" w14:textId="77777777" w:rsidTr="006F32B6">
        <w:trPr>
          <w:trHeight w:val="288"/>
        </w:trPr>
        <w:tc>
          <w:tcPr>
            <w:tcW w:w="3060" w:type="dxa"/>
            <w:tcBorders>
              <w:left w:val="nil"/>
              <w:bottom w:val="single" w:sz="4" w:space="0" w:color="auto"/>
              <w:right w:val="nil"/>
            </w:tcBorders>
            <w:shd w:val="clear" w:color="auto" w:fill="auto"/>
            <w:noWrap/>
            <w:hideMark/>
          </w:tcPr>
          <w:p w14:paraId="11DCF960"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Perin</w:t>
            </w:r>
            <w:proofErr w:type="spellEnd"/>
            <w:r w:rsidRPr="006F32B6">
              <w:rPr>
                <w:rFonts w:ascii="Times New Roman" w:eastAsia="Times New Roman" w:hAnsi="Times New Roman" w:cs="Times New Roman"/>
                <w:color w:val="000000"/>
                <w:lang w:eastAsia="en-GB"/>
              </w:rPr>
              <w:t xml:space="preserve"> and </w:t>
            </w:r>
            <w:proofErr w:type="spellStart"/>
            <w:r w:rsidRPr="006F32B6">
              <w:rPr>
                <w:rFonts w:ascii="Times New Roman" w:eastAsia="Times New Roman" w:hAnsi="Times New Roman" w:cs="Times New Roman"/>
                <w:color w:val="000000"/>
                <w:lang w:eastAsia="en-GB"/>
              </w:rPr>
              <w:t>Enahoro</w:t>
            </w:r>
            <w:proofErr w:type="spellEnd"/>
            <w:r w:rsidRPr="006F32B6">
              <w:rPr>
                <w:rFonts w:ascii="Times New Roman" w:eastAsia="Times New Roman" w:hAnsi="Times New Roman" w:cs="Times New Roman"/>
                <w:color w:val="000000"/>
                <w:lang w:eastAsia="en-GB"/>
              </w:rPr>
              <w:t>, 2023</w:t>
            </w:r>
          </w:p>
        </w:tc>
        <w:tc>
          <w:tcPr>
            <w:tcW w:w="5940" w:type="dxa"/>
            <w:tcBorders>
              <w:left w:val="nil"/>
              <w:bottom w:val="single" w:sz="4" w:space="0" w:color="auto"/>
              <w:right w:val="nil"/>
            </w:tcBorders>
            <w:shd w:val="clear" w:color="auto" w:fill="auto"/>
            <w:hideMark/>
          </w:tcPr>
          <w:p w14:paraId="6557A007"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c>
          <w:tcPr>
            <w:tcW w:w="3160" w:type="dxa"/>
            <w:tcBorders>
              <w:left w:val="nil"/>
              <w:bottom w:val="single" w:sz="4" w:space="0" w:color="auto"/>
              <w:right w:val="nil"/>
            </w:tcBorders>
            <w:shd w:val="clear" w:color="auto" w:fill="auto"/>
            <w:hideMark/>
          </w:tcPr>
          <w:p w14:paraId="6DA329AC"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r>
      <w:tr w:rsidR="006F32B6" w:rsidRPr="006F32B6" w14:paraId="06063EDF" w14:textId="77777777" w:rsidTr="006F32B6">
        <w:trPr>
          <w:trHeight w:val="828"/>
        </w:trPr>
        <w:tc>
          <w:tcPr>
            <w:tcW w:w="3060" w:type="dxa"/>
            <w:tcBorders>
              <w:top w:val="single" w:sz="4" w:space="0" w:color="auto"/>
              <w:left w:val="nil"/>
              <w:bottom w:val="single" w:sz="4" w:space="0" w:color="auto"/>
              <w:right w:val="nil"/>
            </w:tcBorders>
            <w:shd w:val="clear" w:color="auto" w:fill="auto"/>
            <w:noWrap/>
            <w:hideMark/>
          </w:tcPr>
          <w:p w14:paraId="5735BC65"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Poelma et al., 2021</w:t>
            </w:r>
          </w:p>
        </w:tc>
        <w:tc>
          <w:tcPr>
            <w:tcW w:w="5940" w:type="dxa"/>
            <w:tcBorders>
              <w:top w:val="single" w:sz="4" w:space="0" w:color="auto"/>
              <w:left w:val="nil"/>
              <w:bottom w:val="single" w:sz="4" w:space="0" w:color="auto"/>
              <w:right w:val="nil"/>
            </w:tcBorders>
            <w:shd w:val="clear" w:color="auto" w:fill="auto"/>
            <w:hideMark/>
          </w:tcPr>
          <w:p w14:paraId="43895AE3"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"the capacity of all people across generations to sustain and improve their livelihood opportunities and well-being despite environmental, economic, social and political disturbances"</w:t>
            </w:r>
          </w:p>
        </w:tc>
        <w:tc>
          <w:tcPr>
            <w:tcW w:w="3160" w:type="dxa"/>
            <w:tcBorders>
              <w:top w:val="single" w:sz="4" w:space="0" w:color="auto"/>
              <w:left w:val="nil"/>
              <w:bottom w:val="single" w:sz="4" w:space="0" w:color="auto"/>
              <w:right w:val="nil"/>
            </w:tcBorders>
            <w:shd w:val="clear" w:color="auto" w:fill="auto"/>
            <w:noWrap/>
            <w:hideMark/>
          </w:tcPr>
          <w:p w14:paraId="07709B66"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Tanner et al. 2015, p.23</w:t>
            </w:r>
          </w:p>
        </w:tc>
      </w:tr>
      <w:tr w:rsidR="006F32B6" w:rsidRPr="00AF6801" w14:paraId="28AD8372" w14:textId="77777777" w:rsidTr="006F32B6">
        <w:trPr>
          <w:trHeight w:val="864"/>
        </w:trPr>
        <w:tc>
          <w:tcPr>
            <w:tcW w:w="3060" w:type="dxa"/>
            <w:tcBorders>
              <w:top w:val="single" w:sz="4" w:space="0" w:color="auto"/>
              <w:left w:val="nil"/>
              <w:bottom w:val="single" w:sz="4" w:space="0" w:color="auto"/>
              <w:right w:val="nil"/>
            </w:tcBorders>
            <w:shd w:val="clear" w:color="auto" w:fill="auto"/>
            <w:noWrap/>
            <w:hideMark/>
          </w:tcPr>
          <w:p w14:paraId="38A6A7EF"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Postigo</w:t>
            </w:r>
            <w:proofErr w:type="spellEnd"/>
            <w:r w:rsidRPr="006F32B6">
              <w:rPr>
                <w:rFonts w:ascii="Times New Roman" w:eastAsia="Times New Roman" w:hAnsi="Times New Roman" w:cs="Times New Roman"/>
                <w:color w:val="000000"/>
                <w:lang w:eastAsia="en-GB"/>
              </w:rPr>
              <w:t xml:space="preserve"> et al., 2024</w:t>
            </w:r>
          </w:p>
        </w:tc>
        <w:tc>
          <w:tcPr>
            <w:tcW w:w="5940" w:type="dxa"/>
            <w:tcBorders>
              <w:top w:val="single" w:sz="4" w:space="0" w:color="auto"/>
              <w:left w:val="nil"/>
              <w:bottom w:val="single" w:sz="4" w:space="0" w:color="auto"/>
              <w:right w:val="nil"/>
            </w:tcBorders>
            <w:shd w:val="clear" w:color="auto" w:fill="auto"/>
            <w:hideMark/>
          </w:tcPr>
          <w:p w14:paraId="6C855B21"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Capacity of systems to "maintain their organization, structure, and function after a disturbance or transform when the situation is untenable to continue on the desired trajectories"</w:t>
            </w:r>
          </w:p>
        </w:tc>
        <w:tc>
          <w:tcPr>
            <w:tcW w:w="3160" w:type="dxa"/>
            <w:tcBorders>
              <w:top w:val="single" w:sz="4" w:space="0" w:color="auto"/>
              <w:left w:val="nil"/>
              <w:bottom w:val="single" w:sz="4" w:space="0" w:color="auto"/>
              <w:right w:val="nil"/>
            </w:tcBorders>
            <w:shd w:val="clear" w:color="auto" w:fill="auto"/>
            <w:hideMark/>
          </w:tcPr>
          <w:p w14:paraId="530602FD" w14:textId="77777777" w:rsidR="006F32B6" w:rsidRPr="006F32B6" w:rsidRDefault="006F32B6" w:rsidP="006F32B6">
            <w:pPr>
              <w:spacing w:after="0" w:line="276" w:lineRule="auto"/>
              <w:rPr>
                <w:rFonts w:ascii="Times New Roman" w:eastAsia="Times New Roman" w:hAnsi="Times New Roman" w:cs="Times New Roman"/>
                <w:color w:val="000000"/>
                <w:lang w:val="fr-FR" w:eastAsia="en-GB"/>
              </w:rPr>
            </w:pPr>
            <w:r w:rsidRPr="006F32B6">
              <w:rPr>
                <w:rFonts w:ascii="Times New Roman" w:eastAsia="Times New Roman" w:hAnsi="Times New Roman" w:cs="Times New Roman"/>
                <w:color w:val="000000"/>
                <w:lang w:val="fr-FR" w:eastAsia="en-GB"/>
              </w:rPr>
              <w:t>Folke, 2006; Walker et al., 2004, Chaigneau et al., 2022</w:t>
            </w:r>
          </w:p>
        </w:tc>
      </w:tr>
      <w:tr w:rsidR="006F32B6" w:rsidRPr="006F32B6" w14:paraId="3350287E" w14:textId="77777777" w:rsidTr="006F32B6">
        <w:trPr>
          <w:trHeight w:val="288"/>
        </w:trPr>
        <w:tc>
          <w:tcPr>
            <w:tcW w:w="3060" w:type="dxa"/>
            <w:tcBorders>
              <w:top w:val="single" w:sz="4" w:space="0" w:color="auto"/>
              <w:left w:val="nil"/>
              <w:bottom w:val="single" w:sz="4" w:space="0" w:color="auto"/>
              <w:right w:val="nil"/>
            </w:tcBorders>
            <w:shd w:val="clear" w:color="auto" w:fill="auto"/>
            <w:noWrap/>
            <w:hideMark/>
          </w:tcPr>
          <w:p w14:paraId="23987698"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Poulton et al., 2016</w:t>
            </w:r>
          </w:p>
        </w:tc>
        <w:tc>
          <w:tcPr>
            <w:tcW w:w="5940" w:type="dxa"/>
            <w:tcBorders>
              <w:top w:val="single" w:sz="4" w:space="0" w:color="auto"/>
              <w:left w:val="nil"/>
              <w:bottom w:val="single" w:sz="4" w:space="0" w:color="auto"/>
              <w:right w:val="nil"/>
            </w:tcBorders>
            <w:shd w:val="clear" w:color="auto" w:fill="auto"/>
            <w:hideMark/>
          </w:tcPr>
          <w:p w14:paraId="2B0A7851"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c>
          <w:tcPr>
            <w:tcW w:w="3160" w:type="dxa"/>
            <w:tcBorders>
              <w:top w:val="single" w:sz="4" w:space="0" w:color="auto"/>
              <w:left w:val="nil"/>
              <w:bottom w:val="single" w:sz="4" w:space="0" w:color="auto"/>
              <w:right w:val="nil"/>
            </w:tcBorders>
            <w:shd w:val="clear" w:color="auto" w:fill="auto"/>
            <w:hideMark/>
          </w:tcPr>
          <w:p w14:paraId="4BB67FC3"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
        </w:tc>
      </w:tr>
      <w:tr w:rsidR="006F32B6" w:rsidRPr="006F32B6" w14:paraId="189512D0" w14:textId="77777777" w:rsidTr="006F32B6">
        <w:trPr>
          <w:trHeight w:val="552"/>
        </w:trPr>
        <w:tc>
          <w:tcPr>
            <w:tcW w:w="3060" w:type="dxa"/>
            <w:tcBorders>
              <w:top w:val="single" w:sz="4" w:space="0" w:color="auto"/>
              <w:left w:val="nil"/>
              <w:bottom w:val="single" w:sz="4" w:space="0" w:color="auto"/>
              <w:right w:val="nil"/>
            </w:tcBorders>
            <w:shd w:val="clear" w:color="auto" w:fill="auto"/>
            <w:noWrap/>
            <w:hideMark/>
          </w:tcPr>
          <w:p w14:paraId="252E3CA5"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Rodriguez et al., 2011</w:t>
            </w:r>
          </w:p>
        </w:tc>
        <w:tc>
          <w:tcPr>
            <w:tcW w:w="5940" w:type="dxa"/>
            <w:tcBorders>
              <w:top w:val="single" w:sz="4" w:space="0" w:color="auto"/>
              <w:left w:val="nil"/>
              <w:bottom w:val="single" w:sz="4" w:space="0" w:color="auto"/>
              <w:right w:val="nil"/>
            </w:tcBorders>
            <w:shd w:val="clear" w:color="auto" w:fill="auto"/>
            <w:hideMark/>
          </w:tcPr>
          <w:p w14:paraId="79D95BBB"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"ability of a farm business to absorb disturbances while remaining productive and profitable"</w:t>
            </w:r>
          </w:p>
        </w:tc>
        <w:tc>
          <w:tcPr>
            <w:tcW w:w="3160" w:type="dxa"/>
            <w:tcBorders>
              <w:top w:val="single" w:sz="4" w:space="0" w:color="auto"/>
              <w:left w:val="nil"/>
              <w:bottom w:val="single" w:sz="4" w:space="0" w:color="auto"/>
              <w:right w:val="nil"/>
            </w:tcBorders>
            <w:shd w:val="clear" w:color="auto" w:fill="auto"/>
            <w:noWrap/>
            <w:hideMark/>
          </w:tcPr>
          <w:p w14:paraId="22A11450"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IPCC 2007</w:t>
            </w:r>
          </w:p>
        </w:tc>
      </w:tr>
      <w:tr w:rsidR="006F32B6" w:rsidRPr="006F32B6" w14:paraId="5C675A6F" w14:textId="77777777" w:rsidTr="006F32B6">
        <w:trPr>
          <w:trHeight w:val="288"/>
        </w:trPr>
        <w:tc>
          <w:tcPr>
            <w:tcW w:w="3060" w:type="dxa"/>
            <w:tcBorders>
              <w:top w:val="single" w:sz="4" w:space="0" w:color="auto"/>
              <w:left w:val="nil"/>
              <w:bottom w:val="single" w:sz="4" w:space="0" w:color="auto"/>
              <w:right w:val="nil"/>
            </w:tcBorders>
            <w:shd w:val="clear" w:color="auto" w:fill="auto"/>
            <w:noWrap/>
            <w:hideMark/>
          </w:tcPr>
          <w:p w14:paraId="29FF6F8F"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Singh et al., 2020</w:t>
            </w:r>
          </w:p>
        </w:tc>
        <w:tc>
          <w:tcPr>
            <w:tcW w:w="5940" w:type="dxa"/>
            <w:tcBorders>
              <w:top w:val="single" w:sz="4" w:space="0" w:color="auto"/>
              <w:left w:val="nil"/>
              <w:bottom w:val="single" w:sz="4" w:space="0" w:color="auto"/>
              <w:right w:val="nil"/>
            </w:tcBorders>
            <w:shd w:val="clear" w:color="auto" w:fill="auto"/>
            <w:hideMark/>
          </w:tcPr>
          <w:p w14:paraId="47678B0E"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c>
          <w:tcPr>
            <w:tcW w:w="3160" w:type="dxa"/>
            <w:tcBorders>
              <w:top w:val="single" w:sz="4" w:space="0" w:color="auto"/>
              <w:left w:val="nil"/>
              <w:bottom w:val="single" w:sz="4" w:space="0" w:color="auto"/>
              <w:right w:val="nil"/>
            </w:tcBorders>
            <w:shd w:val="clear" w:color="auto" w:fill="auto"/>
            <w:noWrap/>
            <w:hideMark/>
          </w:tcPr>
          <w:p w14:paraId="6A4E6436"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
        </w:tc>
      </w:tr>
      <w:tr w:rsidR="006F32B6" w:rsidRPr="006F32B6" w14:paraId="3EA1A589" w14:textId="77777777" w:rsidTr="006F32B6">
        <w:trPr>
          <w:trHeight w:val="828"/>
        </w:trPr>
        <w:tc>
          <w:tcPr>
            <w:tcW w:w="3060" w:type="dxa"/>
            <w:tcBorders>
              <w:top w:val="single" w:sz="4" w:space="0" w:color="auto"/>
              <w:left w:val="nil"/>
              <w:bottom w:val="single" w:sz="4" w:space="0" w:color="auto"/>
              <w:right w:val="nil"/>
            </w:tcBorders>
            <w:shd w:val="clear" w:color="auto" w:fill="auto"/>
            <w:noWrap/>
            <w:hideMark/>
          </w:tcPr>
          <w:p w14:paraId="040546F8"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Son et al., 2021</w:t>
            </w:r>
          </w:p>
        </w:tc>
        <w:tc>
          <w:tcPr>
            <w:tcW w:w="5940" w:type="dxa"/>
            <w:tcBorders>
              <w:top w:val="single" w:sz="4" w:space="0" w:color="auto"/>
              <w:left w:val="nil"/>
              <w:bottom w:val="single" w:sz="4" w:space="0" w:color="auto"/>
              <w:right w:val="nil"/>
            </w:tcBorders>
            <w:shd w:val="clear" w:color="auto" w:fill="auto"/>
            <w:hideMark/>
          </w:tcPr>
          <w:p w14:paraId="5980481F"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"capacity to deal with change and continue to develop" through "coping abilities to withstand, recover  from stresses and surprises, and adapt to climate variability and change"</w:t>
            </w:r>
          </w:p>
        </w:tc>
        <w:tc>
          <w:tcPr>
            <w:tcW w:w="3160" w:type="dxa"/>
            <w:tcBorders>
              <w:top w:val="single" w:sz="4" w:space="0" w:color="auto"/>
              <w:left w:val="nil"/>
              <w:bottom w:val="single" w:sz="4" w:space="0" w:color="auto"/>
              <w:right w:val="nil"/>
            </w:tcBorders>
            <w:shd w:val="clear" w:color="auto" w:fill="auto"/>
            <w:noWrap/>
            <w:hideMark/>
          </w:tcPr>
          <w:p w14:paraId="295BB7A9"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
        </w:tc>
      </w:tr>
      <w:tr w:rsidR="006F32B6" w:rsidRPr="006F32B6" w14:paraId="23E08266" w14:textId="77777777" w:rsidTr="006F32B6">
        <w:trPr>
          <w:trHeight w:val="828"/>
        </w:trPr>
        <w:tc>
          <w:tcPr>
            <w:tcW w:w="3060" w:type="dxa"/>
            <w:tcBorders>
              <w:top w:val="single" w:sz="4" w:space="0" w:color="auto"/>
              <w:left w:val="nil"/>
              <w:bottom w:val="single" w:sz="4" w:space="0" w:color="auto"/>
              <w:right w:val="nil"/>
            </w:tcBorders>
            <w:shd w:val="clear" w:color="auto" w:fill="auto"/>
            <w:noWrap/>
            <w:hideMark/>
          </w:tcPr>
          <w:p w14:paraId="5A585C20"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Souissi et al., 2018</w:t>
            </w:r>
          </w:p>
        </w:tc>
        <w:tc>
          <w:tcPr>
            <w:tcW w:w="5940" w:type="dxa"/>
            <w:tcBorders>
              <w:top w:val="single" w:sz="4" w:space="0" w:color="auto"/>
              <w:left w:val="nil"/>
              <w:bottom w:val="single" w:sz="4" w:space="0" w:color="auto"/>
              <w:right w:val="nil"/>
            </w:tcBorders>
            <w:shd w:val="clear" w:color="auto" w:fill="auto"/>
            <w:hideMark/>
          </w:tcPr>
          <w:p w14:paraId="0AD30BEC"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"ability to reorganize and maintain the function and structure of systems that are interconnected and cover different spatial and temporal scales"</w:t>
            </w:r>
          </w:p>
        </w:tc>
        <w:tc>
          <w:tcPr>
            <w:tcW w:w="3160" w:type="dxa"/>
            <w:tcBorders>
              <w:top w:val="single" w:sz="4" w:space="0" w:color="auto"/>
              <w:left w:val="nil"/>
              <w:bottom w:val="single" w:sz="4" w:space="0" w:color="auto"/>
              <w:right w:val="nil"/>
            </w:tcBorders>
            <w:shd w:val="clear" w:color="auto" w:fill="auto"/>
            <w:hideMark/>
          </w:tcPr>
          <w:p w14:paraId="5D7D1D79"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xml:space="preserve">Carpenter et al. 2001; </w:t>
            </w:r>
            <w:proofErr w:type="spellStart"/>
            <w:r w:rsidRPr="006F32B6">
              <w:rPr>
                <w:rFonts w:ascii="Times New Roman" w:eastAsia="Times New Roman" w:hAnsi="Times New Roman" w:cs="Times New Roman"/>
                <w:color w:val="000000"/>
                <w:lang w:eastAsia="en-GB"/>
              </w:rPr>
              <w:t>Enfors</w:t>
            </w:r>
            <w:proofErr w:type="spellEnd"/>
            <w:r w:rsidRPr="006F32B6">
              <w:rPr>
                <w:rFonts w:ascii="Times New Roman" w:eastAsia="Times New Roman" w:hAnsi="Times New Roman" w:cs="Times New Roman"/>
                <w:color w:val="000000"/>
                <w:lang w:eastAsia="en-GB"/>
              </w:rPr>
              <w:t xml:space="preserve"> and Gordon 2007; Walker et al. 2004</w:t>
            </w:r>
          </w:p>
        </w:tc>
      </w:tr>
      <w:tr w:rsidR="006F32B6" w:rsidRPr="006F32B6" w14:paraId="0B76C150" w14:textId="77777777" w:rsidTr="006F32B6">
        <w:trPr>
          <w:trHeight w:val="1152"/>
        </w:trPr>
        <w:tc>
          <w:tcPr>
            <w:tcW w:w="3060" w:type="dxa"/>
            <w:tcBorders>
              <w:top w:val="single" w:sz="4" w:space="0" w:color="auto"/>
              <w:left w:val="nil"/>
              <w:bottom w:val="single" w:sz="4" w:space="0" w:color="auto"/>
              <w:right w:val="nil"/>
            </w:tcBorders>
            <w:shd w:val="clear" w:color="auto" w:fill="auto"/>
            <w:noWrap/>
            <w:hideMark/>
          </w:tcPr>
          <w:p w14:paraId="76F75BEB"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Srinidhi et al., 2024</w:t>
            </w:r>
          </w:p>
        </w:tc>
        <w:tc>
          <w:tcPr>
            <w:tcW w:w="5940" w:type="dxa"/>
            <w:tcBorders>
              <w:top w:val="single" w:sz="4" w:space="0" w:color="auto"/>
              <w:left w:val="nil"/>
              <w:bottom w:val="single" w:sz="4" w:space="0" w:color="auto"/>
              <w:right w:val="nil"/>
            </w:tcBorders>
            <w:shd w:val="clear" w:color="auto" w:fill="auto"/>
            <w:hideMark/>
          </w:tcPr>
          <w:p w14:paraId="0A8E308C"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"resilience is the capacity of a system to dynamically respond to, recover from and even thrive in changing climate conditions while continuing to maintain essential functions, identities and structures"</w:t>
            </w:r>
          </w:p>
        </w:tc>
        <w:tc>
          <w:tcPr>
            <w:tcW w:w="3160" w:type="dxa"/>
            <w:tcBorders>
              <w:top w:val="single" w:sz="4" w:space="0" w:color="auto"/>
              <w:left w:val="nil"/>
              <w:bottom w:val="single" w:sz="4" w:space="0" w:color="auto"/>
              <w:right w:val="nil"/>
            </w:tcBorders>
            <w:shd w:val="clear" w:color="auto" w:fill="auto"/>
            <w:hideMark/>
          </w:tcPr>
          <w:p w14:paraId="0BE92D2D"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Dixon &amp; Stringer, 2015; Rockefeller Foundation, 2009</w:t>
            </w:r>
          </w:p>
        </w:tc>
      </w:tr>
      <w:tr w:rsidR="006F32B6" w:rsidRPr="006F32B6" w14:paraId="09FFF21A" w14:textId="77777777" w:rsidTr="006F32B6">
        <w:trPr>
          <w:trHeight w:val="288"/>
        </w:trPr>
        <w:tc>
          <w:tcPr>
            <w:tcW w:w="3060" w:type="dxa"/>
            <w:tcBorders>
              <w:top w:val="single" w:sz="4" w:space="0" w:color="auto"/>
              <w:left w:val="nil"/>
              <w:bottom w:val="single" w:sz="4" w:space="0" w:color="auto"/>
              <w:right w:val="nil"/>
            </w:tcBorders>
            <w:shd w:val="clear" w:color="auto" w:fill="auto"/>
            <w:noWrap/>
            <w:hideMark/>
          </w:tcPr>
          <w:p w14:paraId="65E2C2BF"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Taremwa</w:t>
            </w:r>
            <w:proofErr w:type="spellEnd"/>
            <w:r w:rsidRPr="006F32B6">
              <w:rPr>
                <w:rFonts w:ascii="Times New Roman" w:eastAsia="Times New Roman" w:hAnsi="Times New Roman" w:cs="Times New Roman"/>
                <w:color w:val="000000"/>
                <w:lang w:eastAsia="en-GB"/>
              </w:rPr>
              <w:t xml:space="preserve"> et al., 2016</w:t>
            </w:r>
          </w:p>
        </w:tc>
        <w:tc>
          <w:tcPr>
            <w:tcW w:w="5940" w:type="dxa"/>
            <w:tcBorders>
              <w:top w:val="single" w:sz="4" w:space="0" w:color="auto"/>
              <w:left w:val="nil"/>
              <w:bottom w:val="single" w:sz="4" w:space="0" w:color="auto"/>
              <w:right w:val="nil"/>
            </w:tcBorders>
            <w:shd w:val="clear" w:color="auto" w:fill="auto"/>
            <w:hideMark/>
          </w:tcPr>
          <w:p w14:paraId="47560B6D"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No definition</w:t>
            </w:r>
          </w:p>
        </w:tc>
        <w:tc>
          <w:tcPr>
            <w:tcW w:w="3160" w:type="dxa"/>
            <w:tcBorders>
              <w:top w:val="single" w:sz="4" w:space="0" w:color="auto"/>
              <w:left w:val="nil"/>
              <w:bottom w:val="single" w:sz="4" w:space="0" w:color="auto"/>
              <w:right w:val="nil"/>
            </w:tcBorders>
            <w:shd w:val="clear" w:color="auto" w:fill="auto"/>
            <w:hideMark/>
          </w:tcPr>
          <w:p w14:paraId="4B013FF8"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
        </w:tc>
      </w:tr>
      <w:tr w:rsidR="006F32B6" w:rsidRPr="006F32B6" w14:paraId="59275ACC" w14:textId="77777777" w:rsidTr="006F32B6">
        <w:trPr>
          <w:trHeight w:val="864"/>
        </w:trPr>
        <w:tc>
          <w:tcPr>
            <w:tcW w:w="3060" w:type="dxa"/>
            <w:tcBorders>
              <w:top w:val="single" w:sz="4" w:space="0" w:color="auto"/>
              <w:left w:val="nil"/>
              <w:bottom w:val="single" w:sz="4" w:space="0" w:color="auto"/>
              <w:right w:val="nil"/>
            </w:tcBorders>
            <w:shd w:val="clear" w:color="auto" w:fill="auto"/>
            <w:noWrap/>
            <w:hideMark/>
          </w:tcPr>
          <w:p w14:paraId="3AF77D3A"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lastRenderedPageBreak/>
              <w:t>Tran and Cook, 2024</w:t>
            </w:r>
          </w:p>
        </w:tc>
        <w:tc>
          <w:tcPr>
            <w:tcW w:w="5940" w:type="dxa"/>
            <w:tcBorders>
              <w:top w:val="single" w:sz="4" w:space="0" w:color="auto"/>
              <w:left w:val="nil"/>
              <w:bottom w:val="single" w:sz="4" w:space="0" w:color="auto"/>
              <w:right w:val="nil"/>
            </w:tcBorders>
            <w:shd w:val="clear" w:color="auto" w:fill="auto"/>
            <w:hideMark/>
          </w:tcPr>
          <w:p w14:paraId="438BF33C"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“capacity to live with complexity, uncertainty and change, and to continuously develop in the context of everchanging environments”</w:t>
            </w:r>
          </w:p>
        </w:tc>
        <w:tc>
          <w:tcPr>
            <w:tcW w:w="3160" w:type="dxa"/>
            <w:tcBorders>
              <w:top w:val="single" w:sz="4" w:space="0" w:color="auto"/>
              <w:left w:val="nil"/>
              <w:bottom w:val="single" w:sz="4" w:space="0" w:color="auto"/>
              <w:right w:val="nil"/>
            </w:tcBorders>
            <w:shd w:val="clear" w:color="auto" w:fill="auto"/>
            <w:hideMark/>
          </w:tcPr>
          <w:p w14:paraId="6AFF247A"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 xml:space="preserve"> Folke et al., 2021</w:t>
            </w:r>
          </w:p>
        </w:tc>
      </w:tr>
      <w:tr w:rsidR="006F32B6" w:rsidRPr="006F32B6" w14:paraId="0AFD689D" w14:textId="77777777" w:rsidTr="006F32B6">
        <w:trPr>
          <w:trHeight w:val="552"/>
        </w:trPr>
        <w:tc>
          <w:tcPr>
            <w:tcW w:w="3060" w:type="dxa"/>
            <w:tcBorders>
              <w:top w:val="single" w:sz="4" w:space="0" w:color="auto"/>
              <w:left w:val="nil"/>
              <w:bottom w:val="single" w:sz="4" w:space="0" w:color="auto"/>
              <w:right w:val="nil"/>
            </w:tcBorders>
            <w:shd w:val="clear" w:color="auto" w:fill="auto"/>
            <w:noWrap/>
            <w:hideMark/>
          </w:tcPr>
          <w:p w14:paraId="55D33553"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Williams et al., 2020</w:t>
            </w:r>
          </w:p>
        </w:tc>
        <w:tc>
          <w:tcPr>
            <w:tcW w:w="5940" w:type="dxa"/>
            <w:tcBorders>
              <w:top w:val="single" w:sz="4" w:space="0" w:color="auto"/>
              <w:left w:val="nil"/>
              <w:bottom w:val="single" w:sz="4" w:space="0" w:color="auto"/>
              <w:right w:val="nil"/>
            </w:tcBorders>
            <w:shd w:val="clear" w:color="auto" w:fill="auto"/>
            <w:hideMark/>
          </w:tcPr>
          <w:p w14:paraId="22B19C9A"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Capacity to maintain high levels of food security throughout and following a drought</w:t>
            </w:r>
          </w:p>
        </w:tc>
        <w:tc>
          <w:tcPr>
            <w:tcW w:w="3160" w:type="dxa"/>
            <w:tcBorders>
              <w:top w:val="single" w:sz="4" w:space="0" w:color="auto"/>
              <w:left w:val="nil"/>
              <w:bottom w:val="single" w:sz="4" w:space="0" w:color="auto"/>
              <w:right w:val="nil"/>
            </w:tcBorders>
            <w:shd w:val="clear" w:color="auto" w:fill="auto"/>
            <w:hideMark/>
          </w:tcPr>
          <w:p w14:paraId="12D1858F"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
        </w:tc>
      </w:tr>
      <w:tr w:rsidR="006F32B6" w:rsidRPr="006F32B6" w14:paraId="6A1A5F58" w14:textId="77777777" w:rsidTr="006F32B6">
        <w:trPr>
          <w:trHeight w:val="864"/>
        </w:trPr>
        <w:tc>
          <w:tcPr>
            <w:tcW w:w="3060" w:type="dxa"/>
            <w:tcBorders>
              <w:top w:val="single" w:sz="4" w:space="0" w:color="auto"/>
              <w:left w:val="nil"/>
              <w:bottom w:val="single" w:sz="4" w:space="0" w:color="auto"/>
              <w:right w:val="nil"/>
            </w:tcBorders>
            <w:shd w:val="clear" w:color="auto" w:fill="auto"/>
            <w:noWrap/>
            <w:hideMark/>
          </w:tcPr>
          <w:p w14:paraId="36A30236"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proofErr w:type="spellStart"/>
            <w:r w:rsidRPr="006F32B6">
              <w:rPr>
                <w:rFonts w:ascii="Times New Roman" w:eastAsia="Times New Roman" w:hAnsi="Times New Roman" w:cs="Times New Roman"/>
                <w:color w:val="000000"/>
                <w:lang w:eastAsia="en-GB"/>
              </w:rPr>
              <w:t>Yessoufou</w:t>
            </w:r>
            <w:proofErr w:type="spellEnd"/>
            <w:r w:rsidRPr="006F32B6">
              <w:rPr>
                <w:rFonts w:ascii="Times New Roman" w:eastAsia="Times New Roman" w:hAnsi="Times New Roman" w:cs="Times New Roman"/>
                <w:color w:val="000000"/>
                <w:lang w:eastAsia="en-GB"/>
              </w:rPr>
              <w:t xml:space="preserve"> et al., 2024</w:t>
            </w:r>
          </w:p>
        </w:tc>
        <w:tc>
          <w:tcPr>
            <w:tcW w:w="5940" w:type="dxa"/>
            <w:tcBorders>
              <w:top w:val="single" w:sz="4" w:space="0" w:color="auto"/>
              <w:left w:val="nil"/>
              <w:bottom w:val="single" w:sz="4" w:space="0" w:color="auto"/>
              <w:right w:val="nil"/>
            </w:tcBorders>
            <w:shd w:val="clear" w:color="auto" w:fill="auto"/>
            <w:hideMark/>
          </w:tcPr>
          <w:p w14:paraId="2698ADC8"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“Resilience here covers the ability to cope with risk, to adapt, and to transform […], but also the ability to prepare before the risk occurs”</w:t>
            </w:r>
          </w:p>
        </w:tc>
        <w:tc>
          <w:tcPr>
            <w:tcW w:w="3160" w:type="dxa"/>
            <w:tcBorders>
              <w:top w:val="single" w:sz="4" w:space="0" w:color="auto"/>
              <w:left w:val="nil"/>
              <w:bottom w:val="single" w:sz="4" w:space="0" w:color="auto"/>
              <w:right w:val="nil"/>
            </w:tcBorders>
            <w:shd w:val="clear" w:color="auto" w:fill="auto"/>
            <w:hideMark/>
          </w:tcPr>
          <w:p w14:paraId="4A4F952B" w14:textId="77777777" w:rsidR="006F32B6" w:rsidRPr="006F32B6" w:rsidRDefault="006F32B6" w:rsidP="006F32B6">
            <w:pPr>
              <w:spacing w:after="0" w:line="276" w:lineRule="auto"/>
              <w:rPr>
                <w:rFonts w:ascii="Times New Roman" w:eastAsia="Times New Roman" w:hAnsi="Times New Roman" w:cs="Times New Roman"/>
                <w:color w:val="000000"/>
                <w:lang w:eastAsia="en-GB"/>
              </w:rPr>
            </w:pPr>
            <w:r w:rsidRPr="006F32B6">
              <w:rPr>
                <w:rFonts w:ascii="Times New Roman" w:eastAsia="Times New Roman" w:hAnsi="Times New Roman" w:cs="Times New Roman"/>
                <w:color w:val="000000"/>
                <w:lang w:eastAsia="en-GB"/>
              </w:rPr>
              <w:t>Folke et al. 2002</w:t>
            </w:r>
          </w:p>
        </w:tc>
      </w:tr>
    </w:tbl>
    <w:p w14:paraId="63B93482" w14:textId="77777777" w:rsidR="00870194" w:rsidRPr="006F32B6" w:rsidRDefault="00870194" w:rsidP="00A96D37">
      <w:pPr>
        <w:spacing w:line="360" w:lineRule="auto"/>
        <w:rPr>
          <w:rFonts w:ascii="Times New Roman" w:hAnsi="Times New Roman" w:cs="Times New Roman"/>
          <w:lang w:val="en-US"/>
        </w:rPr>
      </w:pPr>
    </w:p>
    <w:p w14:paraId="16FA6CB0" w14:textId="694F3790" w:rsidR="000C7609" w:rsidRPr="00FF4B56" w:rsidRDefault="00853122" w:rsidP="004F1AB1">
      <w:pPr>
        <w:pStyle w:val="Heading3"/>
        <w:spacing w:line="360" w:lineRule="auto"/>
        <w:jc w:val="both"/>
        <w:rPr>
          <w:rFonts w:cs="Times New Roman"/>
          <w:szCs w:val="22"/>
        </w:rPr>
      </w:pPr>
      <w:r w:rsidRPr="00FF4B56">
        <w:rPr>
          <w:rFonts w:cs="Times New Roman"/>
          <w:szCs w:val="22"/>
        </w:rPr>
        <w:t>Table S</w:t>
      </w:r>
      <w:r w:rsidR="002066C9" w:rsidRPr="00FF4B56">
        <w:rPr>
          <w:rFonts w:cs="Times New Roman"/>
          <w:szCs w:val="22"/>
        </w:rPr>
        <w:t>2</w:t>
      </w:r>
      <w:r w:rsidRPr="00FF4B56">
        <w:rPr>
          <w:rFonts w:cs="Times New Roman"/>
          <w:szCs w:val="22"/>
        </w:rPr>
        <w:t xml:space="preserve">: List of the </w:t>
      </w:r>
      <w:r w:rsidR="00870194" w:rsidRPr="00FF4B56">
        <w:rPr>
          <w:rFonts w:cs="Times New Roman"/>
          <w:szCs w:val="22"/>
        </w:rPr>
        <w:t>3</w:t>
      </w:r>
      <w:r w:rsidR="005C0424">
        <w:rPr>
          <w:rFonts w:cs="Times New Roman"/>
          <w:szCs w:val="22"/>
        </w:rPr>
        <w:t>6</w:t>
      </w:r>
      <w:r w:rsidR="00870194" w:rsidRPr="00FF4B56">
        <w:rPr>
          <w:rFonts w:cs="Times New Roman"/>
          <w:szCs w:val="22"/>
        </w:rPr>
        <w:t xml:space="preserve"> </w:t>
      </w:r>
      <w:r w:rsidRPr="00FF4B56">
        <w:rPr>
          <w:rFonts w:cs="Times New Roman"/>
          <w:szCs w:val="22"/>
        </w:rPr>
        <w:t xml:space="preserve">attributes used in the </w:t>
      </w:r>
      <w:r w:rsidR="00D2738D" w:rsidRPr="00FF4B56">
        <w:rPr>
          <w:rFonts w:cs="Times New Roman"/>
          <w:i/>
          <w:iCs/>
          <w:szCs w:val="22"/>
        </w:rPr>
        <w:t>attribute-based</w:t>
      </w:r>
      <w:r w:rsidRPr="00FF4B56">
        <w:rPr>
          <w:rFonts w:cs="Times New Roman"/>
          <w:szCs w:val="22"/>
        </w:rPr>
        <w:t xml:space="preserve"> and the </w:t>
      </w:r>
      <w:r w:rsidR="00D2738D" w:rsidRPr="00FF4B56">
        <w:rPr>
          <w:rFonts w:cs="Times New Roman"/>
          <w:i/>
          <w:iCs/>
          <w:szCs w:val="22"/>
        </w:rPr>
        <w:t>performance-based</w:t>
      </w:r>
      <w:r w:rsidRPr="00FF4B56">
        <w:rPr>
          <w:rFonts w:cs="Times New Roman"/>
          <w:szCs w:val="22"/>
        </w:rPr>
        <w:t xml:space="preserve"> body of literature.</w:t>
      </w:r>
    </w:p>
    <w:tbl>
      <w:tblPr>
        <w:tblW w:w="0" w:type="auto"/>
        <w:tblLook w:val="04A0" w:firstRow="1" w:lastRow="0" w:firstColumn="1" w:lastColumn="0" w:noHBand="0" w:noVBand="1"/>
      </w:tblPr>
      <w:tblGrid>
        <w:gridCol w:w="222"/>
        <w:gridCol w:w="1848"/>
        <w:gridCol w:w="5310"/>
        <w:gridCol w:w="1350"/>
        <w:gridCol w:w="5274"/>
      </w:tblGrid>
      <w:tr w:rsidR="003002A3" w:rsidRPr="00FF4B56" w14:paraId="0F295076" w14:textId="5381F9EC" w:rsidTr="00406364">
        <w:trPr>
          <w:trHeight w:val="288"/>
        </w:trPr>
        <w:tc>
          <w:tcPr>
            <w:tcW w:w="0" w:type="auto"/>
            <w:tcBorders>
              <w:top w:val="nil"/>
              <w:left w:val="nil"/>
              <w:bottom w:val="single" w:sz="4" w:space="0" w:color="auto"/>
              <w:right w:val="nil"/>
            </w:tcBorders>
            <w:shd w:val="clear" w:color="000000" w:fill="FFFFFF"/>
          </w:tcPr>
          <w:p w14:paraId="24D43350" w14:textId="77777777" w:rsidR="003002A3" w:rsidRPr="00FF4B56" w:rsidRDefault="003002A3" w:rsidP="00406364">
            <w:pPr>
              <w:spacing w:after="0" w:line="360" w:lineRule="auto"/>
              <w:rPr>
                <w:rFonts w:ascii="Times New Roman" w:eastAsia="Times New Roman" w:hAnsi="Times New Roman" w:cs="Times New Roman"/>
                <w:b/>
                <w:bCs/>
                <w:color w:val="000000"/>
                <w:lang w:eastAsia="en-GB"/>
              </w:rPr>
            </w:pPr>
          </w:p>
        </w:tc>
        <w:tc>
          <w:tcPr>
            <w:tcW w:w="1848" w:type="dxa"/>
            <w:tcBorders>
              <w:top w:val="nil"/>
              <w:left w:val="nil"/>
              <w:bottom w:val="single" w:sz="4" w:space="0" w:color="auto"/>
              <w:right w:val="nil"/>
            </w:tcBorders>
            <w:shd w:val="clear" w:color="000000" w:fill="FFFFFF"/>
            <w:noWrap/>
            <w:hideMark/>
          </w:tcPr>
          <w:p w14:paraId="48888D81" w14:textId="596C24FF" w:rsidR="003002A3" w:rsidRPr="00FF4B56" w:rsidRDefault="003002A3" w:rsidP="00406364">
            <w:pPr>
              <w:spacing w:after="0" w:line="360" w:lineRule="auto"/>
              <w:rPr>
                <w:rFonts w:ascii="Times New Roman" w:eastAsia="Times New Roman" w:hAnsi="Times New Roman" w:cs="Times New Roman"/>
                <w:b/>
                <w:bCs/>
                <w:color w:val="000000"/>
                <w:lang w:eastAsia="en-GB"/>
              </w:rPr>
            </w:pPr>
            <w:r w:rsidRPr="00FF4B56">
              <w:rPr>
                <w:rFonts w:ascii="Times New Roman" w:eastAsia="Times New Roman" w:hAnsi="Times New Roman" w:cs="Times New Roman"/>
                <w:b/>
                <w:bCs/>
                <w:color w:val="000000"/>
                <w:lang w:eastAsia="en-GB"/>
              </w:rPr>
              <w:t>Attribute category defined for the review</w:t>
            </w:r>
          </w:p>
        </w:tc>
        <w:tc>
          <w:tcPr>
            <w:tcW w:w="5310" w:type="dxa"/>
            <w:tcBorders>
              <w:top w:val="nil"/>
              <w:left w:val="nil"/>
              <w:bottom w:val="single" w:sz="4" w:space="0" w:color="auto"/>
              <w:right w:val="nil"/>
            </w:tcBorders>
            <w:shd w:val="clear" w:color="000000" w:fill="FFFFFF"/>
            <w:noWrap/>
            <w:hideMark/>
          </w:tcPr>
          <w:p w14:paraId="39A95665" w14:textId="316D2220" w:rsidR="003002A3" w:rsidRPr="00FF4B56" w:rsidRDefault="003002A3" w:rsidP="00406364">
            <w:pPr>
              <w:spacing w:after="0" w:line="360" w:lineRule="auto"/>
              <w:rPr>
                <w:rFonts w:ascii="Times New Roman" w:eastAsia="Times New Roman" w:hAnsi="Times New Roman" w:cs="Times New Roman"/>
                <w:b/>
                <w:bCs/>
                <w:color w:val="000000"/>
                <w:lang w:eastAsia="en-GB"/>
              </w:rPr>
            </w:pPr>
            <w:r w:rsidRPr="00FF4B56">
              <w:rPr>
                <w:rFonts w:ascii="Times New Roman" w:eastAsia="Times New Roman" w:hAnsi="Times New Roman" w:cs="Times New Roman"/>
                <w:b/>
                <w:bCs/>
                <w:color w:val="000000"/>
                <w:lang w:eastAsia="en-GB"/>
              </w:rPr>
              <w:t>Attributes used by the authors</w:t>
            </w:r>
            <w:r w:rsidR="008B6DCB" w:rsidRPr="00FF4B56">
              <w:rPr>
                <w:rFonts w:ascii="Times New Roman" w:eastAsia="Times New Roman" w:hAnsi="Times New Roman" w:cs="Times New Roman"/>
                <w:b/>
                <w:bCs/>
                <w:color w:val="000000"/>
                <w:lang w:eastAsia="en-GB"/>
              </w:rPr>
              <w:t xml:space="preserve"> in the studies of the systematic review</w:t>
            </w:r>
          </w:p>
        </w:tc>
        <w:tc>
          <w:tcPr>
            <w:tcW w:w="1350" w:type="dxa"/>
            <w:tcBorders>
              <w:top w:val="nil"/>
              <w:left w:val="nil"/>
              <w:bottom w:val="single" w:sz="4" w:space="0" w:color="auto"/>
              <w:right w:val="nil"/>
            </w:tcBorders>
            <w:shd w:val="clear" w:color="000000" w:fill="FFFFFF"/>
            <w:noWrap/>
            <w:hideMark/>
          </w:tcPr>
          <w:p w14:paraId="306433F0" w14:textId="77777777" w:rsidR="003002A3" w:rsidRPr="00FF4B56" w:rsidRDefault="003002A3" w:rsidP="00406364">
            <w:pPr>
              <w:spacing w:after="0" w:line="360" w:lineRule="auto"/>
              <w:rPr>
                <w:rFonts w:ascii="Times New Roman" w:eastAsia="Times New Roman" w:hAnsi="Times New Roman" w:cs="Times New Roman"/>
                <w:b/>
                <w:bCs/>
                <w:color w:val="000000"/>
                <w:lang w:eastAsia="en-GB"/>
              </w:rPr>
            </w:pPr>
            <w:r w:rsidRPr="00FF4B56">
              <w:rPr>
                <w:rFonts w:ascii="Times New Roman" w:eastAsia="Times New Roman" w:hAnsi="Times New Roman" w:cs="Times New Roman"/>
                <w:b/>
                <w:bCs/>
                <w:color w:val="000000"/>
                <w:lang w:eastAsia="en-GB"/>
              </w:rPr>
              <w:t>Attribute occurrence</w:t>
            </w:r>
          </w:p>
        </w:tc>
        <w:tc>
          <w:tcPr>
            <w:tcW w:w="5274" w:type="dxa"/>
            <w:tcBorders>
              <w:top w:val="nil"/>
              <w:left w:val="nil"/>
              <w:bottom w:val="single" w:sz="4" w:space="0" w:color="auto"/>
              <w:right w:val="nil"/>
            </w:tcBorders>
            <w:shd w:val="clear" w:color="000000" w:fill="FFFFFF"/>
          </w:tcPr>
          <w:p w14:paraId="3C5DC4B3" w14:textId="224C04CD" w:rsidR="003002A3" w:rsidRPr="00FF4B56" w:rsidRDefault="003002A3" w:rsidP="00406364">
            <w:pPr>
              <w:spacing w:after="0" w:line="360" w:lineRule="auto"/>
              <w:rPr>
                <w:rFonts w:ascii="Times New Roman" w:eastAsia="Times New Roman" w:hAnsi="Times New Roman" w:cs="Times New Roman"/>
                <w:b/>
                <w:bCs/>
                <w:color w:val="000000"/>
                <w:lang w:eastAsia="en-GB"/>
              </w:rPr>
            </w:pPr>
            <w:r w:rsidRPr="00FF4B56">
              <w:rPr>
                <w:rFonts w:ascii="Times New Roman" w:eastAsia="Times New Roman" w:hAnsi="Times New Roman" w:cs="Times New Roman"/>
                <w:b/>
                <w:bCs/>
                <w:color w:val="000000"/>
                <w:lang w:eastAsia="en-GB"/>
              </w:rPr>
              <w:t>References</w:t>
            </w:r>
          </w:p>
        </w:tc>
      </w:tr>
      <w:tr w:rsidR="000C0948" w:rsidRPr="00AF6801" w14:paraId="326B0525" w14:textId="79FA53D5" w:rsidTr="00C140DA">
        <w:trPr>
          <w:trHeight w:val="288"/>
        </w:trPr>
        <w:tc>
          <w:tcPr>
            <w:tcW w:w="0" w:type="auto"/>
            <w:tcBorders>
              <w:top w:val="nil"/>
              <w:left w:val="nil"/>
              <w:right w:val="nil"/>
            </w:tcBorders>
            <w:shd w:val="clear" w:color="000000" w:fill="FFFFFF"/>
          </w:tcPr>
          <w:p w14:paraId="68DC9F3B" w14:textId="77777777" w:rsidR="000C0948" w:rsidRPr="00FF4B56" w:rsidRDefault="000C0948" w:rsidP="00406364">
            <w:pPr>
              <w:spacing w:after="0" w:line="360" w:lineRule="auto"/>
              <w:rPr>
                <w:rFonts w:ascii="Times New Roman" w:eastAsia="Times New Roman" w:hAnsi="Times New Roman" w:cs="Times New Roman"/>
                <w:color w:val="000000"/>
                <w:lang w:eastAsia="en-GB"/>
              </w:rPr>
            </w:pPr>
          </w:p>
        </w:tc>
        <w:tc>
          <w:tcPr>
            <w:tcW w:w="1848" w:type="dxa"/>
            <w:tcBorders>
              <w:top w:val="nil"/>
              <w:left w:val="nil"/>
              <w:right w:val="nil"/>
            </w:tcBorders>
            <w:shd w:val="clear" w:color="000000" w:fill="FFFFFF"/>
            <w:noWrap/>
            <w:hideMark/>
          </w:tcPr>
          <w:p w14:paraId="3F008347" w14:textId="20654A35" w:rsidR="000C0948" w:rsidRPr="00FF4B56" w:rsidRDefault="000C0948" w:rsidP="00406364">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Diversity</w:t>
            </w:r>
          </w:p>
        </w:tc>
        <w:tc>
          <w:tcPr>
            <w:tcW w:w="5310" w:type="dxa"/>
            <w:tcBorders>
              <w:top w:val="nil"/>
              <w:left w:val="nil"/>
              <w:right w:val="nil"/>
            </w:tcBorders>
            <w:shd w:val="clear" w:color="000000" w:fill="FFFFFF"/>
            <w:noWrap/>
            <w:hideMark/>
          </w:tcPr>
          <w:p w14:paraId="11B90E6B" w14:textId="3932EC58" w:rsidR="000C0948" w:rsidRPr="00FF4B56" w:rsidRDefault="000C0948" w:rsidP="00406364">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Number of crops</w:t>
            </w:r>
            <w:r w:rsidR="00332C81">
              <w:rPr>
                <w:rFonts w:ascii="Times New Roman" w:eastAsia="Times New Roman" w:hAnsi="Times New Roman" w:cs="Times New Roman"/>
                <w:color w:val="000000"/>
                <w:lang w:eastAsia="en-GB"/>
              </w:rPr>
              <w:t xml:space="preserve"> and</w:t>
            </w:r>
            <w:r w:rsidRPr="00FF4B56">
              <w:rPr>
                <w:rFonts w:ascii="Times New Roman" w:eastAsia="Times New Roman" w:hAnsi="Times New Roman" w:cs="Times New Roman"/>
                <w:color w:val="000000"/>
                <w:lang w:eastAsia="en-GB"/>
              </w:rPr>
              <w:t xml:space="preserve"> varieties</w:t>
            </w:r>
          </w:p>
        </w:tc>
        <w:tc>
          <w:tcPr>
            <w:tcW w:w="1350" w:type="dxa"/>
            <w:tcBorders>
              <w:top w:val="nil"/>
              <w:left w:val="nil"/>
              <w:right w:val="nil"/>
            </w:tcBorders>
            <w:shd w:val="clear" w:color="000000" w:fill="FFFFFF"/>
            <w:noWrap/>
            <w:hideMark/>
          </w:tcPr>
          <w:p w14:paraId="036AC743" w14:textId="53D72091" w:rsidR="000C0948" w:rsidRPr="00FF4B56" w:rsidRDefault="00332C81" w:rsidP="00406364">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40</w:t>
            </w:r>
          </w:p>
        </w:tc>
        <w:tc>
          <w:tcPr>
            <w:tcW w:w="5274" w:type="dxa"/>
            <w:tcBorders>
              <w:top w:val="nil"/>
              <w:left w:val="nil"/>
              <w:right w:val="nil"/>
            </w:tcBorders>
            <w:shd w:val="clear" w:color="000000" w:fill="FFFFFF"/>
          </w:tcPr>
          <w:p w14:paraId="136F1C66" w14:textId="5169C16C" w:rsidR="000C0948" w:rsidRPr="00C140DA" w:rsidRDefault="000C0948" w:rsidP="00406364">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C140DA">
              <w:rPr>
                <w:rFonts w:ascii="Times New Roman" w:eastAsia="Times New Roman" w:hAnsi="Times New Roman" w:cs="Times New Roman"/>
                <w:color w:val="000000"/>
                <w:lang w:eastAsia="en-GB"/>
              </w:rPr>
              <w:instrText xml:space="preserve"> ADDIN ZOTERO_ITEM CSL_CITATION {"citationID":"Dfx7lCh4","properties":{"formattedCitation":"(Chapman et al. 2008; Rodriguez et al. 2011, 2014; Rufino et al. 2013; Lehmann et al. 2013; Lei et al. 2014; Mutabazi et al. 2015; Ghahramani and Moore 2016; Dalgliesh et al. 2016; Duncan et al. 2017; Mahmood et al. 2017; Paul et al. 2017; Descheemaeker et al. 2018; Souissi et al. 2018; Kabir et al. 2018; Ghahramani and Bowran 2018; Mutenje et al. 2019; Vigani and Kathage 2019; Kozicka et al. 2020; Omerkhil et al. 2020; Williams et al. 2020a; Cann et al. 2020; Mzyece and Ng\\uc0\\u8217{}ombe 2020; Hossard et al. 2021; Mohammed et al. 2021; Monjardino et al. 2021, 2022; Carauta et al. 2021; Homann-Kee Tui et al. 2021; Amadu et al. 2021; Maggio et al. 2022; Rai et al. 2022; Dardonville et al. 2022; Asrari et al. 2022; Mugandani et al. 2022; Adhikari et al. 2023; Baccar et al. 2023; Rezgui et al. 2024; Alcon et al. 2024)","plainCitation":"(Chapman et al. 2008; Rodriguez et al. 2011, 2014; Rufino et al. 2013; Lehmann et al. 2013; Lei et al. 2014; Mutabazi et al. 2015; Ghahramani and Moore 2016; Dalgliesh et al. 2016; Duncan et al. 2017; Mahmood et al. 2017; Paul et al. 2017; Descheemaeker et al. 2018; Souissi et al. 2018; Kabir et al. 2018; Ghahramani and Bowran 2018; Mutenje et al. 2019; Vigani and Kathage 2019; Kozicka et al. 2020; Omerkhil et al. 2020; Williams et al. 2020a; Cann et al. 2020; Mzyece and Ng’ombe 2020; Hossard et al. 2021; Mohammed et al. 2021; Monjardino et al. 2021, 2022; Carauta et al. 2021; Homann-Kee Tui et al. 2021; Amadu et al. 2021; Maggio et al. 2022; Rai et al. 2022; Dardonville et al. 2022; Asrari et al. 2022; Mugandani et al. 2022; Adhikari et al. 2023; Baccar et al. 2023; Rezgui et al. 2024; Alcon et al. 2024)","noteIndex":0},"citationItems":[{"id":929,"uris":["http://zotero.org/users/7734624/items/C75XF3F7"],"itemData":{"id":929,"type":"article-journal","abstract":"Inter-annual climatic variability poses a substantial management and profitability challenge for pasture-based dairy producers in southern Australia. The effects of a range of seasonal scenarios on the production and profit of non-irrigated dairy farm systems using several different forage bases were investigated for two regions in southeast Australia using a systems modeling approach. For the Terang district, seasonal scenarios were constructed around combinations of early, average or late autumn rains, and short, average or long spring flushes. For the higher-rainfall Ellinbank district, scenarios were constructed around either above- or below-average summer–autumns or winter–springs. Compared to the ‘Base’ system where 100% of the grazing area was in perennial ryegrass (Lolium perenne), alternative systems such as double cropping and use of a summer shoulder (more summer-active) pasture based on tall fescue (Festuca arundinacea) returned similar or higher profit for most of the seasonal scenarios investigated. Only at Terang when the autumn rains were early and the spring was extended within the same year did the alternatives lose out to perennial ryegrass in predicted profit, reflecting the well-known excellent performance of perennial ryegrass in environments with a long growing season. Within each of the forage systems simulated, the profit outcomes were generally more consistent in the face of seasonal perturbations for the double cropping and summer shoulder pasture forage options than for those based on ryegrass. This suggests they are less prone to business risk. It reflects the apparent consistency across years of the yield of winter cereal during the period April–October when there is generally only small departure from ‘average’ conditions for plant growth between years. It also reflects the deeper effective rooting habit of tall fescue, and its ability to access more stored water in the soil profile compared to perennial ryegrass and thus greater capacity to ‘ride out’ periods of variability. Pasture growth analyses using climate data from 1900 to 1999 inclusive showed that above- or below-average conditions for plant growth in autumn and spring occur at frequencies between two and four years out of 10. Thus, all combinations of poorer than average or better than average seasons can be expected in any decade. This investigation suggests that diversification of the forage base will help smooth out between-year variability in profit provided the right forage types are selected, managed to a very high level, and effectively integrated within year-round feeding systems to achieve high milk production.","container-title":"Agricultural Systems","DOI":"10.1016/j.agsy.2008.02.002","ISSN":"0308-521X","issue":"3","journalAbbreviation":"Agricultural Systems","language":"en","page":"126-138","source":"ScienceDirect","title":"Pasture and forage crop systems for non-irrigated dairy farms in southern Australia. 2. Inter-annual variation in forage supply, and business risk","volume":"97","author":[{"family":"Chapman","given":"D. F."},{"family":"Kenny","given":"S. N."},{"family":"Beca","given":"D."},{"family":"Johnson","given":"I. R."}],"issued":{"date-parts":[["2008",6,1]]},"citation-key":"chapman_etal_2008"},"label":"page"},{"id":699,"uris":["http://zotero.org/users/7734624/items/7UJAZIWX"],"itemData":{"id":699,"type":"article-journal","abstract":"This paper examines the idea that plasticity in farm management introduces resilience to change and allows farm businesses to perform when operating in highly variable environments. We also argue for the need to develop and apply more integrative assessments of farm performance that combine the use of modelling tools with deliberative processes involving farmers and researchers in a co-learning process, to more effectively identify and implement more productive and resilient farm businesses. In a plastic farming system, farm management is highly contingent on environmental conditions. In plastic farming systems farm managers constantly vary crops and inputs based on the availability of limited and variable resources (e.g. land, water, finances, labour, machinery, etc.), and signals from its operating environment (e.g. climate, markets), with the objective of maximising a number of, often competing, objectives (e.g. maximise profits, minimise risks, etc.). In contrast in more rigid farming systems farm management is more calendar driven and relatively fixed sequences of crops are regularly followed over time and across the farm. Here we describe the application of a whole farm simulation model to (i) compare, in silico, the sensitivity of two farming systems designs of contrasting levels of plasticity, operating in two contrasting environments, when exposed to a stressor in the form of climate change scenarios:(ii) investigate the presence of interactions and feedbacks at the field and farm levels capable of modifying the intensity and direction of the responses to climate signals: and (iii) discuss the need for the development and application of more integrative assessments in the analysis of impacts and adaptation options to climate change. In both environments, the more plastic farm management strategy had higher median profits and was less risky for the baseline and less intensive climate change scenarios (2030). However, for the more severe climate change scenarios (2070), the benefit of plastic strategies tended to disappear. These results suggest that, to a point, farming systems having higher levels of plasticity would enable farmers to more effectively respond to climate shifts, thus ensuring the economic viability of the farm business. Though, as the intensity of the stress increases (e.g. 2070 climate change scenario) more significant changes in the farming system might be required to adapt. We also found that in the case studies analysed here, most of the impacts from the climate change scenarios on farm profit and economic risk originated from important reductions in cropping intensity and changes in crop mix rather than from changes in the yields of individual crops. Changes in cropping intensity and crop mix were explained by the combination of reductions in the number of sowing opportunities around critical times in the cropping calendar, and to operational constraints at the whole farm level i.e. limited work capacity in an environment having fewer and more concentrated sowing opportunities. This indicates that indirect impacts from shifts in climate on farm operations can be more important than direct impacts from climate on the yield of individual crops. The results suggest that due to the complexity of farm businesses, impact assessments and opportunities for adaptation to climate change might also need to be pursued at higher integration levels than the crop or the field. We conclude that plasticity can be a desirable characteristic in farming systems operating in highly variable environments, and that integrated whole farm systems analyses of impacts and adaptation to climate change are required to identify important interactions between farm management decision rules, availability of resources, and farmer's preference. Crown Copyright (C) 2011 Published by Elsevier B.V. All rights reserved.","container-title":"Field Crops Research","DOI":"10.1016/j.fcr.2011.02.012","ISSN":"0378-4290","issue":"2","page":"157–170","title":"The intrinsic plasticity of farm businesses and their resilience to change. An Australian example UR -://WOS:000296107300004","title-short":"The intrinsic plasticity of farm businesses and their resilience to change. An Australian example","volume":"124","author":[{"family":"Rodriguez","given":"D."},{"family":"deVoil","given":"P."},{"family":"Power","given":"B."},{"family":"Cox","given":"H."},{"family":"Crimp","given":"S."},{"family":"Meinke","given":"H."}],"issued":{"date-parts":[["2011",11]]},"citation-key":"rodriguez_etal_2011"}},{"id":663,"uris":["http://zotero.org/users/7734624/items/465VIM9A"],"itemData":{"id":663,"type":"article-journal","abstract":"This study presents the use of a whole farm model in a participatory modelling research approach to examine the sensitivity of four contrasting case study farms to a likely climate change scenario. The newly generated information was used to support discussions with the participating farmers in the search for options to design more profitable and sustainable farming systems in Queensland Australia. The four case studies contrasted in key systems characteristics: opportunism in decision making, i.e. flexible versus rigid crop rotations; function, i.e. production of livestock or crops; and level of intensification, i.e. dryland versus irrigated agriculture. Tested tactical and strategic changes under a baseline and climate change scenario (CCS) involved changes in the allocation of land between cropping and grazing enterprises, alternative allocations of limited irrigation water across cropping enterprises, and different management rules for planting wheat and sorghum in rainfed cropping. The results show that expected impacts from a likely climate change scenario were evident in the following increasing order: the irrigated cropping farm case study, the cropping and grazing farm, the more opportunistic rainfed cropping farm and the least opportunistic rainfed cropping farm. We concluded that in most cases the participating farmers were operating close to the efficiency frontier (i.e. in the relationship between profits and risks). This indicated that options to adapt to climate change might need to evolve from investments in the development of more innovative cropping and grazing systems and/or transformational changes on existing farming systems. We expect that even though assimilating expected changes in climate seems to be rather intangible and premature for these farmers, as innovations are developed, adaptation is likely to follow quickly. The multiple interactions among farm management components in complex and dynamic farm businesses operating in a variable and changing climate, make the use of whole farm participatory modelling approaches valuable tools to quantify benefits and trade-offs from alternative farming systems designs in the search for improved profitability and resilience. © 2013.","container-title":"Agricultural Systems","DOI":"10.1016/j.agsy.2013.04.003","ISSN":"0308521X","language":"English","page":"50-61","title":"A participatory whole farm modelling approach to understand impacts and increase preparedness to climate change in Australia","volume":"126","author":[{"family":"Rodriguez","given":"D."},{"family":"Cox","given":"H."},{"family":"deVoil","given":"P."},{"family":"Power","given":"B."}],"issued":{"date-parts":[["2014"]]},"citation-key":"rodriguez_etal_2014"}},{"id":661,"uris":["http://zotero.org/users/7734624/items/9MKBAI6C"],"itemData":{"id":661,"type":"article-journal","abstract":"Climate-induced livelihood transitions in the agricultural systems of Africa are increasingly likely. There is limited evidence on what such transitions might look like. We carried out fieldwork in 12 sites in Kenya, Tanzania and Uganda to understand changes in farming systems in the recent past, and to test the hypothesis that sedentary farmers in zones that may become warmer and drier in the future may be forced to increase their reliance on livestock vis-à-vis cropping in the future. We estimated the contribution of crop and livestock activities to incomes, food security and poverty. Householders were asked how to adapt farming in the future. We found no direct evidence for the hypothesised extensification of production across study sites. Human diets have changed considerably in the last 40 years, as cropping has been taken up by increasing numbers of pastoral households, even in marginal places. Maize and legumes predominate, but some householders are increasing their crop and diet diversity, particularly in locations with annual rainfall higher than 800. mm. At all sites people want more livestock. Food insecurity is common at all sites with an annual rainfall of 800. mm or less, and critical levels are seen at sites with &lt;700. mm. Households are self-sufficient in securing adequate dietary energy from food production in 7 of the 12 sites, all with rainfall higher than 800. mm. Although many householders have some knowledge about drought-tolerant crops, few cultivate millet, sorghum and cassava. Policies aimed at increasing the consumption of cassava, sorghum, millet and pigeon pea could be highly beneficial for future food security in the region. Vulnerability in the drier locations is already high, and policies should support safety nets and market and infrastructural development. Households in the wetter areas need to manage risk and to increase crop productivity. A critical requirement is knowledge transfer concerning the growing and utilisation of unfamiliar and untraditional crops. © 2013 The Authors.","container-title":"Agriculture, Ecosystems and Environment","DOI":"10.1016/j.agee.2013.08.019","ISSN":"01678809","language":"English","note":"publisher: Elsevier B.V.","page":"215-230","title":"Transitions in agro-pastoralist systems of East Africa: Impacts on food security and poverty","volume":"179","author":[{"family":"Rufino","given":"M.C."},{"family":"Thornton","given":"P.K."},{"family":"Ng'ang'a","given":"S.K."},{"family":"Mutie","given":"I."},{"family":"Jones","given":"P.G."},{"family":"Wijk","given":"M.T.","non-dropping-particle":"van"},{"family":"Herrero","given":"M."}],"issued":{"date-parts":[["2013"]]},"citation-key":"rufino_etal_2013"},"label":"page"},{"id":952,"uris":["http://zotero.org/users/7734624/items/VLP8WNSR"],"itemData":{"id":952,"type":"article-journal","abstract":"This article aims to investigate the impacts of climate change and of lower and more volatile crop price levels as currently observed in the European Union (EU) on optimal management decisions, average income and income risks in crop production in Western Switzerland. To this end, a bioeconomic whole-farm model has been developed that non-parametrically combines the crop growth model CropSyst with an economic decision model using a genetic algorithm. The analysis focuses on the farm level, which enables us to integrate a wide set of potential adaptation responses, comprising changes in agricultural land use as well as crop-specific fertilization and irrigation strategies. Furthermore, the farmer's certainty equivalent is employed as objective function, which enables the consideration of not only impacts on average income but also impacts on income variability. The study shows that that the effects of EU crop prices on the optimal management decisions as well as on the farmer's certainty equivalent are much stronger than the effects of climate change. Furthermore, our results indicate that the impacts of income risks on the crop farm's optimal management schemes are of rather low importance. This is due to two major reasons: first, direct payments make up a large percentage of the agricultural income in Switzerland which makes Swiss farmers less vulnerable to market and climate volatility. Second, arable crop farms in Switzerland have by law to cultivate at least four different crops. Due to these diverse cropping systems and high government direct payments risk does neither under climate change, market liberalization nor combinations thereof, play a very decisive role in arable farming in Switzerland.","container-title":"Land Use Policy","DOI":"10.1016/j.landusepol.2013.05.008","ISSN":"0264-8377","journalAbbreviation":"Land Use Policy","language":"en","page":"119-130","source":"ScienceDirect","title":"The impact of climate and price risks on agricultural land use and crop management decisions","volume":"35","author":[{"family":"Lehmann","given":"Niklaus"},{"family":"Briner","given":"Simon"},{"family":"Finger","given":"Robert"}],"issued":{"date-parts":[["2013",11,1]]},"citation-key":"lehmann_etal_2013"}},{"id":662,"uris":["http://zotero.org/users/7734624/items/T9BF7ENQ"],"itemData":{"id":662,"type":"article-journal","abstract":"In the context of climate change, adaptation to climatic extremes, such as drought, has attracted worldwide attention, yet many practical adaptation strategies need to be examined at the local level. Based on a case study of the village of Beidian, located in a drought-prone region in northern China, this study demonstrates that when faced with multiple pressures of regional climate change, drought risk and rural poverty, reasonable adjustments in land use patterns can serve as an effective adaptation strategy in the agricultural sector. We used household questionnaires, in-depth interviews with village managers, and land use surveys at the farming plot level to quantify the relationship between land use change and drought mitigation effects. Our findings indicate that in the past decade, the farming practices in Beidian have transformed from a complete reliance on the winter wheat-summer corn rotation to a new diversified mode of apple as the main crop and corn and coarse cereals as the subsidiary crops. The current farming mode is proven to possess a stronger adaptive capacity to drought due to its higher water-saving efficiency and economic benefit, which facilitates rural poverty reduction and socio-economic development. This study presents a feasible approach to address adaptation strategies at the local level, which provides policymakers with information on how to best support farm-level adaptation and to reduce farmers' vulnerability to climatic extremes within the broader context of climate change. © 2013 Elsevier Ltd.","container-title":"Land Use Policy","DOI":"10.1016/j.landusepol.2013.10.004","ISSN":"02648377","language":"English","page":"577-584","title":"How adjustments in land use patterns contribute to drought risk adaptation in a changing climate-A case study in China","volume":"36","author":[{"family":"Lei","given":"Y."},{"family":"Wang","given":"J."},{"family":"Yue","given":"Y."},{"family":"Yin","given":"Y."},{"family":"Sheng","given":"Z."}],"issued":{"date-parts":[["2014"]]},"citation-key":"lei_etal_2014"}},{"id":684,"uris":["http://zotero.org/users/7734624/items/IIGIISUT"],"itemData":{"id":684,"type":"article-journal","abstract":"Given the projected climatic changes, building resilient agricultural systems is of vital significance in protecting vulnerable agrarian communities in sub-Saharan Africa. Under this scenario, the article attempts to identify a set of resilience-building adaptive strategies (intensification, diversification, alteration, migration, etc.) among farmers in Morogoro, Tanzania, and crafts a composite index of these strategies using a principal component analysis-based weighting scheme. The analysis also reveals the latent structure and internal correlations of actions intended to build resilience of the farming systems. Subsequently, the linkages of livelihood resources (natural, human, social and financial capitals) to the resilience-building strategies are examined. A multiple regression analysis is employed to link the composite index to variables representing the four capitals. The results bring quantitative evidence to the linkages and highlight the need of enhancing livelihood resources to enhance the ability to undertake adaptive strategies that denotes the ability to withstand stresses and shocks from climatic changes. Actions to improve human capital (awareness campaigns on climate change impacts as well as possible adaptive strategies), social capital (strengthening social networks, improving tenure security), financial capital (increasing credit availability) and natural capital (measures to enhance agricultural potential, support for adaptive action in areas with low agricultural potential) are needed in order to impart resilience to the farming systems against the changing climate. © 2015, Springer-Verlag Berlin Heidelberg.","container-title":"Regional Environmental Change","DOI":"10.1007/s10113-015-0800-7","ISSN":"14363798","issue":"7","language":"English","note":"publisher: Springer Verlag","page":"1259-1268","title":"Influence of livelihood resources on adaptive strategies to enhance climatic resilience of farm households in Morogoro, Tanzania: an indicator-based analysis","volume":"15","author":[{"family":"Mutabazi","given":"K.D."},{"family":"Amjath-Babu","given":"T.S."},{"family":"Sieber","given":"S."}],"issued":{"date-parts":[["2015"]]},"citation-key":"mutabazi_etal_2015"}},{"id":935,"uris":["http://zotero.org/users/7734624/items/5GFN64NW"],"itemData":{"id":935,"type":"article-journal","abstract":"The state of Western Australia is a major producer and exporter of crops and livestock. Mixed farming systems are typical agricultural enterprises in the Western Australian wheatbelt where climate drives the productivity and profitability of these farms and therefore the effects of likely climate change on their performance need to be understood. Here the effects of climate change projected at 2030 were evaluated compared to a baseline period (1980–1999) on mixed farming systems at paddock, enterprise and whole farm scales using the coupled APSIM and GRAZPLAN biophysical simulation models. The yield of different crops, livestock production and gross margins were assessed under current and projected climates using current farming technology and management practices. Representative mixed-farm systems were selected along a climate transect. Modelling analysis suggests that current production levels and gross margins of mixed farm systems in Western Australia will not be sustained in 2030 climate conditions except in areas of moderately high-rainfall. Whole farm gross margin declined at all site×potential climate scenarios between 1% and 22% except in moderately high rainfall where gross margin increased by up to 4% under a ‘hot and moderate change in rainfall’ climate. Projected crop yields declined for most of the crop×site×potential climate combinations, with greatest declines under a hot and dry climate (at driest margin of transect) in which wheat, barley, canola, and lupin yield declined up to 16%, 15%, 21%, and 27%, respectively. Increase in yield was predicted for wheat and barley at some of the site×potential climate s. Wheat yield increased only under moderately high rainfall region by 6% while barley increased by 1%. Simulated cropping gross margin was also shown to decline by between &gt;1% and 23%, except for the moderately high-rainfall site where cropping gross margins were projected to increase by up to 3%. Changes in simulated livestock production were smaller and less variable than for crop production. The change in weight of livestock sold across sites×potential climate combinations ranged between −3% and +3%. Livestock gross margin varied between −11% and +6%. Modelling results indicated a greater fertilisation effect of the elevated CO2 on pasture production than on crop yield and biomass particularly in drier sites. But however, this could not offset negative impact of climate change under hot potential climates. The main negative environmental impacts from the projected climate change were declines in annual net primary production (ANPP), ground cover and water use efficiency mostly at drier sites. Whole farm N2O emission declined significantly for the majority of site×potential climate combinations, while smaller decreases in ruminant CH4 emission were predicted. In 2030, returns from livestock enterprises are predicted to be smaller, but less variable than from cropping and with increasing probability of success in drier regions. Reduced variability in financial return is important from the perspective of whole farm risk management. Shifts in enterprise mix in dryland mixed-farming systems towards increased livestock may be a helpful strategy in adapting to climate change and managing the associated financial risks.","container-title":"Agricultural Systems","DOI":"10.1016/j.agsy.2016.05.011","ISSN":"0308-521X","journalAbbreviation":"Agricultural Systems","language":"en","page":"142-155","source":"ScienceDirect","title":"Impact of climate changes on existing crop-livestock farming systems","volume":"146","author":[{"family":"Ghahramani","given":"Afshin"},{"family":"Moore","given":"Andrew D."}],"issued":{"date-parts":[["2016",7,1]]},"citation-key":"ghahramani_moore_2016"}},{"id":708,"uris":["http://zotero.org/users/7734624/items/J66W782X"],"itemData":{"id":708,"type":"article-journal","abstract":"With high levels of seasonal climatic variability impacting on the consistency of rice production in Cambodian rainfed, lowland systems, there is a need to identify strategies that improve farmer food security and better meet national domestic and export demands. While there is a substantial gap between actual and potential rice yield, little research has been undertaken in Cambodia to improve rainfed rice agronomy or the efficiency of use of natural resources which, in a climate constrained environment can hold the key to better productivity and food security. On-station and on-farm research, in combination with farming systems simulation and social research provide the capacity to evaluate cropping options through the lens of climate variability. The testing of technologies and strategies, including the use of modern, short and medium duration varieties, opportunistic timing of crop establishment, mechanisation, supplementary irrigation and improved agronomic practice has shown that there is potential to mitigate the effects of variable climate on farm productivity and household income. However, this requires an increased level of farmer/systems flexibility to allow for near to real-time changes in cropping response to observed seasonal conditions. These factors differentiate this research and provide the opportunities to improve the individuals' livelihood and in meeting national rice production targets. (C) 2016 Elsevier B.V. All rights reserved.","container-title":"FIELD CROPS RESEARCH","DOI":"10.1016/j.fcr.2016.09.007","ISSN":"0378-4290","language":"English","note":"publisher-place: PO BOX 211, 1000 AE AMSTERDAM, NETHERLANDS\npublisher: ELSEVIER SCIENCE BV\ntype: Article","page":"148-159","title":"Promoting resilience in Cambodian lowland rice ecosystems-Farming system research to support flexible climate response strategies for smallholder farmers","volume":"198","author":[{"family":"Dalgliesh","given":"N. P."},{"family":"Charlesworth","given":"P."},{"family":"Lonh","given":"L."},{"family":"Poulton","given":"P. L."}],"issued":{"date-parts":[["2016",11]]},"citation-key":"dalgliesh_etal_2016"}},{"id":883,"uris":["http://zotero.org/users/7734624/items/9J9Q99MZ"],"itemData":{"id":883,"type":"article-journal","abstract":"Developing country deltas are important food producing areas and are home to large numbers of subsistence farmers. In particular, rice farmers dominate the populous deltas of South and Southeast Asia and face frequent climate hazards that have short- and long-term impacts on rice production and livelihoods. The aim of this study is to identify and explain proximal and ultimate factors (land access, cultural practices, and institutional support) that affect rice farmer resilience, that is, to explain why some farmers are more sensitive to climate shocks, why some farmers suffer long-term impacts from climate shocks, and what underlying “ultimate” factors reproduce this vulnerability over time. We undertake this analysis using qualitative interviews and household survey data from two districts in the Mahanadi Delta, Odisha, India. We show that climate hazards cause rice production shocks that are problematic for farmers because rice is predominantly used for household consumption in a context of unreliable off-farm income sources and a lack of insurance and credit. Our research emphasizes that “ultimate” drivers interact with the current mode of rice cultivation to reproduce a low resilience farming state. We argue that agricultural development interventions seeking to make rice farming more resilient to climate hazards should focus on boosting productivity and shock-resistance, but also be cognizant of the system within which rice farming is practiced and the contextual “ultimate” factors that reproduce vulnerability. © 2017 by the author(s).","container-title":"Ecology and Society","DOI":"10.5751/ES-09559-220403","ISSN":"17083087","issue":"4","language":"English","note":"publisher: Resilience Alliance","title":"Resilience to hazards: Rice farmers in the Mahanadi Delta, India","URL":"https://www.scopus.com/inward/record.uri?eid=2-s2.0-85040690432&amp;doi=10.5751%2fES-09559-220403&amp;partnerID=40&amp;md5=6e2c980a0807c4bd45914aca1feec990","volume":"22","author":[{"family":"Duncan","given":"J.M."},{"family":"Tompkins","given":"E.L."},{"family":"Dash","given":"J."},{"family":"Tripathy","given":"B."}],"issued":{"date-parts":[["2017"]]},"citation-key":"duncan_etal_2017"}},{"id":669,"uris":["http://zotero.org/users/7734624/items/WCF4WWS8"],"itemData":{"id":669,"type":"article-journal","abstract":"The reconciliation of economy and environment is a key factor in achieving sustainability.The European Union wishes to achieve the sustainability of its agriculture in order to produce high quality food materials and to manage energy crisis and the risks related to climate and market fluctuations. These risks can be mitigated by reducing negative impacts of agricultural activities on the environment. Therefore, this study was designed to derive and promote the potential tools to increase the land area under grain legumes in Midi-Pyrenees region (France) where it currently stands at only 1 to 3%. For this purpose modeling chain APES-FSSIM Indicator was used to assess different alternative scenarios of proposition of new grain legumes based cereals rotations, provision of higher premium on grain legumes, increase in sale price and yield of grain legumes, reduction in price and yield variability of grain legumes and combination of all these scenarios. Results showed that alternative scenario of provision of more premiums on grain legumes was more efficient in increasing the grain legume area than other alternative scenarios, but this would require a level of subsidies much higher than the currentcrop-specific subsidies in EU. However, in case of combination of all these scenarios, the increase in grain legumes area was maximum for all three selected farms from the study area. In addition farm income was increased by 11 to 26% and energy consumption was decreased by 4 to 9% for the selected farms. It is concluded that grain legumes area in Midi-Pyrenees farming systems can be increased by following the above mentioned alternative strategies.","container-title":"International Journal of Plant Production","DOI":"10.22069/ijpp.2017.3310","issue":"1","language":"en","page":"65","source":"hal.science","title":"Economic and environmental impacts of introducing grain legumes in farming systems of Midi-Pyrenees region (France): a simulation approach","title-short":"Economic and environmental impacts of introducing grain legumes in farming systems of Midi-Pyrenees region (France)","volume":"11","author":[{"family":"Mahmood","given":"Faisal"},{"family":"Belhouchette","given":"Hatem"},{"family":"Nasim","given":"W."},{"family":"Shahzada","given":"T."},{"family":"Hussain","given":"A."},{"family":"Therond","given":"Olivier"},{"family":"Fahad","given":"E."},{"family":"Sultana","given":"S. Refat"},{"family":"Wery","given":"J."}],"issued":{"date-parts":[["2017"]]},"citation-key":"mahmood_etal_2017"}},{"id":687,"uris":["http://zotero.org/users/7734624/items/7SK5KP6Q"],"itemData":{"id":687,"type":"article-journal","abstract":"Increasing land-use conflicts call for the development of land-use systems that reconcile agricultural production with the provisioning of multiple ecosystem services, including climate change mitigation. Agroforestry has been suggested as a global solution to increase land-use efficiency, while reducing environmental impacts and economic risks for farmers. Past research has often focused on comparing tree-crop combinations with agricultural monocultures, but agroforestry has seldom been systematically compared to other forms of land-use diversification, including a farm mosaic. This form of diversification mixes separate parcels of different land uses within the farm. The objective of this study was to develop a modelling approach to compare the performance of the agroforestry and farm mosaic diversification strategies, accounting for tree-crop interaction effects and economic and climate uncertainty. For this purpose, Modern Portfolio Theory and risk simulation were coupled with the process-based biophysical simulation model WaNuLCAS 4.0. For an example application, we used data from a field trial in Panama. The results show that the simulated agroforestry systems (Taungya, alley cropping and border planting) could outperform a farm mosaic approach in terms of cumulative production and return. Considering market and climate uncertainty, agroforestry showed an up to 21% higher economic return at the same risk level (i.e. standard deviation of economic returns). Farm compositions with large shares of land allocated to maize cultivation were also more severely affected by an increasing drought frequency in terms of both risks and returns. Our study demonstrates that agroforestry can be an economically efficient diversification strategy, but only if the design allows for economies of scope, beneficial interactions between trees and crops and higher income diversification compared to a farm mosaic. The modelling approach can make an important contribution to support land-use decisions at the farm level and reduce land-use conflicts at the landscape level. © 2017 Elsevier B.V.","container-title":"Science of the Total Environment","DOI":"10.1016/j.scitotenv.2017.02.037","ISSN":"00489697","language":"English","note":"publisher: Elsevier B.V.","page":"22-35","title":"Agroforestry versus farm mosaic systems – Comparing land-use efficiency, economic returns and risks under climate change effects","volume":"587-588","author":[{"family":"Paul","given":"C."},{"family":"Weber","given":"M."},{"family":"Knoke","given":"T."}],"issued":{"date-parts":[["2017"]]},"citation-key":"paul_etal_2017"}},{"id":1058,"uris":["http://zotero.org/users/7734624/items/6SWCRLFE"],"itemData":{"id":1058,"type":"article-journal","abstract":"Large uncertainties about the impacts of climate change and adaptation options on the livestock component of heterogeneous African farming systems hamper tailored decision making towards climate-smart agriculture. This study addressed this knowledge gap through the development and use of a dynamic modelling framework integrating climate, crop, pasture and livestock models. The framework was applied to a population of 91 farms located in semi-arid Zimbabwe to assess effects on livestock production resulting from climate change and management interventions. Climate scenarios representing relative “cool-wet”, “hot-dry” and “middle” conditions by mid-century (2040–2070) for two representative concentration pathways were compared with the baseline climate. On-farm fodder resources and rangeland grass production were simulated with the crop model APSIM and the pasture model GRASP respectively. The simulated fodder availability was used in the livestock model LIVSIM to generate various production indicators including milk, offtake, mortality, manure, and net revenue. We investigated the effects of two adaptation packages targeting soil fertility management and crop diversification and quantified the sensitivity to climate change of both current and improved systems. Livestock productivity was constrained by dry-season feed gaps, which were particularly severe for crude protein and caused by the reliance on rangeland grazing and crop residues, both of low quality in the dry season. Effects on grass and stover production depended on the climate scenario and the crop, but year-to-year variation generally increased. Relative changes in livestock net revenue compared to the baseline climate varied from a 6% increase to a 43% decrease, and the proportion of farmers negatively affected varied from 20% to 100%, depending on the climate scenario. Adverse effects of climate change on average livestock production usually coincided with increased year-to-year variability and risk. Farms with larger stocking density faced more severe feed gaps and were more sensitive to climate change than less densely stocked farms. The first adaptation package resulted in increased stover production and a small increase in livestock productivity. The inclusion of grain and forage legumes with the second package increased milk productivity and net revenues more profoundly by 30%. This was attributed to the alleviation of dry-season feed gaps, which also reduced the sensitivity to climate change compared to the current system. Clearly, individual farms were affected differently by climate change and by improved farm management, illustrating that disaggregated impact assessments are needed to effectively inform decision making towards climate change adaptation.","container-title":"Agricultural Systems","DOI":"10.1016/j.agsy.2017.05.004","ISSN":"0308-521X","journalAbbreviation":"Agricultural Systems","language":"en","page":"282-295","source":"ScienceDirect","title":"Effects of climate change and adaptation on the livestock component of mixed farming systems: A modelling study from semi-arid Zimbabwe","title-short":"Effects of climate change and adaptation on the livestock component of mixed farming systems","volume":"159","author":[{"family":"Descheemaeker","given":"Katrien"},{"family":"Zijlstra","given":"Mink"},{"family":"Masikati","given":"Patricia"},{"family":"Crespo","given":"Olivier"},{"family":"Homann-Kee Tui","given":"Sabine"}],"issued":{"date-parts":[["2018",1,1]]},"citation-key":"descheemaeker_etal_2018"}},{"id":877,"uris":["http://zotero.org/users/7734624/items/GDJ5BBWZ"],"itemData":{"id":877,"type":"article-journal","abstract":"This study considers a quantitative approach for assessing the performance of Tunisian farming systems to face climate change. It is based on the resilience concept and the calculation, with a modelling chain, of three indicators: land stock, labour stock, and income flux. Two system states, “base” and “climate change”, and a time horizon of 2010-2025, are developed and compared for representative farming systems. The study shows that 55% of the farming systems were identified as being resilient to climate change. They are diversified and mostly grow cereals, vegetables, and forage crops combined with livestock, increasing their capability to mitigate climate change by reorganizing crop activities. 35% of the farms identified as being non-resilient are dominated by orchards, or cereals and orchards. They showed an important drop in farm income (-45%), mainly due to their inability to adapt their cropping systems to water stress and soil salinity. Finally, only 10% were identified as being poorly resilient farming systems. Those farms have mainly intensified cereal cropping systems based on a strategy of purchasing land to increase the surface area of profitable activities (forage and livestock). Overall, the methodology can be adapted for other dry land areas in the Mediterranean region and help experts and policy-makers to propose and test strategies for adapting to climate change.","container-title":"REGIONAL ENVIRONMENTAL CHANGE","DOI":"10.1007/s10113-017-1130-8","ISSN":"1436-3798","issue":"3","language":"English","note":"publisher-place: TIERGARTENSTRASSE 17, D-69121 HEIDELBERG, GERMANY\npublisher: SPRINGER HEIDELBERG\ntype: Article","page":"637-650","title":"Impact assessment of climate change on farming systems in the South Mediterranean area: a Tunisian case study","volume":"18","author":[{"family":"Souissi","given":"Imen"},{"family":"Boisson","given":"Jean Marie"},{"family":"Mekki","given":"Insaf"},{"family":"Therond","given":"Olivier"},{"family":"Flichman","given":"Guillermo"},{"family":"Wery","given":"Jacques"},{"family":"Belhouchette","given":"Hatem"}],"issued":{"date-parts":[["2018",3]]},"citation-key":"souissi_etal_2018"}},{"id":944,"uris":["http://zotero.org/users/7734624/items/FCGIV7HY"],"itemData":{"id":944,"type":"article-journal","abstract":"Climate change and salinisation present substantial challenges to the sustainability of cropping systems in south-west coastal Bangladesh. This is the third paper in a series reporting a study to assess the impacts of climate change and salinity on the productivity and economic viability of ten current and potential rice-based cropping systems in two coastal villages in Khulna District. In this paper, possible adaptations are assessed, including novel dry-season crops, changed fertilizer use, and changed sowing dates, across five climate and three salinity scenarios. Farmers' estimated, APSIM-simulated, and extrapolated yield distributions were incorporated in budgets for the ten cropping systems, using current and projected salinity levels. Current and projected future prices and costs were used to estimate different measures of profitability. Estimated variability in yields and prices was used to generate probability distributions for these profitability measures, permitting comparison of cropping systems based on profitability and risk. Adaptation through changed fertilizer use (higher or lower, depending on the crop) was projected to give higher returns for some cropping systems. However, larger improvements were obtainable with changes in sowing dates to avoid the worst stresses imposed by climate change and salinity. The loss of production of all crops except watermelon and pumpkin due to salinity was more than offset with changed sowing dates for 2030 and 2060 conditions, irrespective of season. With such adaptations, and allowing for risk, the rice/shrimp system maintained the top ranking in terms of net income per hectare in 2030 and 2060 and the rice/sunflower system maintained the second ranking. The rice/pumpkin/rice system ranked third for 2030 and fourth in 2060 while the rice/maize system moved up to third in 2060.","container-title":"Agricultural Systems","DOI":"10.1016/j.agsy.2017.12.006","ISSN":"0308-521X","journalAbbreviation":"Agricultural Systems","language":"en","page":"28-41","source":"ScienceDirect","title":"Bio-economic evaluation of cropping systems for saline coastal Bangladesh: III Benefits of adaptation in current and future environments","title-short":"Bio-economic evaluation of cropping systems for saline coastal Bangladesh","volume":"161","author":[{"family":"Kabir","given":"Md. Jahangir"},{"family":"Cramb","given":"Rob"},{"family":"Gaydon","given":"Donald S."},{"family":"Roth","given":"Christian H."}],"issued":{"date-parts":[["2018",3,1]]},"citation-key":"kabir_etal_2018"}},{"id":953,"uris":["http://zotero.org/users/7734624/items/JP6DPILY"],"itemData":{"id":953,"type":"article-journal","abstract":"Changing climate is posing considerable threats to agriculture, the most vulnerable sector, and to smallholder farming systems, the predominant agricultural livelihood activity in Africa. Study of specific systems enables clearer and more effective responses to be directly targeted for enhanced adaptation, but there is limited knowledge guiding specific subsector vulnerability assessments. We applied the Livelihood Vulnerability Index to understand and identify the nature and sources of vulnerability among smallholder horticultural farming households to climate variability in two districts in Ghana. A total of 480 households engaging in fruit and vegetable crop production were surveyed in Keta and Nsawam districts of Ghana. Data were collected on indicators for Livelihood Vulnerability Index components such as socio-demographic profiles, livelihood strategies, social networking, health, food, production, water, natural disasters, and climate variability. The vulnerability-contributing factors were aggregated in a composite index and differences were compared. The results indicate that smallholder horticultural farmers in Keta are more vulnerable in relation to high exposure and high sensitivity to climate variability, while smallholders in Nsawam are more vulnerable in terms of low capacity to adapt to climate variability. As it is the case for smallholder horticultural farming communities, the study suggests that Livelihood Vulnerability Index can be broadly applied to highlight potential areas for intervention and reduce the vulnerability of sector-specific farming communities within local and national levels. © 2018, Springer Nature B.V.","container-title":"Environment, Development and Sustainability","DOI":"10.1007/s10668-018-0292-y","ISSN":"1387585X","issue":"3","language":"English","note":"publisher: Springer","page":"2321-2342","title":"Assessing vulnerability of horticultural smallholders’ to climate variability in Ghana: applying the livelihood vulnerability approach","volume":"22","author":[{"family":"Williams","given":"P.A."},{"family":"Crespo","given":"O."},{"family":"Abu","given":"M."}],"issued":{"date-parts":[["2020"]]},"citation-key":"williams_etal_2020"}},{"id":688,"uris":["http://zotero.org/users/7734624/items/U6MX8V6V"],"itemData":{"id":688,"type":"article-journal","abstract":"Mixed crop-livestock farming systems provide food for more than half of the world's population. These agricultural systems are predicted to be vulnerable to climate change and therefore require transformative adaptations. In collaboration with farmers in the wheatbelt of Western Australia (WA), a range of systemic and transformative adaptation options, e.g. land use change, were designed for the modelled climate change projected to occur in 2030 (0.4-1.4 degrees increase in mean temperature). The effectiveness of the adaptation options was evaluated using coupled crop and livestock biophysical models within an economic and environmental framework at both the enterprise and farm scales. The relative changes in economic return and environmental variables in 2030 are presented in comparison with a baseline period (1970-2010). The analysis was performed on representative farm systems across a rainfall transect. Under the impact of projected climate change, the economic returns of the current farms without adaptation declined by between 2 and 47%, with a few exceptions where profit increased by up to 4%. When the adaptations were applied for 2030, profit increased at the high rainfall site in the range between 78 and 81% through a 25% increase in the size of livestock enterprise and adjustment in sowing dates, but such profit increases were associated with 6-10% increase in greenhouse gas (GHG) emissions. At the medium rainfall site, a 100% increase in stocking rate resulted in 5% growth in profit but with a 61-71% increase in GHG emissions and the increased likelihood of soil degradation. At the relatively low rainfall site, a 75% increase in livestock when associated with changes in crop management resulted in greater profitability and a smaller risk of soil erosion. This research identified that a shift toward a greater livestock enterprises (stocking rate and pasture area) could be a profitable and low-risk approach and may have most relevance in years with extremely low rainfall. If transformative adaptations are adopted then there will be an increased requirement for an emissions control policy due to livestock GHG emissions, while there would be also need for soil conservation strategies to be implemented during dry periods. The adoption rate analysis with producers suggests there would be a greater adoption rate for less intensified adaptations even if they are transformative. Overall the current systems would be more resilient with the adaptations, but there may be challenges in terms of environmental sustainability and in particular with soil conservation.","container-title":"Agricultural Systems","DOI":"10.1016/j.agsy.2018.04.011","ISSN":"0308-521X","page":"236–251","title":"Transformative and systemic climate change adaptations in mixed crop livestock farming systems UR -://WOS:000437075800020","title-short":"Transformative and systemic climate change adaptations in mixed crop livestock farming systems","volume":"164","author":[{"family":"Ghahramani","given":"A."},{"family":"Bowran","given":"D."}],"issued":{"date-parts":[["2018",7]]},"citation-key":"ghahramani_bowran_2018"}},{"id":672,"uris":["http://zotero.org/users/7734624/items/UQ4887QH"],"itemData":{"id":672,"type":"article-journal","abstract":"Climate change and extreme weather events undermine smallholder household food and income security in southern Africa. Climate Smart Agriculture (CSA) technologies comprise a suite of interventions that aim to sustainably increase productivity whilst helping farmers adapt their farming systems to climate change and to manage risk more effectively. Cost-benefit analysis (CBA) and a mixed methods approach were used to assess the likelihood of investment in various CSA technology combinations. The data were drawn respectively from 1440, 696, and 1448 sample households in Malawi, Mozambique and Zambia, covering 3622, 2106 and 5212 maize-legume plots in these countries over two years. The cost-benefit analysis and stochastic dominance results showed that CSA options that combined soil and water conservation management practices based on the principles of conservation agriculture (CA), improved varieties, and associations of cereal-legume crop species were economically viable and worth implementing for risk averse smallholder farmers. A dynamic mixed multinomial logit demonstrated that women's bargaining power, drought shock, and access to CSA technology information positively influenced the probability of investing in CSA technology combinations. This study provides evidence of the importance of cultural context, social relevance and intra-household decision-making in tailoring suitable combinations of CSA for smallholder farmers in southern Africa. © 2019 Elsevier B.V.","container-title":"Ecological Economics","DOI":"10.1016/j.ecolecon.2019.05.013","ISSN":"09218009","language":"English","note":"publisher: Elsevier B.V.","page":"126-137","title":"A cost-benefit analysis of climate-smart agriculture options in Southern Africa: Balancing gender and technology","volume":"163","author":[{"family":"Mutenje","given":"M.J."},{"family":"Farnworth","given":"C.R."},{"family":"Stirling","given":"C."},{"family":"Thierfelder","given":"C."},{"family":"Mupangwa","given":"W."},{"family":"Nyagumbo","given":"I."}],"issued":{"date-parts":[["2019"]]},"citation-key":"mutenje_etal_2019"}},{"id":921,"uris":["http://zotero.org/users/7734624/items/68EN98Y2"],"itemData":{"id":921,"type":"article-journal","abstract":"The impact of risk management on farm productivity is still being debated. Using survey data from French and Hungarian farms, we estimate the impacts of different risk management strategies and portfolios under varying levels of risk on total factor productivity. Results from a multinomial endogenous switching regression model show that the impacts can be positive or negative, depending on the risk management strategies adopted, the structure of the farming system, and the probability of risks. The choice of risk management strategies influences the farm's production costs and the allocation of resources. More complex risk management portfolios tend to have larger negative productivity impacts due to higher costs and the larger amount of resources subtracted from the production activity. Our results have important implications for risk management policies.","container-title":"American Journal of Agricultural Economics","DOI":"10.1093/ajae/aaz020","ISSN":"1467-8276","issue":"5","language":"en","note":"_eprint: https://onlinelibrary.wiley.com/doi/pdf/10.1093/ajae/aaz020","page":"1432-1454","source":"Wiley Online Library","title":"To Risk or Not to Risk? Risk Management and Farm Productivity","title-short":"To Risk or Not to Risk?","volume":"101","author":[{"family":"Vigani","given":"Mauro"},{"family":"Kathage","given":"Jonas"}],"issued":{"date-parts":[["2019"]]},"citation-key":"vigani_kathage_2019"}},{"id":693,"uris":["http://zotero.org/users/7734624/items/XNULPPY9"],"itemData":{"id":693,"type":"article-journal","abstract":"We analyse the impact of two large-scale regime shifts caused by disease incidence or climate change, and associated crop productivity and price changes, on banana-based smallholders in Uganda. We evaluate these farmers' vulnerability and assess the potential of using increased crop diversity to improve their resilience. We further explore trade-offs and synergies between environmental, economic and nutritional outcomes faced by the farmers in their decision making when a regime shift occurs. We simulate the large-scale scenarios with the IMPACT model and use the results obtained to assess their effect at the local level using the bio-economic farm-household model, FarmDESIGN. Our results indicate that climate change can lead to a regime shift that expands revenue variance, increases soil erosion and reduces vitamin A yield for farmers. Banana disease can negatively impact income levels and species diversity. We show that under both scenarios farmers have scope to reconfigure their farms and recover farm performance. Specifically, we discuss the benefits of species diversity; increasing agrobiodiversity by adding new crops increases the farm's adaptive capacity and resilience, allowing for much higher revenues, on-farm crop diversity and vitamin A production. The conceptual approach and the method we developed can be applied to assess the local synergies and trade-offs between crop diversity conservation, nutrition, environmental protection and human nutrition that farmers face as a result of global drivers. Our results offer a further understanding of how biodiverse systems respond to regime shifts, which can inform effective policy design. Our method can be also useful to help farmers manage their farms in a way to better meet their complex needs. © 2020","container-title":"Agricultural Systems","DOI":"10.1016/j.agsy.2020.102864","ISSN":"0308521X","language":"English","note":"publisher: Elsevier Ltd","title":"Responding to future regime shifts with agrobiodiversity: A multi-level perspective on small-scale farming in Uganda","URL":"https://www.scopus.com/inward/record.uri?eid=2-s2.0-85085060207&amp;doi=10.1016%2fj.agsy.2020.102864&amp;partnerID=40&amp;md5=ab368411284067fc3ffd0838ae1928fd","volume":"183","author":[{"family":"Kozicka","given":"M."},{"family":"Gotor","given":"E."},{"family":"Ocimati","given":"W."},{"family":"Jager","given":"T.","non-dropping-particle":"de"},{"family":"Kikulwe","given":"E."},{"family":"Groot","given":"J.C.J."}],"issued":{"date-parts":[["2020"]]},"citation-key":"kozicka_etal_2020"}},{"id":884,"uris":["http://zotero.org/users/7734624/items/EW86LG9V"],"itemData":{"id":884,"type":"article-journal","abstract":"Smallholder farmers in Afghanistan are already facing various risks in agricultural production due to past continuous insurgencies. Climate change is likely to amplify the risk and make them even more vulnerable. The present study attempted to evaluate the vulnerability profiles of smallholder farmers due to climate change using the IPCC Framework. Primary data on relevant parameters for assessing climate change-led social vulnerability in the region were collected by classifying study region into two zones: the plain and the hills of Yangi Qala District in Takhar province, Afghanistan. Thirteen villages from each zone were selected at random, and face-to-face interviews were conducted with ten randomly selected households in each of the selected villages in both zones based on a pre-tested questionnaire. The questionnaire contained indicators for all three dimensions of vulnerability: exposure, sensitivity and adaptive capacity. The collected data were subjected to a proposed vulnerability index, after estimating the indices of the three dimensions of vulnerability. The Iyenger and Sudershan weighting method was used to assess the contribution of each vulnerability dimension. Vulnerability was classified according to different categories based on beta distribution to evaluate the villages’ vulnerability status. The results showed that about 23% of all 26 sampled villages in both zones had low exposure, 26% moderate exposure and 51% high exposure to climate-change hazards and extreme weather events. High sensitivity was observed in 51%, moderate sensitivity in 7%, and low sensitivity in 42% of villages. High adaptive capacity to climate change was observed in 38% of villages, 19% were moderately adaptive and 42% showed a low adaptive capacity. High vulnerability was observed in 50% of villages, 4% were moderately vulnerable, and 46% had low vulnerability. A high proportion of smallholder farmers in the hilly zone in the sampled district were highly vulnerable, exposed and sensitive with a low adaptive capacity to climate change compared to the plain zone. The high vulnerability in the hilly zone was attributed to limited resources with a low adjustment capability to counter the disturbances, especially in crop cultivation, in response to climate change. A handful of low-cost and local approaches such as improving farmer extension services, introducing small-scale local infrastructure projects, reinforcing informal safety nets and protecting natural ecosystems could be viable cost-effective options that would also be sustainable given their low recurring costs and the limited maintenance required. © 2019 Elsevier Ltd","container-title":"Ecological Indicators","DOI":"10.1016/j.ecolind.2019.105863","ISSN":"1470160X","language":"English","note":"publisher: Elsevier B.V.","title":"Climate change vulnerability and adaptation strategies for smallholder farmers in Yangi Qala District, Takhar, Afghanistan","URL":"https://www.scopus.com/inward/record.uri?eid=2-s2.0-85074213101&amp;doi=10.1016%2fj.ecolind.2019.105863&amp;partnerID=40&amp;md5=f5d3dc5880670f5df717e2c3344acd81","volume":"110","author":[{"family":"Omerkhil","given":"N."},{"family":"Chand","given":"T."},{"family":"Valente","given":"D."},{"family":"Alatalo","given":"J.M."},{"family":"Pandey","given":"R."}],"issued":{"date-parts":[["2020"]]},"citation-key":"omerkhil_etal_2020"}},{"id":692,"uris":["http://zotero.org/users/7734624/items/EVCEYC4M"],"itemData":{"id":692,"type":"article-journal","abstract":"The practice of leaving a paddock out of production for an entire growing season, known as long fallowing, is used to accumulate soil water and mineral nitrogen (N) and break disease cycles in low-rainfall environments where in-crop rainfall is unreliable. This study used whole-farm economics and rule-based crop simulation at a site in the grain-growing Mallee region (300-350 mm annual rainfall) of south-eastern Australia to determine if long fallowing could be used to reduce production risk and maintain profit by reducing input costs. The Agricultural Production Systems sIMulator (APSIM) was used to model crop production on a hypothetical 4000-ha property over 20 years. Three fixed rotations (continuous wheat, wheat-chickpea and wheat-fallow) were managed as whole-farm systems, with unique soil water-based fertiliser rules for each rotation and a sowing window designed to reflect the improved timeliness of operations associated with reducing cropped area. Two flexible rule-based sequences were also created, where long fallow replaced a crop if plant available water and mineral N thresholds were not met at sowing. APSIM outputs were used for whole-farm economic analyses and to assess the returns and risks of each farming system. Converting 50% of a continuously-cropped wheat farm to fallow increased average annual net cash flow by 44% and decreased the variability of inter-annual profit by 49%. A long fallow-wheat rotation was more profitable than a chickpea-wheat rotation when chickpea prices were below $AUD800/t. Wheat production that incorporated long fallowing into the system when there were less than 100 water-nitrogen units at sowing was the most profitable system, increasing average net cash flow by 63% compared to continuous wheat production.","container-title":"AGRICULTURAL SYSTEMS","DOI":"10.1016/j.agsy.2019.102721","ISSN":"0308-521X","language":"English","note":"publisher-place: THE BOULEVARD, LANGFORD LANE, KIDLINGTON, OXFORD OX5 1GB, OXON, ENGLAND\npublisher: ELSEVIER SCI LTD\ntype: Article","title":"Long fallows can maintain whole-farm profit and reduce risk in semi-arid south-eastern Australia","volume":"178","author":[{"family":"Cann","given":"David J."},{"family":"Hunt","given":"James R."},{"family":"Malcolm","given":"Bill"}],"issued":{"date-parts":[["2020",2]]},"citation-key":"cann_etal_2020"}},{"id":927,"uris":["http://zotero.org/users/7734624/items/DEP5WNYF"],"itemData":{"id":927,"type":"article-journal","abstract":"Crop diversification is a climate-smart agricultural technique which helps to improve resilience for farmers in the face of volatile weather due to climate change. Previous research on its effects on technical efficiency has shown mixed results. Despite burgeoning literature on the subject, an important research question that remains uninvestigated is: does crop diversification involve a compromise between technical efficiency and resilience (income stability) for rural farmers? Using nationally representative rural household survey data from Zambia, this study empirically answers this research question. We employ the Data Envelopment Approach (DEA) for efficiency and a two- step least-squares approach for income variability. Our results show evidence that crop diversification significantly improves income stability but significantly reduces technical efficiency. The paper provides useful implications for policies that promote crop diversification in Zambia and other countries.","container-title":"AGRONOMY-BASEL","DOI":"10.3390/agronomy10121875","issue":"12","language":"English","note":"publisher-place: ST ALBAN-ANLAGE 66, CH-4052 BASEL, SWITZERLAND\npublisher: MDPI\ntype: Article","title":"Does Crop Diversification Involve a Trade-Off Between Technical Efficiency and Income Stability for Rural Farmers? Evidence from Zambia","volume":"10","author":[{"family":"Mzyece","given":"Agness"},{"family":"Ng'ombe","given":"John N."}],"issued":{"date-parts":[["2020",12]]},"citation-key":"mzyece_ngombe_2020"},"label":"page"},{"id":900,"uris":["http://zotero.org/users/7734624/items/ESZ3PZ8X"],"itemData":{"id":900,"type":"article-journal","abstract":"The Mediterranean region is expected to be a hotspot for climate change, making the resilience of farming systems a major challenge. Some studies have used quantitative models at the farm scale to analyze the resilience of farming systems but with little involvement of stakeholders. We used a participatory approach with local actors on the Saïs plain of Morocco to design possible future states and qualitatively assess the resilience of typical farm types (FTs) experiencing major change. Our approach combined individual interviews of farmers and local actors, mainly public, with participatory collective meetings to identify representative FTs and their performance, project their evolutions and future performance in the face of change, and evaluate their resilience. Performance, defined according to literature, interviews and meetings, included different types of capital, income, yields, markets, support of public policies, and water access. Four FTs were considered: highly irrigated horticulture (FT1), rainfed cereals (FT2), partly irrigated cereal-legumes (FT3), and mostly irrigated fruit-tree/horticulture (FT4). The primary driver for FT2 and FT3 was climate change; for FT1 and FT4, it was limiting access to water resources. Participants designed more diversified systems for all FTs in relation to those changes. Rankings of FT performance did not change between current and future states. Performance did not evolve significantly, but FT4 was seen as the most resilient and FT2 the least. These qualitative results differ somewhat from other studies mobilizing quantitative approaches, but they highlight the potential of local adaptation to limit the impacts of global change on vulnerable agriculture. © 2021, The Author(s), under exclusive licence to Springer-Verlag GmbH Germany, part of Springer Nature.","container-title":"Regional Environmental Change","DOI":"10.1007/s10113-021-01764-4","ISSN":"14363798","issue":"2","language":"English","note":"publisher: Springer Science and Business Media Deutschland GmbH","title":"Assessing the resilience of farming systems on the Saïs plain, Morocco","URL":"https://www.scopus.com/inward/record.uri?eid=2-s2.0-85103359646&amp;doi=10.1007%2fs10113-021-01764-4&amp;partnerID=40&amp;md5=924a3e87533f83436132d881f83b85fc","volume":"21","author":[{"family":"Hossard","given":"L."},{"family":"Fadlaoui","given":"A."},{"family":"Ricote","given":"E."},{"family":"Belhouchette","given":"H."}],"issued":{"date-parts":[["2021"]]},"citation-key":"hossard_etal_2021"}},{"id":898,"uris":["http://zotero.org/users/7734624/items/QIC727NG"],"itemData":{"id":898,"type":"article-journal","abstract":"Climate change threatens the livelihoods of smallholder farmers in the Global South. In semi-arid northern Ghana, where over 73% of the population is engaged in smallholder agriculture, climate-induced food insecurity is of major concern. Livelihood diversification is acknowledged to have the potential to improve climate resilience in smallholder farming systems through risk spreading. That notwithstanding, little is known about the links between livelihood diversification strategies and climate resilience in such vulnerable settings. Drawing data from a cross-sectional survey with 1100 smallholder households in semi-arid northern Ghana, this study contributes to the literature by examining the association between livelihood diversification and climate change resilience. Findings from logistic regression analysis revealed that smallholder farming households that practiced only farm diversification (OR = 4.66; p ≤ 0.001) and a combination of both farm and nonfarm diversification (OR = 6.28; p ≤ 0.001) had significantly higher odds of reporting stronger resilience to climate change compared to those who did not employ any diversification strategy. The study further revealed that land preparation techniques, source of climate information, and religion were significantly associated with smallholder farmers’ perceived climate change resilience. These findings point to the need for agricultural policy to promote both farm and nonfarm livelihoods as complementary risk-spreading strategies. Exploring the synergies between farm and nonfarm livelihoods may prove beneficial in semi-arid agrarian contexts. In doing so, critical contextual dynamics such as source of farm power and sources of climate information must not be overlooked. © 2021, The Author(s), under exclusive licence to Springer Nature B.V. part of Springer Nature.","container-title":"Climatic Change","DOI":"10.1007/s10584-021-03034-y","ISSN":"01650009","issue":"3-4","language":"English","note":"publisher: Springer Science and Business Media B.V.","title":"Livelihood diversification strategies and resilience to climate change in semi-arid northern Ghana","URL":"https://www.scopus.com/inward/record.uri?eid=2-s2.0-85101542820&amp;doi=10.1007%2fs10584-021-03034-y&amp;partnerID=40&amp;md5=704671630e15cee5760b492459f91982","volume":"164","author":[{"family":"Mohammed","given":"K."},{"family":"Batung","given":"E."},{"family":"Kansanga","given":"M."},{"family":"Nyantakyi-Frimpong","given":"H."},{"family":"Luginaah","given":"I."}],"issued":{"date-parts":[["2021"]]},"citation-key":"mohammed_etal_2021"}},{"id":697,"uris":["http://zotero.org/users/7734624/items/IM6WSCSJ"],"itemData":{"id":697,"type":"article-journal","abstract":"Conservation Agriculture (CA) is promoted by research and development (R&amp;D) agencies to sustainably intensify agricultural systems with the goals of improving food security and livelihoods and adapting food systems to global climate change. Despite the many benefits of CA, there are few farmers around the world that have simultaneously implemented all facets of the strategy. In part, this reflects the challenges in applying, adapting, and understanding this complex and multi-dimensional agricultural innovation in the context of diverse farming systems. In this paper, we applied an integrated framework that combines bioeconomic simulation, risk analysis, adoption theory, and impact assessment to investigate how various combinations of CA components (no-tillage, soil cover, crop diversification, plus growing a new crop or variety) performed over a 10-year period in representative farms in a central Mexican case study. We found significant differences in profit, net value, downside risk, and risk-aversion cost between double-component scenarios (and improved CA to a lesser extent) and all other scenarios, which suggested that disaggregating CA into smaller component packages could increase farmer adoption in risky contexts. Our findings provided valuable insights on CA feasibility and could help establish policy and reporting metrics. The study highlighted the need for employing a range of research tools to understand the relative value of agricultural innovations and to identify and reduce trade-offs and uncertainty in farming systems. © 2021 by the authors. Licensee MDPI, Basel, Switzerland.","container-title":"Agronomy","DOI":"10.3390/agronomy11061214","ISSN":"20734395","issue":"6","language":"English","note":"publisher: MDPI AG","title":"Disaggregating the value of conservation agriculture to inform smallholder transition to sustainable farming: A mexican case study","URL":"https://www.scopus.com/inward/record.uri?eid=2-s2.0-85108835109&amp;doi=10.3390%2fagronomy11061214&amp;partnerID=40&amp;md5=05911882b0621e212e1959d79f5cb1f7","volume":"11","author":[{"family":"Monjardino","given":"M."},{"family":"Ridaura","given":"S.L."},{"family":"Van Loon","given":"J."},{"family":"Mottaleb","given":"K."},{"family":"Kruseman","given":"G."},{"family":"Zepeda","given":"A."},{"family":"Hernández","given":"E.O."},{"family":"Burgueño","given":"J."},{"family":"Singh","given":"R.G."},{"family":"Govaerts","given":"B."},{"family":"Erenstein","given":"O."}],"issued":{"date-parts":[["2021"]]},"citation-key":"monjardino_etal_2021"}},{"id":3360,"uris":["http://zotero.org/users/7734624/items/62UBYFFE"],"itemData":{"id":3360,"type":"article-journal","container-title":"Agricultural Systems","DOI":"10.1016/j.agsy.2022.103519","ISSN":"0308521X","journalAbbreviation":"Agricultural Systems","language":"en","page":"103519","source":"DOI.org (Crossref)","title":"Improved legume pastures increase economic value, resilience and sustainability of crop-livestock systems","volume":"203","author":[{"family":"Monjardino","given":"Marta"},{"family":"Loi","given":"Angelo"},{"family":"Thomas","given":"Dean T."},{"family":"Revell","given":"Clinton K."},{"family":"Flohr","given":"Bonnie M."},{"family":"Llewellyn","given":"Rick S."},{"family":"Norman","given":"Hayley C."}],"issued":{"date-parts":[["2022",12]]},"citation-key":"monjardino_etal_2022"}},{"id":949,"uris":["http://zotero.org/users/7734624/items/IJATNEFS"],"itemData":{"id":949,"type":"article-journal","abstract":"CONTEXT\nFarmers in the federal state of Mato Grosso contribute about one-third of national grain production in Brazil. Given their key role in providing food and feed for fast-growing world demand, major shocks on Mato Grosso's farm holdings can lead to devastating consequences for vulnerable consumers and producers inside and outside Brazil. Research has shown that rising temperature and water stress threaten the agricultural productivity of Mato Grosso's rain-fed farm production systems. Failure of current production systems on existing croplands may also foster agricultural expansion and increase pressure on the remaining native forest. Balancing agricultural production and environmental protection is of particular concern in Mato Grosso because more than half of its territory is in the Amazon Rainforest biome. The tight schedule of field activities within double-cropping systems reduces farmers' ability to adapt to climate change and manage shocks. The increasing uncertainty about climate change and price volatility further complicate farmers' decision-making.\nOBJECTIVE\nThis study evaluates the impact of two climate change scenarios on the profitability of double-cropping systems, considering not only climate variability but also economic uncertainties faced at the farm level.\nMETHODS\nOur modeling system combines future climate projections with biophysical and bioeconomic models. We used high-performance computing with many compute nodes and large shared memory to account for the large heterogeneity of possible management options and farm-gate prices.\nRESULTS AND CONCLUSIONS\nSimulation results indicate that farmers in Mato Grosso could be exposed to significantly lower economic returns, with a future gross margin reduction of 69% on average compared to current levels. Moreover, the number of profitable cropping alternatives could drop by 18% on average. According to our simulations, climate impacts on gross margins are likely to differ in Mato Grosso, with the Southeast macro-region being the most affected and the South Central region the least. The simulation results also revealed a higher risk of losses during the second cropping season. Double-cropping systems with cotton were the most impacted by changing climatic conditions, and sunflower the least.\nSIGNIFICANCE\nThis study revealed that climate change might negatively affect double-cropping systems in the Southern Amazon due to reduced annual precipitation, a shortening of the rainy season, and shifts in the rainy season's onset and cessation dates. Our bioeconomic simulations further suggest that farmers in Mato Grosso could lose one of their most significant comparative advantages, namely the possibility of harvesting two crops in one cropping season.","container-title":"Agricultural Systems","DOI":"10.1016/j.agsy.2021.103104","ISSN":"0308-521X","journalAbbreviation":"Agricultural Systems","language":"en","page":"103104","source":"ScienceDirect","title":"No more double cropping in Mato Grosso, Brazil? Evaluating the potential impact of climate change on the profitability of farm systems","title-short":"No more double cropping in Mato Grosso, Brazil?","volume":"190","author":[{"family":"Carauta","given":"Marcelo"},{"family":"Parussis","given":"Julia"},{"family":"Hampf","given":"Anna"},{"family":"Libera","given":"Affonso"},{"family":"Berger","given":"Thomas"}],"issued":{"date-parts":[["2021",5,1]]},"citation-key":"carauta_etal_2021"}},{"id":1057,"uris":["http://zotero.org/users/7734624/items/GBHGFLYH"],"itemData":{"id":1057,"type":"article-journal","abstract":"Decision makers need accurate information to address climate variability and change and accelerate transformation to sustainability. A stakeholder-driven, science-based multi-model approach has been developed and used by the Agricultural Model Intercomparison and Improvement Project (AgMIP) to generate actionable information for adaptation planning processes. For a range of mid-century climate projections—likely to be hotter, drier, and more variable—contrasting future socio-economic scenarios (Representative Agricultural Pathways, RAPs) were co-developed with stakeholders to portray a sustainable development scenario and a rapid economic growth pathway. The unique characteristic of this application is the integration of a multi-modeling approach with stakeholder engagement to co-develop scenarios and adaptation strategies. Distribution of outcomes were simulated with climate, crop, livestock, and economic impact assessment models for smallholder crop livestock farmers in a typical dryland agro-ecological zone in Zimbabwe, characterized by low and erratic rainfall and nutrient depleted soils. Results showed that in Nkayi District, Western Zimbabwe, climate change would threaten most of the farms, and, in particular, those with large cattle herds due to feed shortages. Adaptation strategies that showed the most promise included diversification using legume production, soil fertility improvement, and investment in conducive market environments. The switch to more legumes in the farming systems reduced the vulnerability of the very poor as well as the more resourced farmers. Overall, the sustainable development scenario consistently addressed institutional failures and motivated productivity-enhancing, environmentally sound technologies and inclusive development approaches. This yielded more favorable outcomes than investment in quick economic wins from commercializing agriculture.","container-title":"Climatic Change","DOI":"10.1007/s10584-021-03151-8","ISSN":"1573-1480","issue":"1","journalAbbreviation":"Climatic Change","language":"en","page":"10","source":"Springer Link","title":"Climate change impacts and adaptation for dryland farming systems in Zimbabwe: a stakeholder-driven integrated multi-model assessment","title-short":"Climate change impacts and adaptation for dryland farming systems in Zimbabwe","volume":"168","author":[{"family":"Homann-Kee Tui","given":"Sabine"},{"family":"Descheemaeker","given":"Katrien"},{"family":"Valdivia","given":"Roberto O."},{"family":"Masikati","given":"Patricia"},{"family":"Sisito","given":"Gevious"},{"family":"Moyo","given":"Elisha N."},{"family":"Crespo","given":"Olivier"},{"family":"Ruane","given":"Alex C."},{"family":"Rosenzweig","given":"Cynthia"}],"issued":{"date-parts":[["2021",9,25]]},"citation-key":"homann-keetui_etal_2021"}},{"id":3351,"uris":["http://zotero.org/users/7734624/items/C2RG32UR"],"itemData":{"id":3351,"type":"article-journal","container-title":"Agricultural Systems","DOI":"10.1016/j.agsy.2021.103230","ISSN":"0308521X","journalAbbreviation":"Agricultural Systems","language":"en","page":"103230","source":"DOI.org (Crossref)","title":"Soil health and grain yield impacts of climate resilient agriculture projects: Evidence from southern Malawi","title-short":"Soil health and grain yield impacts of climate resilient agriculture projects","volume":"193","author":[{"family":"Amadu","given":"Festus O."},{"family":"McNamara","given":"Paul E."},{"family":"Davis","given":"Kristin E."}],"issued":{"date-parts":[["2021",10]]},"citation-key":"amadu_etal_2021"}},{"id":3361,"uris":["http://zotero.org/users/7734624/items/RH6ZIHNH"],"itemData":{"id":3361,"type":"article-journal","abstract":"In this article, we use spatially granular climate data merged with four waves of household survey data in Uganda to examine empirically the relationships among high temperatures, total value of crop production, and the adoption and adoption duration of two sustainable agricultural practices (organic fertilizer adoption and maize–legume intercropping). We do this using a fixed‐effect model with instrumental variables to address potential endogeneity issues. Our findings indicate that the adoption of these practices has a positive effect on the total value of crop production, and such effect increases monotonically as temperatures increase from long‐term averages. Moreover, the number of years a farmer uses the practice is associated with higher total value of crop production, and this relationship holds across the full distribution of high temperature deviations. Taken together, the results suggest that promoting the adoption, and particularly the sustained adoption, of these practices can help to address the risks posed by rising temperatures to Ugandan agriculture and the livelihoods of farmers who depend on it.","container-title":"American Journal of Agricultural Economics","DOI":"10.1111/ajae.12229","ISSN":"0002-9092, 1467-8276","issue":"1","journalAbbreviation":"American J Agri Economics","language":"en","page":"385-403","source":"DOI.org (Crossref)","title":"Adapting to High Temperatures: Effect of Farm Practices and Their Adoption Duration on Total Value of Crop Production in Uganda","title-short":"Adapting to High Temperatures","volume":"104","author":[{"family":"Maggio","given":"Giuseppe"},{"family":"Mastrorillo","given":"Marina"},{"family":"Sitko","given":"Nicholas J."}],"issued":{"date-parts":[["2022",1]]},"citation-key":"maggio_etal_2022"}},{"id":3341,"uris":["http://zotero.org/users/7734624/items/XPPADBAG"],"itemData":{"id":3341,"type":"article-journal","abstract":"Potato (Solanum tuberosum) is an indispensable commodity, mainly cultivated by high-altitude mountain households, that sustains and supports the livelihood of an overwhelming 51% of the Bhutanese population. The popularity of potato cultivation among Bhutanese farmers can be attributed to the crop’s adaptability to a wide range of agroclimatic conditions such as a rainfed crop, high productivity, an assured market, and a reliable source of income for the farming families. We hypothesize that the changing climate would make the livelihood associated with potato cultivation in Bhutan more vulnerable. We tested this hypothesis to identify the sources of vulnerability of smallholder farming households using the Livelihood Vulnerability Index (LVI) and LVI-IPCC (Intergovernmental Panel on Climate Change) approaches in six potato growing districts of Bhutan: Bumthang, Chukha, Gasa, Mongar, Tashigang, and Wangdue. Primary data were generated through a semi structured sample survey of 240 households on the seven major livelihood components of sociodemographic profiles, livelihood strategies, social networks, health, food, water, natural disasters, and climate variability. The results showed that the LVI (range 0.302 to 0.375) and LVI-IPCC (range −0.005 to 0.030) differed significantly (p &lt; 0.001) across the districts. The districts of Tashigang and Mongar were less vulnerable than the other four districts by the LVI approach, whereas Bumthang was also revealed to be less vulnerable using the LVI-IPCC approach. The degree of vulnerability in a district differed according to their level of exposure and adaptive capacity to the climate change impacts of the potato farming household. The results are expected to serve as empirical evidence for designing a future course of actions to mitigate the negative impacts.","container-title":"Sustainability","DOI":"10.3390/su14042339","ISSN":"2071-1050","issue":"4","journalAbbreviation":"Sustainability","language":"en","license":"https://creativecommons.org/licenses/by/4.0/","page":"2339","source":"DOI.org (Crossref)","title":"Empirical Evidence of the Livelihood Vulnerability to Climate Change Impacts: A Case of Potato-Based Mountain Farming Systems in Bhutan","title-short":"Empirical Evidence of the Livelihood Vulnerability to Climate Change Impacts","volume":"14","author":[{"family":"Rai","given":"Pradeep"},{"family":"Bajgai","given":"Yadunath"},{"family":"Rabgyal","given":"Jimba"},{"family":"Katwal","given":"Tirtha Bdr"},{"family":"Delmond","given":"Anthony Ryan"}],"issued":{"date-parts":[["2022",2,18]]},"citation-key":"rai_etal_2022"}},{"id":811,"uris":["http://zotero.org/users/7734624/items/QTWS7QU2"],"itemData":{"id":811,"type":"article-journal","abstract":"CONTEXT\nNew types of farming systems have emerged in response to societal demands to reduce environmental impacts and dependence on non-renewable resources. These agriculture models can be classified according to their relative use of anthropic inputs or biodiversity and associated ecosystem services as agricultural production factors. All these models are exposed to climate change, price volatility and other disturbances. However, little is known about their resilience levels and the factors that drive them.\nOBJECTIVE\nWe assessed the resilience of 30 highly contrasted cropping agroecosystems in north-eastern France which covered a broad gradient from simplified and intensified to complex and biodiversity-based agroecosystems.\nMETHODS\nWe applied a quantitative analysis of the dynamics of three key performances over eight years: yield, gross margin and workload. An original combined set of adapted criteria − level, variability, trend and resistance − was used to assess their dynamics, i.e. their resilience. We use partial least squares regression, multiple regression trees and Pareto ranking to identify relationships among the characteristics and resilience performance of these systems.\nRESULTS AND CONCLUSIONS\nThe results showed that biodiversity-based agroecosystems, which provide a high level of ecosystem services to farmers or an increase in natural capital, tended to have stable performances. These systems also had a lower workload than intensified systems. Conversely, input-based systems, especially irrigated and tillage-intensive systems, had higher yields and gross margins, were resistant to major disturbances but were less stable.\nSIGNIFICANCE\nWhile our results show benefits of relying on biodiversity to stabilise system performances, we highlight a potential trade-off between performance level and stability, as well as possible solutions to overcome it. We also discuss the short-term strategy of anthropic input-based systems, which perform well, but consume large amounts of human and natural resources. We show potential advantages of systems that balance both ecosystem services and anthropic inputs to provide a strategy to fill the yield gap and attain resilience.","container-title":"Agricultural Systems","DOI":"10.1016/j.agsy.2022.103365","ISSN":"0308-521X","journalAbbreviation":"Agricultural Systems","language":"en","page":"103365","source":"ScienceDirect","title":"Resilience of agricultural systems: biodiversity-based systems are stable, while intensified ones are resistant and high-yielding","title-short":"Resilience of agricultural systems","volume":"197","author":[{"family":"Dardonville","given":"Manon"},{"family":"Bockstaller","given":"Christian"},{"family":"Villerd","given":"Jean"},{"family":"Therond","given":"Olivier"}],"issued":{"date-parts":[["2022",3,1]]},"citation-key":"dardonville_etal_2022"}},{"id":3385,"uris":["http://zotero.org/users/7734624/items/DD4RVZRY"],"itemData":{"id":3385,"type":"article-journal","container-title":"Journal of Environmental Studies and Sciences","DOI":"10.1007/s13412-022-00763-z","ISSN":"2190-6483, 2190-6491","issue":"3","journalAbbreviation":"J Environ Stud Sci","language":"en","page":"547-565","source":"DOI.org (Crossref)","title":"Modeling resilience behavior against climate change with food security approach","volume":"12","author":[{"family":"Asrari","given":"Amirreza"},{"family":"Omidi Najafabadi","given":"Maryam"},{"family":"Farajollah Hosseini","given":"Jamal"}],"issued":{"date-parts":[["2022",9]]},"citation-key":"asrari_etal_2022"}},{"id":3335,"uris":["http://zotero.org/users/7734624/items/77NJ6K3P"],"itemData":{"id":3335,"type":"article-journal","abstract":"The assessment of the vulnerability to drought hazards in smallholder farming systems dependent on rain-fed agriculture has recently gained global popularity, given the need to identify and prioritize climate hotspots for climate adaptation. Over the past decade, numerous studies have focused on vulnerability assessments with respect to drought and other meteorological hazards. Nonetheless, less research has focused on applying common measurement frameworks to compare vulnerability in different communities and the sources of such vulnerability. Yet, the crucial question remains: who is more vulnerable and what contributes to this vulnerability? This article is a case study for assessing the vulnerability to drought of smallholder farmers in two wards in Chivi district, Masvingo Province, Zimbabwe. This study is timely, as climate change is increasingly affecting populations dependent on rainfed agriculture. This assessment has been conducted by calculating the Livelihood Vulnerability Index (LVI) and Livelihood Vulnerability Index of the Intergovernmental Panel on Climate Change (LVI-IPCC). This empirical study used data from 258 households from the two wards and triangulated it through Key Informant Interviews and Focus Group Discussions. To calculate the LVI, twenty-six subcomponents made up of seven major components, including socio-demographic variables; livelihood strategies; social capital; access to food, health, and water; and exposure to drought, were considered. To calculate the LVI-IPCC, we combined the three contributing factors of vulnerability (exposure, sensitivity, and adaptive capacity). Our results indicate that the LVI forward 14 is statistically higher than for ward 19 (F = 21.960; p ≤ 0.01) due to high exposure to drought, food insecurity, and compromised social networks. Concerning the LVI-IPCC, ward 14 was significantly more vulnerable to the impacts of drought than ward 19 (F = 7.718; p ≤ 0.01). Thus, reducing exposure to drought through early warning systems, building diversified agricultural systems, and social networks are of high priority to reduce the vulnerability of the farmers.","container-title":"Climate","DOI":"10.3390/cli10120189","ISSN":"2225-1154","issue":"12","journalAbbreviation":"Climate","language":"en","license":"https://creativecommons.org/licenses/by/4.0/","page":"189","source":"DOI.org (Crossref)","title":"Mapping and Managing Livelihoods Vulnerability to Drought: A Case Study of Chivi District in Zimbabwe","title-short":"Mapping and Managing Livelihoods Vulnerability to Drought","volume":"10","author":[{"family":"Mugandani","given":"Raymond"},{"family":"Muziri","given":"Tavagwisa"},{"family":"Murewi","given":"Cyril Tapiwa Farai"},{"family":"Mugadza","given":"Amanda"},{"family":"Chitata","given":"Tavengwa"},{"family":"Sungirai","given":"Marvelous"},{"family":"Zirebwa","given":"Farai Solomon"},{"family":"Manhondo","given":"Petronella"},{"family":"Mupfiga","given":"Elvis Tawanda"},{"family":"Nyamutowa","given":"Charles"},{"family":"Mudereri","given":"Bester Tawona"},{"family":"Mugari","given":"Zvenyika Eckson"},{"family":"Mwadzingeni","given":"Liboster"},{"family":"Mafongoya","given":"Paramu"}],"issued":{"date-parts":[["2022",11,29]]},"citation-key":"mugandani_etal_2022"}},{"id":3283,"uris":["http://zotero.org/users/7734624/items/8CQFRMVY"],"itemData":{"id":3283,"type":"article-journal","container-title":"Agricultural Systems","DOI":"10.1016/j.agsy.2023.103724","ISSN":"0308521X","journalAbbreviation":"Agricultural Systems","language":"en","page":"103724","source":"DOI.org (Crossref)","title":"A framework for the assessment of farm diversification options in broadacre agriculture","volume":"210","author":[{"family":"Adhikari","given":"Lipy"},{"family":"Komarek","given":"Adam M."},{"family":"De Voil","given":"Peter"},{"family":"Rodriguez","given":"Daniel"}],"issued":{"date-parts":[["2023",8]]},"citation-key":"adhikari_etal_2023"}},{"id":3254,"uris":["http://zotero.org/users/7734624/items/8AK5QTDU"],"itemData":{"id":3254,"type":"article-journal","container-title":"Agricultural Systems","DOI":"10.1016/j.agsy.2023.103744","ISSN":"0308521X","journalAbbreviation":"Agricultural Systems","language":"en","page":"103744","source":"DOI.org (Crossref)","title":"Dynamics of crop category choices reveal strategies and tactics used by smallholder farmers in India to cope with unreliable water availability","volume":"211","author":[{"family":"Baccar","given":"Mariem"},{"family":"Raynal","given":"Hélène"},{"family":"Sekhar","given":"Muddu"},{"family":"Bergez","given":"Jacques-Eric"},{"family":"Willaume","given":"Magali"},{"family":"Casel","given":"Pierre"},{"family":"Giriraj","given":"P."},{"family":"Murthy","given":"Sanjeeva"},{"family":"Ruiz","given":"Laurent"}],"issued":{"date-parts":[["2023",10]]},"citation-key":"baccar_etal_2023"}},{"id":3294,"uris":["http://zotero.org/users/7734624/items/T5IXI9GL"],"itemData":{"id":3294,"type":"article-journal","container-title":"European Journal of Agronomy","DOI":"10.1016/j.eja.2023.127012","ISSN":"11610301","journalAbbreviation":"European Journal of Agronomy","language":"en","page":"127012","source":"DOI.org (Crossref)","title":"Assessing Mediterranean agroforestry systems: Agro-economic</w:instrText>
            </w:r>
            <w:r w:rsidR="00C140DA" w:rsidRPr="00C140DA">
              <w:rPr>
                <w:rFonts w:ascii="Times New Roman" w:eastAsia="Times New Roman" w:hAnsi="Times New Roman" w:cs="Times New Roman"/>
                <w:color w:val="000000"/>
                <w:lang w:val="fr-FR" w:eastAsia="en-GB"/>
              </w:rPr>
              <w:instrText xml:space="preserve"> impacts of olive wild asparagus in central Italy","title-short":"Assessing Mediterranean agroforestry systems","volume":"152","author":[{"family":"Rezgui","given":"Ferdaous"},{"family":"Rosati","given":"Adolfo"},{"family":"Lambarraa-Lehnhardt","given":"Fatima"},{"family":"Paul","given":"Carsten"},{"family":"Reckling","given":"Moritz"}],"issued":{"date-parts":[["2024",1]]},"citation-key":"rezgui_etal_2024"}},{"id":3268,"uris":["http://zotero.org/users/7734624/items/UQPZNCJA"],"itemData":{"id":3268,"type":"article-journal","container-title":"Science of The Total Environment","DOI":"10.1016/j.scitotenv.2023.169272","ISSN":"00489697","journalAbbreviation":"Science of The Total Environment","language":"en","page":"169272","source":"DOI.org (Crossref)","title":"Cost benefit analysis of diversified farming systems across Europe: Incorporating non-market benefits of ecosystem services","title-short":"Cost benefit analysis of diversified farming systems across Europe","volume":"912","author":[{"family":"Alcon","given":"Francisco"},{"family":"Albaladejo-García","given":"Jose A."},{"family":"Martínez-García","given":"Victor"},{"family":"Rossi","given":"Eleonora S."},{"family":"Blasi","given":"Emanuele"},{"family":"Lehtonen","given":"Heikki"},{"family":"Martínez-Paz","given":"Jose M."},{"family":"Zabala","given":"Jose A."}],"issued":{"date-parts":[["2024",2]]},"citation-key":"alcon_etal_2024"}}],"schema":"https://github.com/citation-style-language/schema/raw/master/csl-citation.json"}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C140DA" w:rsidRPr="00C140DA">
              <w:rPr>
                <w:rFonts w:ascii="Times New Roman" w:hAnsi="Times New Roman" w:cs="Times New Roman"/>
                <w:szCs w:val="24"/>
                <w:lang w:val="fr-FR"/>
              </w:rPr>
              <w:t xml:space="preserve">(Chapman et al. 2008; Rodriguez et al. 2011, 2014; Rufino et al. 2013; Lehmann et al. 2013; Lei et al. 2014; Mutabazi et al. 2015; Ghahramani and Moore 2016; Dalgliesh et al. 2016; Duncan et al. 2017; Mahmood et al. 2017; Paul et al. 2017; Descheemaeker et al. 2018; Souissi et al. 2018; Kabir et al. 2018; Ghahramani and Bowran 2018; Mutenje et al. 2019; Vigani and Kathage 2019; Kozicka et al. 2020; Omerkhil et al. 2020; Williams et al. 2020a; Cann et al. 2020; Mzyece and Ng’ombe 2020; Hossard et al. 2021; Mohammed et al. 2021; Monjardino et al. 2021, 2022; Carauta et al. 2021; Homann-Kee Tui et al. 2021; Amadu et al. 2021; </w:t>
            </w:r>
            <w:r w:rsidR="00C140DA" w:rsidRPr="00C140DA">
              <w:rPr>
                <w:rFonts w:ascii="Times New Roman" w:hAnsi="Times New Roman" w:cs="Times New Roman"/>
                <w:szCs w:val="24"/>
                <w:lang w:val="fr-FR"/>
              </w:rPr>
              <w:lastRenderedPageBreak/>
              <w:t>Maggio et al. 2022; Rai et al. 2022; Dardonville et al. 2022; Asrari et al. 2022; Mugandani et al. 2022; Adhikari et al. 2023; Baccar et al. 2023; Rezgui et al. 2024; Alcon et al. 2024)</w:t>
            </w:r>
            <w:r w:rsidRPr="00FF4B56">
              <w:rPr>
                <w:rFonts w:ascii="Times New Roman" w:eastAsia="Times New Roman" w:hAnsi="Times New Roman" w:cs="Times New Roman"/>
                <w:color w:val="000000"/>
                <w:lang w:eastAsia="en-GB"/>
              </w:rPr>
              <w:fldChar w:fldCharType="end"/>
            </w:r>
          </w:p>
        </w:tc>
      </w:tr>
      <w:tr w:rsidR="00C140DA" w:rsidRPr="00C140DA" w14:paraId="07E6FFB9" w14:textId="77777777" w:rsidTr="00C140DA">
        <w:trPr>
          <w:trHeight w:val="288"/>
        </w:trPr>
        <w:tc>
          <w:tcPr>
            <w:tcW w:w="0" w:type="auto"/>
            <w:tcBorders>
              <w:top w:val="nil"/>
              <w:left w:val="nil"/>
              <w:right w:val="nil"/>
            </w:tcBorders>
            <w:shd w:val="clear" w:color="000000" w:fill="FFFFFF"/>
          </w:tcPr>
          <w:p w14:paraId="5738FC47" w14:textId="77777777" w:rsidR="00C140DA" w:rsidRPr="00C140DA" w:rsidRDefault="00C140DA" w:rsidP="00406364">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right w:val="nil"/>
            </w:tcBorders>
            <w:shd w:val="clear" w:color="000000" w:fill="FFFFFF"/>
            <w:noWrap/>
          </w:tcPr>
          <w:p w14:paraId="40330776" w14:textId="77777777" w:rsidR="00C140DA" w:rsidRPr="00C140DA" w:rsidRDefault="00C140DA" w:rsidP="00406364">
            <w:pPr>
              <w:spacing w:after="0" w:line="360" w:lineRule="auto"/>
              <w:rPr>
                <w:rFonts w:ascii="Times New Roman" w:eastAsia="Times New Roman" w:hAnsi="Times New Roman" w:cs="Times New Roman"/>
                <w:color w:val="000000"/>
                <w:lang w:val="fr-FR" w:eastAsia="en-GB"/>
              </w:rPr>
            </w:pPr>
          </w:p>
        </w:tc>
        <w:tc>
          <w:tcPr>
            <w:tcW w:w="5310" w:type="dxa"/>
            <w:tcBorders>
              <w:top w:val="nil"/>
              <w:left w:val="nil"/>
              <w:right w:val="nil"/>
            </w:tcBorders>
            <w:shd w:val="clear" w:color="000000" w:fill="FFFFFF"/>
            <w:noWrap/>
          </w:tcPr>
          <w:p w14:paraId="00B20147" w14:textId="5CB95004" w:rsidR="00C140DA" w:rsidRPr="00C140DA" w:rsidRDefault="00C140DA" w:rsidP="00406364">
            <w:pPr>
              <w:spacing w:after="0" w:line="360" w:lineRule="auto"/>
              <w:rPr>
                <w:rFonts w:ascii="Times New Roman" w:eastAsia="Times New Roman" w:hAnsi="Times New Roman" w:cs="Times New Roman"/>
                <w:color w:val="000000"/>
                <w:lang w:val="fr-FR" w:eastAsia="en-GB"/>
              </w:rPr>
            </w:pPr>
            <w:proofErr w:type="spellStart"/>
            <w:r w:rsidRPr="00C140DA">
              <w:rPr>
                <w:rFonts w:ascii="Times New Roman" w:eastAsia="Times New Roman" w:hAnsi="Times New Roman" w:cs="Times New Roman"/>
                <w:color w:val="000000"/>
                <w:lang w:val="fr-FR" w:eastAsia="en-GB"/>
              </w:rPr>
              <w:t>Number</w:t>
            </w:r>
            <w:proofErr w:type="spellEnd"/>
            <w:r w:rsidRPr="00C140DA">
              <w:rPr>
                <w:rFonts w:ascii="Times New Roman" w:eastAsia="Times New Roman" w:hAnsi="Times New Roman" w:cs="Times New Roman"/>
                <w:color w:val="000000"/>
                <w:lang w:val="fr-FR" w:eastAsia="en-GB"/>
              </w:rPr>
              <w:t xml:space="preserve"> of </w:t>
            </w:r>
            <w:proofErr w:type="spellStart"/>
            <w:r w:rsidRPr="00C140DA">
              <w:rPr>
                <w:rFonts w:ascii="Times New Roman" w:eastAsia="Times New Roman" w:hAnsi="Times New Roman" w:cs="Times New Roman"/>
                <w:color w:val="000000"/>
                <w:lang w:val="fr-FR" w:eastAsia="en-GB"/>
              </w:rPr>
              <w:t>crops</w:t>
            </w:r>
            <w:proofErr w:type="spellEnd"/>
            <w:r w:rsidRPr="00C140DA">
              <w:rPr>
                <w:rFonts w:ascii="Times New Roman" w:eastAsia="Times New Roman" w:hAnsi="Times New Roman" w:cs="Times New Roman"/>
                <w:color w:val="000000"/>
                <w:lang w:val="fr-FR" w:eastAsia="en-GB"/>
              </w:rPr>
              <w:t xml:space="preserve">, </w:t>
            </w:r>
            <w:proofErr w:type="spellStart"/>
            <w:r w:rsidRPr="00C140DA">
              <w:rPr>
                <w:rFonts w:ascii="Times New Roman" w:eastAsia="Times New Roman" w:hAnsi="Times New Roman" w:cs="Times New Roman"/>
                <w:color w:val="000000"/>
                <w:lang w:val="fr-FR" w:eastAsia="en-GB"/>
              </w:rPr>
              <w:t>varieties</w:t>
            </w:r>
            <w:proofErr w:type="spellEnd"/>
            <w:r w:rsidRPr="00C140DA">
              <w:rPr>
                <w:rFonts w:ascii="Times New Roman" w:eastAsia="Times New Roman" w:hAnsi="Times New Roman" w:cs="Times New Roman"/>
                <w:color w:val="000000"/>
                <w:lang w:val="fr-FR" w:eastAsia="en-GB"/>
              </w:rPr>
              <w:t xml:space="preserve">, plants and </w:t>
            </w:r>
            <w:proofErr w:type="spellStart"/>
            <w:r w:rsidRPr="00C140DA">
              <w:rPr>
                <w:rFonts w:ascii="Times New Roman" w:eastAsia="Times New Roman" w:hAnsi="Times New Roman" w:cs="Times New Roman"/>
                <w:color w:val="000000"/>
                <w:lang w:val="fr-FR" w:eastAsia="en-GB"/>
              </w:rPr>
              <w:t>species</w:t>
            </w:r>
            <w:proofErr w:type="spellEnd"/>
          </w:p>
        </w:tc>
        <w:tc>
          <w:tcPr>
            <w:tcW w:w="1350" w:type="dxa"/>
            <w:tcBorders>
              <w:top w:val="nil"/>
              <w:left w:val="nil"/>
              <w:right w:val="nil"/>
            </w:tcBorders>
            <w:shd w:val="clear" w:color="000000" w:fill="FFFFFF"/>
            <w:noWrap/>
          </w:tcPr>
          <w:p w14:paraId="47E7B83D" w14:textId="40ABB97D" w:rsidR="00C140DA" w:rsidRPr="00C140DA" w:rsidRDefault="00C140DA" w:rsidP="00406364">
            <w:pPr>
              <w:spacing w:after="0" w:line="360" w:lineRule="auto"/>
              <w:rPr>
                <w:rFonts w:ascii="Times New Roman" w:eastAsia="Times New Roman" w:hAnsi="Times New Roman" w:cs="Times New Roman"/>
                <w:color w:val="000000"/>
                <w:lang w:val="fr-FR" w:eastAsia="en-GB"/>
              </w:rPr>
            </w:pPr>
            <w:r w:rsidRPr="00C140DA">
              <w:rPr>
                <w:rFonts w:ascii="Times New Roman" w:eastAsia="Times New Roman" w:hAnsi="Times New Roman" w:cs="Times New Roman"/>
                <w:color w:val="000000"/>
                <w:lang w:val="fr-FR" w:eastAsia="en-GB"/>
              </w:rPr>
              <w:t>10</w:t>
            </w:r>
          </w:p>
        </w:tc>
        <w:tc>
          <w:tcPr>
            <w:tcW w:w="5274" w:type="dxa"/>
            <w:tcBorders>
              <w:left w:val="nil"/>
              <w:right w:val="nil"/>
            </w:tcBorders>
            <w:shd w:val="clear" w:color="000000" w:fill="FFFFFF"/>
          </w:tcPr>
          <w:p w14:paraId="1F93E5E3" w14:textId="2990A7E4" w:rsidR="00C140DA" w:rsidRPr="00C140DA" w:rsidRDefault="00C140DA" w:rsidP="00406364">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fldChar w:fldCharType="begin"/>
            </w:r>
            <w:r w:rsidRPr="00C140DA">
              <w:rPr>
                <w:rFonts w:ascii="Times New Roman" w:eastAsia="Times New Roman" w:hAnsi="Times New Roman" w:cs="Times New Roman"/>
                <w:color w:val="000000"/>
                <w:lang w:val="fr-FR" w:eastAsia="en-GB"/>
              </w:rPr>
              <w:instrText xml:space="preserve"> ADDIN ZOTERO_ITEM CSL_CITATION {"citationID":"q7G5kHyo","properties":{"formattedCitation":"(Martin and Magne 2015; Williams et al. 2018; Asmare et al. 2022; Bergez et al. 2022; Monjardino et al. 2022; Chaudhary et al. 2022; Soltani and Mellah 2023; Garba et al. 2023; Marie Chimi et al. 2023; Young et al. 2024)","plainCitation":"(Martin and Magne 2015; Williams et al. 2018; Asmare et al. 2022; Bergez et al. 2022; Monjardino et al. 2022; Chaudhary et al. 2022; Soltani and Mellah 2023; Garba et al. 2023; Marie Chimi et al. 2023; Young et al. 2024)","noteIndex":0},"citationItems":[{"id":931,"uris":["http://zotero.org/users/</w:instrText>
            </w:r>
            <w:r>
              <w:rPr>
                <w:rFonts w:ascii="Times New Roman" w:eastAsia="Times New Roman" w:hAnsi="Times New Roman" w:cs="Times New Roman"/>
                <w:color w:val="000000"/>
                <w:lang w:eastAsia="en-GB"/>
              </w:rPr>
              <w:instrText xml:space="preserve">7734624/items/2IDL35WJ"],"itemData":{"id":931,"type":"article-journal","abstract":"Greater diversity (i.e., variety, balance and disparity) within agricultural systems is often suggested as a solution to promote redundancy within such systems and therefore increase their adaptive capacity and reduce their vulnerability against climate change and variability. Yet this assumption relies upon the gathering and integration of field- and herd-scale results at the farm scale. We have conducted a farm-scale simulation-based study to evaluate the potential for increasing adaptive capacity and reducing vulnerability of livestock systems to weather variability through increase of their agricultural diversity. We manipulate in the simulation, factors of change in the livestock systems resulting in less diverse and more diverse livestock systems to be simulated. We assume, a priori, that certain combinations of the factored system components bring redundancy in the system and in turn increase its adaptive capacity and reduce its vulnerability against weather variability. Simulated factors of change are: F1: a change in the ratio of the area mechanically harvested (vs. grazed) to the whole farm area; F2: a change in the crops and grassland types grown or in the distribution of the area between crops and/or grassland types; F3: a change in calving periods from one season to another. The simulation plan includes a baseline scenario without changes and scenarios corresponding to all possible combinations of F1–F3. These scenarios are applied to four livestock systems located on a diagonal across France over a succession of four years with varying weather conditions. In these systems, self-sufficiency for forage is jeopardized by unfavorable years, and this may increase animal feeding costs. Thus we consider that adaptive capacity increases and vulnerability decreases as long as self-sufficiency for forage is achieved without increasing animal feeding costs. Results confirm the potential for increasing adaptive capacity and reducing vulnerability of livestock systems to weather variability through increase of their agricultural diversity. For instance, F2 has three main kinds of impacts on self-sufficiency for forage: (i) it yields significant average improvements by 34%, 43%, 36% and 36% across livestock systems for the four successive years, (ii) it buffers year-to-year variations and (iii) the final level of self-sufficiency is higher than the initial one even after two years with unfavorable weather conditions. Moreover, simulated changes do not increase animal feeding costs. Thus our results provide empirical evidence at the farm scale to supplement literature reviews based on field- and herd-scale results. They also confirm that through easily implementable on-farm changes, adaptive capacity can be increased and vulnerability of agricultural systems to weather variability decreased.","container-title":"Agriculture, Ecosystems &amp; Environment","DOI":"10.1016/j.agee.2014.10.006","ISSN":"0167-8809","journalAbbreviation":"Agriculture, Ecosystems &amp; Environment","language":"en","page":"301-311","source":"ScienceDirect","title":"Agricultural diversity to increase adaptive capacity and reduce vulnerability of livestock systems against weather variability – A farm-scale simulation study","volume":"199","author":[{"family":"Martin","given":"G."},{"family":"Magne","given":"M. A."}],"issued":{"date-parts":[["2015",1,1]]},"citation-key":"martin_magne_2015"}},{"id":670,"uris":["http://zotero.org/users/7734624/items/9L66ALUY"],"itemData":{"id":670,"type":"article-journal","abstract":"Farmers’ maintenance of agrobiodiversity is fundamental to global food security, particularly in a world increasingly affected by climate change. Biodiversity helps to buffer agroecosystems from stresses like climatic variability, and the crop genetic diversity conserved with biodiverse agroecosystems is critical for plant breeding both locally and globally. Yet, despite these benefits, few studies have directly assessed the implications of household–level agrobiodiversity maintenance on household food security. Drawing on survey data collected in Sri Lanka’s Hambantota District, we evaluated the plant diversity maintained by small–scale farming households in both homegardens and crop fields and determined the relationships between this diversity and their households’ food security. We also considered how a suite of additional demographic, household, community, and farm characteristics relate to both the plant diversity maintained by a household and their food security. Similar to previous studies, the age of the agricultural decision-maker and the age and size of households’ homegardens positively correlated with the overall species richness of farming systems. Older homegardens were also identified to be more evenly distributed in their species abundance, and market–oriented households had significantly higher species richness but lower Shannon Indices. Most notably, household socioeconomic status and material wealth were important to both agrobiodiversity maintenance and household food security, while no significant relationships between species richness and food security measures were detected. These findings suggest that effort aiming to increase the food security of small–scale farming households in Sri Lanka, and elsewhere, should target those farming households with a paucity of socioeconomic assets, as these households lack both agroecological and economic resources to overcome shocks, such as those associated with climate change.","container-title":"Economic Botany","DOI":"10.1007/s12231-018-9418-2","ISSN":"1874-9364","issue":"2","journalAbbreviation":"Econ Bot","language":"en","page":"196-206","source":"Springer Link","title":"Assessing the Impacts of Agrobiodiversity Maintenance on Food Security Among Farming Households in Sri Lanka’s Dry Zone","volume":"72","author":[{"family":"Williams","given":"Nicholas E."},{"family":"Carrico","given":"Amanda R."},{"family":"Edirisinghe","given":"Indika"},{"family":"Jayamini Champika","given":"P. A."}],"issued":{"date-parts":[["2018",6,1]]},"citation-key":"williams_etal_2018a"}},{"id":3322,"uris":["http://zotero.org/users/7734624/items/JC8P99DK"],"itemData":{"id":3322,"type":"article-journal","abstract":"Abstract\n            We explore the impact of climate change adaptation on the technical efficiency of Ethiopian farmers using panel data collected from 6820 farm plots. We employ Green's (2010) stochastic frontier approach and propensity score matching to address selection bias. Our results reveal that climate change adaptation improves the efficiency of maize, wheat and barley production. We also show that failure to account for selection bias underestimates the average efficiency level. Our findings imply that the expansion of climate change adaptation at larger scales will provide a double benefit by curbing climate‐related risks and increasing the efficiency of farmers. Moreover, increasing credit access and introducing mechanisms that allow farmers to get enough water during the main growing season will enhance the efficiency of subsistence farmers.","container-title":"Journal of Agricultural Economics","DOI":"10.1111/1477-9552.12479","ISSN":"0021-857X, 1477-9552","issue":"3","journalAbbreviation":"J Agricultural Economics","language":"en","page":"739-760","source":"DOI.org (Crossref)","title":"Climate change adaptation and productive efficiency of subsistence farming: A bias‐corrected panel data stochastic frontier approach","title-short":"Climate change adaptation and productive efficiency of subsistence farming","volume":"73","author":[{"family":"Asmare","given":"Fissha"},{"family":"Jaraitė","given":"Jūratė"},{"family":"Kažukauskas","given":"Andrius"}],"issued":{"date-parts":[["2022",9]]},"citation-key":"asmare_etal_2022"}},{"id":3261,"uris":["http://zotero.org/users/7734624/items/MIMRDVWW"],"itemData":{"id":3261,"type":"article-journal","abstract":"Groundwater irrigation is essential to sustain food production, and aquifer depletion represents a major sustainability challenge for humanity. There is a need for adequate modelling tools to assess the impacts of farming practices on groundwater resources with policy-makers and farmers in different contexts, especially in the case of smallholder farms in the tropics. We introduce the NIRAVARI model, which was designed to represent the Indian farming and water resource context. NIRAVARI is a parsimonious model integrating biophysical and decisional processes dealing with the farming system and the water table processes. A specific focus is given to how to irrigate with multiple water resources. Its formalisms include equations from well-tested published models for soil moisture and plant water stress simulations. The programming and graphic user interface is based on Excel VBA. We illustrate the ability of NIRAVARI to simulate a broad range of farmer adaptation strategies using four scenarios of cropping systems and water resources policies, and therefore, its interest for participatory scenario design and assessment with stakeholders.","container-title":"Water","DOI":"10.3390/w14203211","ISSN":"2073-4441","issue":"20","journalAbbreviation":"Water","language":"en","license":"https://creativecommons.org/licenses/by/4.0/","page":"3211","source":"DOI.org (Crossref)","title":"NIRAVARI: A Parsimonious Bio-Decisional Model for Assessing the Sustainability and Vulnerability of Rainfed or Groundwater-Irrigated Farming Systems in Indian Agriculture","title-short":"NIRAVARI","volume":"14","author":[{"family":"Bergez","given":"Jacques-Eric"},{"family":"Baccar","given":"Mariem"},{"family":"Sekhar","given":"Muddu"},{"family":"Ruiz","given":"Laurent"}],"issued":{"date-parts":[["2022",10,12]]},"citation-key":"bergez_etal_2022"}},{"id":3360,"uris":["http://zotero.org/users/7734624/items/62UBYFFE"],"itemData":{"id":3360,"type":"article-journal","container-title":"Agricultural Systems","DOI":"10.1016/j.agsy.2022.103519","ISSN":"0308521X","journalAbbreviation":"Agricultural Systems","language":"en","page":"103519","source":"DOI.org (Crossref)","title":"Improved legume pastures increase economic value, resilience and sustainability of crop-livestock systems","volume":"203","author":[{"family":"Monjardino","given":"Marta"},{"family":"Loi","given":"Angelo"},{"family":"Thomas","given":"Dean T."},{"family":"Revell","given":"Clinton K."},{"family":"Flohr","given":"Bonnie M."},{"family":"Llewellyn","given":"Rick S."},{"family":"Norman","given":"Hayley C."}],"issued":{"date-parts":[["2022",12]]},"citation-key":"monjardino_etal_2022"}},{"id":3344,"uris":["http://zotero.org/users/7734624/items/D6BC9V6M"],"itemData":{"id":3344,"type":"article-journal","abstract":"Indigenous knowledge can function as a basis of innovation in agriculture because it is not only culturally accepted, but often also environmentally adaptive. The debates and misunderstandings regarding the relations between Indigenous and scientific knowledge are transforming into a trend to integrate all knowledge to deal with complex issues, such as climate change. In this study we explore the understandings of the Tharu people of their farming system in relation to adaptation and mitigation of climate change, based on mixed methods design using both ethnographic analysis of their specific agriculture practices from participant observation and a survey of 229 households in the western Tarai of Nepal. Among our findings is the fit of the traditional agricultural calendar of the Tharu with the labor regimen of agricultural seasons. We found that conservation tillage-oriented agricultural practices, such as relay cropping, including zero-tillage, remain important in the farming system. Although this practice is decreasing, particularly due to the low yield as compared to the conventional tillage system, relay sowing and zero-tillage in the lowlands and uplands remain important for timely crop sowing. Similarly, mixed cropping is prevalent, particularly among small holders, for subsistence-based farming, in part due to higher yield than sole cropping. We conclude that Indigenous knowledge regarding climate and agriculture practices assists making informed decisions for climate-resilient and low emission agriculture. Although some traditional climate-resilient agriculture practices may yield lower profit than those derived from scientific knowledge/methods, the Tharu have therefore embraced “hybrid knowledge”—a combination of Indigenous and scientific knowledge, technology and practice—to balance increased yield and profit maximization with concurrent decreased vulnerability to extreme weather events. We argue that it is not useful to make firm distinctions among traditional, Indigenous and local knowledge in the age of hybridity. This hybridity is evident in the complementarity of the use of improved varieties and scientific agricultural practices for the major grains and the continuing use of landraces for minor crops such as lentils, peas and mustard. However, further research on the sustainable productivity of such practices is required before their widespread dissemination.","container-title":"Frontiers in Political Science","DOI":"10.3389/fpos.2022.969835","ISSN":"2673-3145","journalAbbreviation":"Front. Polit. Sci.","page":"969835","source":"DOI.org (Crossref)","title":"Hybrid knowledge and climate-resilient agriculture practices of the Tharu in the western Tarai, Nepal","volume":"4","author":[{"family":"Chaudhary","given":"Buddhi R."},{"family":"Erskine","given":"William"},{"family":"Acciaioli","given":"Greg"}],"issued":{"date-parts":[["2022",12,15]]},"citation-key":"chaudhary_etal_2022"}},{"id":3343,"uris":["http://zotero.org/users/7734624/items/JDJQPVNK"],"itemData":{"id":3343,"type":"article-journal","container-title":"Environmental Management","DOI":"10.1007/s00267-022-01604-z","ISSN":"0364-152X, 1432-1009","issue":"1","journalAbbreviation":"Environmental Management","language":"en","page":"74-86","source":"DOI.org (Crossref)","title":"Exploring farmers’ adaptation strategies to water shortage under climate change in the Tunisian semi-arid region","volume":"71","author":[{"family":"Soltani","given":"Lamia"},{"family":"Mellah","given":"Thuraya"}],"issued":{"date-parts":[["2023",1]]},"citation-key":"soltani_mellah_2023"}},{"id":3271,"uris":["http://zotero.org/users/7734624/items/HP84K3G3"],"itemData":{"id":3271,"type":"article-journal","container-title":"Field Crops Research","DOI":"10.1016/j.fcr.2023.109019","ISSN":"03784290","journalAbbreviation":"Field Crops Research","language":"en","page":"109019","source":"DOI.org (Crossref)","title":"Modelling the impacts of diverse cover crops on soil water and nitrogen and cash crop yields in a sub-tropical dryland","volume":"301","author":[{"family":"Garba","given":"Ismail I."},{"family":"Bell","given":"Lindsay W."},{"family":"Chapman","given":"Scott C."},{"family":"deVoil","given":"Peter"},{"family":"Kamara","given":"Alpha Y."},{"family":"Williams","given":"Alwyn"}],"issued":{"date-parts":[["2023",10]]},"citation-key":"garba_etal_2023a"}},{"id":3309,"uris":["http://zotero.org/users/7734624/items/TE7LJQNF"],"itemData":{"id":3309,"type":"article-journal","container-title":"Research in Globalization","DOI":"10.1016/j.resglo.2023.100138","ISSN":"2590051X","journalAbbreviation":"Research in Globalization","language":"en","page":"100138","source":"DOI.org (Crossref)","title":"Vulnerability of family farming systems to climate change: The case of the forest-savannah transition zone, Centre Region of Cameroon","title-short":"Vulnerability of family farming systems to climate change","volume":"7","author":[{"family":"Marie Chimi","given":"Pierre"},{"family":"Armand Mala","given":"William"},{"family":"Ngamsou Abdel","given":"Karimou"},{"family":"Louis Fobane","given":"Jean"},{"family":"Manga Essouma","given":"François"},{"family":"Hermann Matick","given":"John"},{"family":"Yldephonse Nyonce Pokam","given":"Eusebe"},{"family":"Tcheferi","given":"Imma"},{"family":"Martin Bell","given":"Joseph"}],"issued":{"date-parts":[["2023",12]]},"citation-key":"mariechimi_etal_2023"}},{"id":3299,"uris":["http://zotero.org/users/7734624/items/BM4M7YTL"],"itemData":{"id":3299,"type":"article-journal","abstract":"Context   Australia is renowned for its climate variation, featuring years with drought and years with floods, which result in significant production and profit variability. Accordingly, to maximise profitability, dryland farming systems need to be dynamically managed in response to unfolding weather conditions.     Aims   The aim of this study is to identify and quantify optimal tactical livestock management for different weather-years.     Methods   This study employed a whole-farm optimisation model to analyse a representative mixed enterprise farm located in the Great Southern region of Western Australia. Using this model, we investigated the economic significance of five key livestock management tactics. These included timing of sheep sales, pasture-area adjustments, rotational grazing, crop grazing and sheep nutrition adjustments.     Key results   The results showed that, on the modelled dryland mixed-enterprise farm in the Great Southern region of Western Australia, short-term adjustments to the overall farm strategy in response to unfolding weather conditions increased expected profit by approximately 16%. Each tactic boosted profit by between A$7704 and A$53,171. However, we outline several complexities that farmers must consider when implementing tactics.     Conclusions   The financial gains from short-term tactical management highlighted their importance and farmers’ need to develop and apply those skills. The tactical skills promote business resilience and adaptability in the face of climate uncertainties.     Implications   The study highlighted the economic value of dynamic livestock management in response to climate variations, offering farmers in the Great Southern region the means to underpin profitable and sustainable farm practices.","container-title":"Animal Production Science","DOI":"10.1071/AN23407","ISSN":"1836-0939, 1836-5787","issue":"7","journalAbbreviation":"Anim. Prod. Sci.","language":"en","source":"DOI.org (Crossref)","title":"Identifying high-value tactical livestock decisions on a mixed enterprise farm in a variable environment","URL":"https://www.publish.csiro.au/AN/AN23407","volume":"64","author":[{"family":"Young","given":"Michael"},{"family":"Young","given":"John"},{"family":"Kingwell","given":"Ross S."},{"family":"Vercoe","given":"Philip E."}],"editor":[{"family":"Thomas","given":"Dean"}],"accessed":{"date-parts":[["2024",8,16]]},"issued":{"date-parts":[["2024",5,3]]},"citation-key":"young_etal_2024"}}],"schema":"https://github.com/citation-style-language/schema/raw/master/csl-citation.json"} </w:instrText>
            </w:r>
            <w:r>
              <w:rPr>
                <w:rFonts w:ascii="Times New Roman" w:eastAsia="Times New Roman" w:hAnsi="Times New Roman" w:cs="Times New Roman"/>
                <w:color w:val="000000"/>
                <w:lang w:eastAsia="en-GB"/>
              </w:rPr>
              <w:fldChar w:fldCharType="separate"/>
            </w:r>
            <w:r w:rsidRPr="00C140DA">
              <w:rPr>
                <w:rFonts w:ascii="Times New Roman" w:hAnsi="Times New Roman" w:cs="Times New Roman"/>
              </w:rPr>
              <w:t>(Martin and Magne 2015; Williams et al. 2018; Asmare et al. 2022; Bergez et al. 2022; Monjardino et al. 2022; Chaudhary et al. 2022; Soltani and Mellah 2023; Garba et al. 2023; Marie Chimi et al. 2023; Young et al. 2024)</w:t>
            </w:r>
            <w:r>
              <w:rPr>
                <w:rFonts w:ascii="Times New Roman" w:eastAsia="Times New Roman" w:hAnsi="Times New Roman" w:cs="Times New Roman"/>
                <w:color w:val="000000"/>
                <w:lang w:eastAsia="en-GB"/>
              </w:rPr>
              <w:fldChar w:fldCharType="end"/>
            </w:r>
          </w:p>
        </w:tc>
      </w:tr>
      <w:tr w:rsidR="00C140DA" w:rsidRPr="00C140DA" w14:paraId="71917669" w14:textId="77777777" w:rsidTr="00C140DA">
        <w:trPr>
          <w:trHeight w:val="288"/>
        </w:trPr>
        <w:tc>
          <w:tcPr>
            <w:tcW w:w="0" w:type="auto"/>
            <w:tcBorders>
              <w:top w:val="nil"/>
              <w:left w:val="nil"/>
              <w:right w:val="nil"/>
            </w:tcBorders>
            <w:shd w:val="clear" w:color="000000" w:fill="FFFFFF"/>
          </w:tcPr>
          <w:p w14:paraId="278F9449" w14:textId="77777777" w:rsidR="00C140DA" w:rsidRPr="00C140DA" w:rsidRDefault="00C140DA" w:rsidP="00406364">
            <w:pPr>
              <w:spacing w:after="0" w:line="360" w:lineRule="auto"/>
              <w:rPr>
                <w:rFonts w:ascii="Times New Roman" w:eastAsia="Times New Roman" w:hAnsi="Times New Roman" w:cs="Times New Roman"/>
                <w:color w:val="000000"/>
                <w:lang w:eastAsia="en-GB"/>
              </w:rPr>
            </w:pPr>
          </w:p>
        </w:tc>
        <w:tc>
          <w:tcPr>
            <w:tcW w:w="1848" w:type="dxa"/>
            <w:tcBorders>
              <w:top w:val="nil"/>
              <w:left w:val="nil"/>
              <w:right w:val="nil"/>
            </w:tcBorders>
            <w:shd w:val="clear" w:color="000000" w:fill="FFFFFF"/>
            <w:noWrap/>
          </w:tcPr>
          <w:p w14:paraId="4A38727C" w14:textId="77777777" w:rsidR="00C140DA" w:rsidRPr="00C140DA" w:rsidRDefault="00C140DA" w:rsidP="00406364">
            <w:pPr>
              <w:spacing w:after="0" w:line="360" w:lineRule="auto"/>
              <w:rPr>
                <w:rFonts w:ascii="Times New Roman" w:eastAsia="Times New Roman" w:hAnsi="Times New Roman" w:cs="Times New Roman"/>
                <w:color w:val="000000"/>
                <w:lang w:eastAsia="en-GB"/>
              </w:rPr>
            </w:pPr>
          </w:p>
        </w:tc>
        <w:tc>
          <w:tcPr>
            <w:tcW w:w="5310" w:type="dxa"/>
            <w:tcBorders>
              <w:top w:val="nil"/>
              <w:left w:val="nil"/>
              <w:right w:val="nil"/>
            </w:tcBorders>
            <w:shd w:val="clear" w:color="000000" w:fill="FFFFFF"/>
            <w:noWrap/>
          </w:tcPr>
          <w:p w14:paraId="728CE133" w14:textId="4F9D0849" w:rsidR="00C140DA" w:rsidRPr="00C140DA" w:rsidRDefault="00C140DA" w:rsidP="00406364">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Number of plants and species</w:t>
            </w:r>
          </w:p>
        </w:tc>
        <w:tc>
          <w:tcPr>
            <w:tcW w:w="1350" w:type="dxa"/>
            <w:tcBorders>
              <w:top w:val="nil"/>
              <w:left w:val="nil"/>
              <w:right w:val="nil"/>
            </w:tcBorders>
            <w:shd w:val="clear" w:color="000000" w:fill="FFFFFF"/>
            <w:noWrap/>
          </w:tcPr>
          <w:p w14:paraId="21A85FC9" w14:textId="2ED92431" w:rsidR="00C140DA" w:rsidRPr="00C140DA" w:rsidRDefault="00C140DA" w:rsidP="00406364">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w:t>
            </w:r>
          </w:p>
        </w:tc>
        <w:tc>
          <w:tcPr>
            <w:tcW w:w="5274" w:type="dxa"/>
            <w:tcBorders>
              <w:left w:val="nil"/>
              <w:right w:val="nil"/>
            </w:tcBorders>
            <w:shd w:val="clear" w:color="000000" w:fill="FFFFFF"/>
          </w:tcPr>
          <w:p w14:paraId="536F580B" w14:textId="3C7F07FC" w:rsidR="00C140DA" w:rsidRPr="00C140DA" w:rsidRDefault="00C140DA" w:rsidP="00406364">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fldChar w:fldCharType="begin"/>
            </w:r>
            <w:r>
              <w:rPr>
                <w:rFonts w:ascii="Times New Roman" w:eastAsia="Times New Roman" w:hAnsi="Times New Roman" w:cs="Times New Roman"/>
                <w:color w:val="000000"/>
                <w:lang w:eastAsia="en-GB"/>
              </w:rPr>
              <w:instrText xml:space="preserve"> ADDIN ZOTERO_ITEM CSL_CITATION {"citationID":"3WbVUeFB","properties":{"formattedCitation":"(Millar et al. 2009; Jacobi et al. 2015; Duranton and Matthew 2018; Dobkowitz et al. 2020; Nyong et al. 2020; Melvani et al. 2020; Pinsard et al. 2023)","plainCitation":"(Millar et al. 2009; Jacobi et al. 2015; Duranton and Matthew 2018; Dobkowitz et al. 2020; Nyong et al. 2020; Melvani et al. 2020; Pinsard et al. 2023)","noteIndex":0},"citationItems":[{"id":658,"uris":["http://zotero.org/users/7734624/items/AXK3HLF8"],"itemData":{"id":658,"type":"article-journal","abstract":"The Grain &amp; Graze Whole-Farm Model was developed as a simple modelling tool to identify better strategies to improve the income of farmers and overcome grassland degradation. Using information on farm structure, crop and forage production systems, livestock production systems and variable costs involved in all enterprises, maximum whole-farm gross margins are obtained for an optimum or a prescribed mix of enterprises. The incorporation of production systems for different rainfall scenarios enables climatic risks and water use efficiencies of different enterprises to be investigated. Model simulations demonstrated the potential improvements that could be achieved in dollar water use efficiency ($WUE), by changes in management and/or changes in enterprise. The design of the model makes it a valuable tool for evaluating new systems, as it easy to develop new crop, pasture and livestock systems. Innovative farming systems such as pasture cropping and alley farming are included in the model. © 2009 CSIRO.","container-title":"Animal Production Science","DOI":"10.1071/AN09024","ISSN":"18360939","issue":"10","language":"English","page":"788-796","title":"An exploratory tool for analysis of forage and livestock production options","volume":"49","author":[{"family":"Millar","given":"G.D."},{"family":"Jones","given":"R.E."},{"family":"Michalk","given":"D.L."},{"family":"Brady","given":"S."}],"issued":{"date-parts":[["2009"]]},"citation-key":"millar_etal_2009"}},{"id":683,"uris":["http://zotero.org/users/7734624/items/8N5L7UIX"],"itemData":{"id":683,"type":"article-journal","abstract":"Cocoa production in Alto Beni, Bolivia, is a major source of income and is severely affected by climate change impacts and other stress factors. Resilient farming systems are, thus, important for local families. This study compares indicators for social–ecological resilience in 30 organic and 22 nonorganic cocoa farms of Alto Beni. Organic farms had a higher tree and crop diversity, higher yields and incomes, more social connectedness, and participated in more courses on cocoa cultivation. Resilience was enhanced by local farmers’ organizations, providing organic certification and supporting diversified agroforestry with seedlings and extension, going beyond basic organic certification requirements. Copyright © Taylor &amp; Francis Group, LLC.","container-title":"Agroecology and Sustainable Food Systems","DOI":"10.1080/21683565.2015.1039158","ISSN":"21683565","issue":"7","language":"English","note":"publisher: Bellwether Publishing, Ltd.","page":"798-823","title":"Farm Resilience in Organic and Nonorganic Cocoa Farming Systems in Alto Beni, Bolivia","volume":"39","author":[{"family":"Jacobi","given":"J."},{"family":"Schneider","given":"M."},{"family":"Pillco Mariscal","given":"M."},{"family":"Huber","given":"S."},{"family":"Weidmann","given":"S."},{"family":"Bottazzi","given":"P."},{"family":"Rist","given":"S."}],"issued":{"date-parts":[["2015"]]},"citation-key":"jacobi_etal_2015"}},{"id":704,"uris":["http://zotero.org/users/7734624/items/B674A6YD"],"itemData":{"id":704,"type":"article-journal","abstract":"New Zealand is well known for export of meat and dairy products from low cost pastoral systems. These farm systems are continually evolving for increased efficiency, in part through the use of metabolic energy modeling tools by farmers and farm consultants to explore alternative farm system configurations and identify new efficiencies. One recent innovation is the introduction of a herb pasture area, such as plantain. We used metabolic energy modeling to quantify seasonal feed flows in two successive years in a New Zealand hill country farm system, and to analyze the impact of the introduction of an area of plantain. Models employed were a self-built Microsoft Excel spreadsheet and a commercial New Zealand farm systems modeling package, FARMAX. Herbage production, animal performance and financial results for a base farm scenario created from the average of survey data for hill farms in the southern North Island, and the same farm with 10% and 20% of the area in plantain for the years 2010-2011 and 2011-2012 were modeled. The self-built model performed similarly to the commercial model. The system configuration of the base farm stock-piles surplus autumn feed for release to animals in winter and also incorporates flexibility that confers resilience to interannual weather variation through varying dates animals are purchased or sold. The introduction of an area of plantain was predicted to increase herbage production, animal performance and financial returns. The predicted benefit was higher for the year 2010-2011 where a drought occurred in summer than for the following year with higher summer rainfall. This demonstrates the profitability of introducing a plantain area to New Zealand hill farm systems, and suggests plantain will assist to mitigate adverse effects of warmer and drier summer conditions associated with current climate change trends.","container-title":"FRONTIERS OF AGRICULTURAL SCIENCE AND ENGINEERING","DOI":"10.15302/J-FASE-2018202","ISSN":"2095-7505","issue":"1","language":"English","note":"publisher-place: NO 4 DEWAI DAJIE, BEIJING 100120, PEOPLES R CHINA\npublisher: HIGHER EDUCATION PRESS\ntype: Article","page":"87-97","title":"Impact of introducing a herb pasture area into a New Zealand sheep and beef hill country farm system: a modeling analysis","volume":"5","author":[{"family":"Duranton","given":"Cecile"},{"family":"Matthew","given":"Cory"}],"issued":{"date-parts":[["2018",3]]},"citation-key":"duranton_matthew_2018"}},{"id":700,"uris":["http://zotero.org/users/7734624/items/PY55PIZ2"],"itemData":{"id":700,"type":"article-journal","abstract":"Climate change heavily impacts smallholder farming worldwide. Cross-scale vulnerability assessment has a high potential to identify nested measures for reducing vulnerability of smallholder farmers. Despite their high practical value, there are currently only limited examples of cross-scale assessments. The presented study aims at assessing the vulnerability of smallholder farmers in the Northeast of Brazil across three scales: regional, farm and field scale. In doing so, it builds on existing vulnerability indices and compares results between indices at the same scale and across scales. In total, six independent indices are tested, two at each scale. The calculated indices include social, economic and ecological indicators, based on municipal statistics, meteorological data, farm interviews and soil analyses. Subsequently, indices and overlapping indicators are normalized for intra-and cross-scale comparison. The results show considerable differences between indices across and within scales. They indicate different activities to reduce vulnerability of smallholder farmers. Major shortcomings arise from the conceptual differences between the indices. We therefore recommend the development of hierarchical indices, which are adapted to local conditions and contain more overlapping indicators for a better understanding of the nested vulnerabilities of smallholder farmers. © 2020 by the authors.","container-title":"Sustainability (Switzerland)","DOI":"10.3390/su12093787","ISSN":"20711050","issue":"9","language":"English","note":"publisher: MDPI","title":"Cross-scale vulnerability assessment for smallholder farming: A case study from the northeast of Brazil","URL":"https://www.scopus.com/inward/record.uri?eid=2-s2.0-85085964908&amp;doi=10.3390%2fsu12093787&amp;partnerID=40&amp;md5=1b75293eec4b8771c893cebceaa1b88e","volume":"12","author":[{"family":"Dobkowitz","given":"S."},{"family":"Walz","given":"A."},{"family":"Baroni","given":"G."},{"family":"Pérez-Marin","given":"A.M."}],"issued":{"date-parts":[["2020"]]},"citation-key":"dobkowitz_etal_2020"}},{"id":942,"uris":["http://zotero.org/users/7734624/items/U4IYJ7M6"],"itemData":{"id":942,"type":"article-journal","abstract":"The impacts of climate variability and change are being felt by various sectors of economic life, especially the agricultural sector. It is for this reason that this study sought to investigate how agro-ecological and climate-smart systems like agroforestry could contribute towards enhancing the resilience of the agricultural sector in general and smallholder farmers in particular, faced with the climate change menace in Cameroon. Household and field surveys were the main primary data collection methods. Findings showed that variability and changes in climate parameters were real, and a plethora of agroforestry practices categorized into agrosilvicultural, silvopastoral and agrosilvopastoral systems were practiced by smallholder farmers. Agroforestry products and services like food, fuelwood, building materials, and erosion control were identified by smallholder farmers as contributing towards the strengthening of their resilience to climate change impacts. The major groups of agroforestry tree/shrub species integrated on smallholder farm plots were fruit trees, fuelwood trees/shrubs and trees/shrubs used as building materials. Results from Chi square statistic, Kruskal–Wallis test, and logistic regression analysis (p &lt; 0.05) revealed that agroforestry practices especially home gardens with animals, home gardens, trees on grazing lands, and coffee-based agroforestry played a significant positive role in enhancing smallholder farmers’ resilience to the impacts of climate variability and change. The study therefore recommends that agroforestry be prioritized in national and international policy formulations owing to its ability to enhance smallholder farmers’ resilience faced with a fast changing climate. © 2019, Springer Nature B.V.","container-title":"Agroforestry Systems","DOI":"10.1007/s10457-019-00435-y","ISSN":"01674366","issue":"3","language":"English","note":"publisher: Springer","page":"687-705","title":"Enhancement of resilience to climate variability and change through agroforestry practices in smallholder farming systems in Cameroon","volume":"94","author":[{"family":"Nyong","given":"A.P."},{"family":"Ngankam","given":"T.M."},{"family":"Felicite","given":"T.L."}],"issued":{"date-parts":[["2020"]]},"citation-key":"nyong_etal_2020"}},{"id":947,"uris":["http://zotero.org/users/7734624/items/WGNDF85Y"],"itemData":{"id":947,"type":"article-journal","abstract":"Globally farmers are challenged by increasing climate variability and frequency of extreme events. However, traditional farming enterprises demonstrate resilience. To understand the underlying reasons, traditional farming enterprises in Sri Lanka were explored. Eighty-five farming enterprises were sampled across nine locations of the Intermediate agroecological zone using mixed methods. Farming enterprises incorporate On- and Off-farm livelihood components (graphical abstract). On-farm refers to landholdings with land uses including tree-dominant forest gardens (FGs), paddy, cash crops, swidden plots (chenas), plantations and livestock. Off-farm includes employment, trading and grants. We investigated how farming enterprises remained resilient, and which land use had the greatest adaptive capacity and best fulfilled household needs? Farming enterprises were assessed with respect to water availability, farmers' perspectives of climate variability, their socioeconomic characteristics, and land uses in landholdings. Land uses were characterised and compared by floristic diversity, crop: utility benefits, food functions, and those consumed and sold. Results revealed that most respondents were women, had primary school education and engaged full-time in farming. Cultivation was mainly rainfed. Farmers' perceptions of climate variability were supported by meteorological data showing that interannual and seasonal rainfall variability prevailed in the reference and preceding years. Farmers withstood these challenges owing to FGs, which were the oldest and dominant of all land uses, with larger area, highest plant and crop species richness, and crop diversity. Greater numbers of primary and secondary FG crops and products provided multiple household benefits. High floristic diversity, tree-dominance and multifunctionality gave FGs strong adaptive capacity. Nevertheless, farmers adopted multiple land uses with diverse landscape designs and Off-farm livelihood strategies simultaneously because this combination offered greater opportunities, buffered risk and increased resilience in farming enterprises. A clear implication of this study is that policymakers should engage with farmers when planning for a resilient agriculture in a variable climate scenario.","container-title":"Science of The Total Environment","DOI":"10.1016/j.scitotenv.2020.139120","ISSN":"0048-9697","journalAbbreviation":"Science of The Total Environment","language":"en","page":"139120","source":"ScienceDirect","title":"Multiple livelihood strategies and high floristic diversity increase the adaptive capacity and resilience of Sri Lankan farming enterprises","volume":"739","author":[{"family":"Melvani","given":"Kamal"},{"family":"Bristow","given":"Mila"},{"family":"Moles","given":"Jerry"},{"family":"Crase","given":"Beth"},{"family":"Kaestli","given":"Mirjam"}],"issued":{"date-parts":[["2020",10,15]]},"citation-key":"melvani_etal_2020"}},{"id":3256,"uris":["http://zotero.org/users/7734624/items/R2G3F2GY"],"itemData":{"id":3256,"type":"article-journal","container-title":"Agronomy for Sustainable Development","DOI":"10.1007/s13593-023-00883-y","ISSN":"1774-0746, 1773-0155","issue":"2","journalAbbreviation":"Agron. Sustain. Dev.","language":"en","page":"33","source":"DOI.org (Crossref)","title":"Strategies for future robust meat production and climate change mitigation under imported input constraints in Alentejo, Portugal","volume":"43","author":[{"family":"Pinsard","given":"Corentin"},{"family":"Morais","given":"Tiago G."},{"family":"Domingos","given":"Tiago"},{"family":"Accatino","given":"Francesco"},{"family":"Teixeira","given":"Ricardo F. M."}],"issued":{"date-parts":[["2023",4]]},"citation-key":"pinsard_etal_2023"}}],"schema":"https://github.com/citation-style-language/schema/raw/master/csl-citation.json"} </w:instrText>
            </w:r>
            <w:r>
              <w:rPr>
                <w:rFonts w:ascii="Times New Roman" w:eastAsia="Times New Roman" w:hAnsi="Times New Roman" w:cs="Times New Roman"/>
                <w:color w:val="000000"/>
                <w:lang w:eastAsia="en-GB"/>
              </w:rPr>
              <w:fldChar w:fldCharType="separate"/>
            </w:r>
            <w:r w:rsidRPr="00C140DA">
              <w:rPr>
                <w:rFonts w:ascii="Times New Roman" w:hAnsi="Times New Roman" w:cs="Times New Roman"/>
              </w:rPr>
              <w:t>(Millar et al. 2009; Jacobi et al. 2015; Duranton and Matthew 2018; Dobkowitz et al. 2020; Nyong et al. 2020; Melvani et al. 2020; Pinsard et al. 2023)</w:t>
            </w:r>
            <w:r>
              <w:rPr>
                <w:rFonts w:ascii="Times New Roman" w:eastAsia="Times New Roman" w:hAnsi="Times New Roman" w:cs="Times New Roman"/>
                <w:color w:val="000000"/>
                <w:lang w:eastAsia="en-GB"/>
              </w:rPr>
              <w:fldChar w:fldCharType="end"/>
            </w:r>
          </w:p>
        </w:tc>
      </w:tr>
      <w:tr w:rsidR="000C0948" w:rsidRPr="00AF6801" w14:paraId="30195F52" w14:textId="5745DEDA" w:rsidTr="00C140DA">
        <w:trPr>
          <w:trHeight w:val="288"/>
        </w:trPr>
        <w:tc>
          <w:tcPr>
            <w:tcW w:w="0" w:type="auto"/>
            <w:tcBorders>
              <w:left w:val="nil"/>
              <w:bottom w:val="single" w:sz="4" w:space="0" w:color="auto"/>
              <w:right w:val="nil"/>
            </w:tcBorders>
            <w:shd w:val="clear" w:color="000000" w:fill="FFFFFF"/>
          </w:tcPr>
          <w:p w14:paraId="2AE6A408" w14:textId="77777777" w:rsidR="000C0948" w:rsidRPr="00C140DA" w:rsidRDefault="000C0948" w:rsidP="00406364">
            <w:pPr>
              <w:spacing w:after="0" w:line="360" w:lineRule="auto"/>
              <w:rPr>
                <w:rFonts w:ascii="Times New Roman" w:eastAsia="Times New Roman" w:hAnsi="Times New Roman" w:cs="Times New Roman"/>
                <w:color w:val="000000"/>
                <w:lang w:eastAsia="en-GB"/>
              </w:rPr>
            </w:pPr>
          </w:p>
        </w:tc>
        <w:tc>
          <w:tcPr>
            <w:tcW w:w="1848" w:type="dxa"/>
            <w:tcBorders>
              <w:left w:val="nil"/>
              <w:bottom w:val="single" w:sz="4" w:space="0" w:color="auto"/>
              <w:right w:val="nil"/>
            </w:tcBorders>
            <w:shd w:val="clear" w:color="000000" w:fill="FFFFFF"/>
            <w:noWrap/>
            <w:hideMark/>
          </w:tcPr>
          <w:p w14:paraId="4EB131EF" w14:textId="3259678F" w:rsidR="000C0948" w:rsidRPr="00C140DA" w:rsidRDefault="000C0948" w:rsidP="00406364">
            <w:pPr>
              <w:spacing w:after="0" w:line="360" w:lineRule="auto"/>
              <w:rPr>
                <w:rFonts w:ascii="Times New Roman" w:eastAsia="Times New Roman" w:hAnsi="Times New Roman" w:cs="Times New Roman"/>
                <w:color w:val="000000"/>
                <w:lang w:eastAsia="en-GB"/>
              </w:rPr>
            </w:pPr>
            <w:r w:rsidRPr="00C140DA">
              <w:rPr>
                <w:rFonts w:ascii="Times New Roman" w:eastAsia="Times New Roman" w:hAnsi="Times New Roman" w:cs="Times New Roman"/>
                <w:color w:val="000000"/>
                <w:lang w:eastAsia="en-GB"/>
              </w:rPr>
              <w:t> </w:t>
            </w:r>
          </w:p>
        </w:tc>
        <w:tc>
          <w:tcPr>
            <w:tcW w:w="5310" w:type="dxa"/>
            <w:tcBorders>
              <w:left w:val="nil"/>
              <w:bottom w:val="single" w:sz="4" w:space="0" w:color="auto"/>
              <w:right w:val="nil"/>
            </w:tcBorders>
            <w:shd w:val="clear" w:color="000000" w:fill="FFFFFF"/>
            <w:noWrap/>
            <w:hideMark/>
          </w:tcPr>
          <w:p w14:paraId="7ED58153" w14:textId="0DBEFEC0" w:rsidR="000C0948" w:rsidRPr="00C140DA" w:rsidRDefault="000C0948" w:rsidP="00406364">
            <w:pPr>
              <w:spacing w:after="0" w:line="360" w:lineRule="auto"/>
              <w:rPr>
                <w:rFonts w:ascii="Times New Roman" w:eastAsia="Times New Roman" w:hAnsi="Times New Roman" w:cs="Times New Roman"/>
                <w:color w:val="000000"/>
                <w:lang w:eastAsia="en-GB"/>
              </w:rPr>
            </w:pPr>
            <w:r w:rsidRPr="00C140DA">
              <w:rPr>
                <w:rFonts w:ascii="Times New Roman" w:eastAsia="Times New Roman" w:hAnsi="Times New Roman" w:cs="Times New Roman"/>
                <w:color w:val="000000"/>
                <w:lang w:eastAsia="en-GB"/>
              </w:rPr>
              <w:t xml:space="preserve">Number of livestock species </w:t>
            </w:r>
            <w:r w:rsidR="00CF77E9">
              <w:rPr>
                <w:rFonts w:ascii="Times New Roman" w:eastAsia="Times New Roman" w:hAnsi="Times New Roman" w:cs="Times New Roman"/>
                <w:color w:val="000000"/>
                <w:lang w:eastAsia="en-GB"/>
              </w:rPr>
              <w:t>and races</w:t>
            </w:r>
          </w:p>
        </w:tc>
        <w:tc>
          <w:tcPr>
            <w:tcW w:w="1350" w:type="dxa"/>
            <w:tcBorders>
              <w:left w:val="nil"/>
              <w:bottom w:val="single" w:sz="4" w:space="0" w:color="auto"/>
              <w:right w:val="nil"/>
            </w:tcBorders>
            <w:shd w:val="clear" w:color="000000" w:fill="FFFFFF"/>
            <w:noWrap/>
            <w:hideMark/>
          </w:tcPr>
          <w:p w14:paraId="5FCF55BF" w14:textId="72A87EC5" w:rsidR="000C0948" w:rsidRPr="00C140DA" w:rsidRDefault="00AD1754" w:rsidP="00406364">
            <w:pPr>
              <w:spacing w:after="0" w:line="360" w:lineRule="auto"/>
              <w:rPr>
                <w:rFonts w:ascii="Times New Roman" w:eastAsia="Times New Roman" w:hAnsi="Times New Roman" w:cs="Times New Roman"/>
                <w:color w:val="000000"/>
                <w:lang w:eastAsia="en-GB"/>
              </w:rPr>
            </w:pPr>
            <w:r w:rsidRPr="00C140DA">
              <w:rPr>
                <w:rFonts w:ascii="Times New Roman" w:eastAsia="Times New Roman" w:hAnsi="Times New Roman" w:cs="Times New Roman"/>
                <w:color w:val="000000"/>
                <w:lang w:eastAsia="en-GB"/>
              </w:rPr>
              <w:t>4</w:t>
            </w:r>
          </w:p>
        </w:tc>
        <w:tc>
          <w:tcPr>
            <w:tcW w:w="5274" w:type="dxa"/>
            <w:tcBorders>
              <w:left w:val="nil"/>
              <w:bottom w:val="single" w:sz="4" w:space="0" w:color="auto"/>
              <w:right w:val="nil"/>
            </w:tcBorders>
            <w:shd w:val="clear" w:color="000000" w:fill="FFFFFF"/>
          </w:tcPr>
          <w:p w14:paraId="2E834316" w14:textId="5C44A552" w:rsidR="000C0948" w:rsidRPr="00AF6801" w:rsidRDefault="00A421BA" w:rsidP="00406364">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807AB0" w:rsidRPr="00C140DA">
              <w:rPr>
                <w:rFonts w:ascii="Times New Roman" w:eastAsia="Times New Roman" w:hAnsi="Times New Roman" w:cs="Times New Roman"/>
                <w:color w:val="000000"/>
                <w:lang w:eastAsia="en-GB"/>
              </w:rPr>
              <w:instrText xml:space="preserve"> ADDIN ZOTERO_ITEM CSL_CITATION {"citationID":"uR26ZhLd","properties":{"formattedCitation":"(Toni and Holanda Jr. 2008; Millar et al. 2009; Dobkowitz et al. 2020; Casta\\uc0\\u241{}o-S\\uc0\\u225{}nchez et al. 2023)","plainCitation":"(Toni and Holanda Jr. 2008; Millar et al. 2009; Dobkowitz et al. 2020; Castaño-Sánchez et al. 2023)","noteIndex":0},"citationItems":[{"id":657,"uris":["http://zotero.org/users/7734624/items/URT4PXVT"],"itemData":{"id":657,"type":"article-journal","abstract":"This article presents evidence on two distinct farming systems-one that utilizes common property pasturelands and another based on private pasturelands-in the Brazilian semi-arid zone. The research is based on a survey carried out in the state of Bahia in 2002. A bivariate analysis was carried out to compare agricultural outputs and income generated in each system. Data suggest that there are no significant differences between the two groups concerning income generation. However, farmers using common pasturelands have more diversified systems and invest more on small-animal husbandry, which are adapted to the dry environment. As a consequence, families that use common pasturelands have a higher consumption of animal protein. These families are thus not necessarily more vulnerable to droug</w:instrText>
            </w:r>
            <w:r w:rsidR="00807AB0" w:rsidRPr="00CF77E9">
              <w:rPr>
                <w:rFonts w:ascii="Times New Roman" w:eastAsia="Times New Roman" w:hAnsi="Times New Roman" w:cs="Times New Roman"/>
                <w:color w:val="000000"/>
                <w:lang w:eastAsia="en-GB"/>
              </w:rPr>
              <w:instrText>h</w:instrText>
            </w:r>
            <w:r w:rsidR="00807AB0" w:rsidRPr="00AF6801">
              <w:rPr>
                <w:rFonts w:ascii="Times New Roman" w:eastAsia="Times New Roman" w:hAnsi="Times New Roman" w:cs="Times New Roman"/>
                <w:color w:val="000000"/>
                <w:lang w:eastAsia="en-GB"/>
              </w:rPr>
              <w:instrText>ts than t</w:instrText>
            </w:r>
            <w:r w:rsidR="00807AB0">
              <w:rPr>
                <w:rFonts w:ascii="Times New Roman" w:eastAsia="Times New Roman" w:hAnsi="Times New Roman" w:cs="Times New Roman"/>
                <w:color w:val="000000"/>
                <w:lang w:val="fr-FR" w:eastAsia="en-GB"/>
              </w:rPr>
              <w:instrText>hose with private pasturelands. Formulating effective institutions to control access to the commons is a strategy pursued by some communities, yet, their ecological sustainability is still unknown. © 2008 Elsevier Ltd. All rights reserved.","container-title":"Global Environmental Change","DOI":"10.1016/j.gloenvcha.2008.08.004","ISSN":"09593780","issue":"4","language":"English","page":"575-582","title":"The effects of land tenure on vulnerability to droughts in Northeastern Brazil","volume":"18","author":[{"family":"Toni","given":"F."},{"family":"Holanda Jr.","given":"E."}],"issued":{"date-parts":[["2008"]]},"citation-key":"toni_holandajr._2008"}},{"id":658,"uris":["http://zotero.org/users/7734624/items/AXK3HLF8"],"itemData":{"id":658,"type":"article-journal","abstract":"The Grain &amp; Graze Whole-Farm Model was developed as a simple modelling tool to identify better strategies to improve the income of farmers and overcome grassland degradation. Using information on farm structure, crop and forage production systems, livestock production systems and variable costs involved in all enterprises, maximum whole-farm gross margins are obtained for an optimum or a prescribed mix of enterprises. The incorporation of production systems for different rainfall scenarios enables climatic risks and water use efficiencies of different enterprises to be investigated. Model simulations demonstrated the potential improvements that could be achieved in dollar water use efficiency ($WUE), by changes in management and/or changes in enterprise. The design of the model makes it a valuable tool for evaluating new systems, as it easy to develop new crop, pasture and livestock systems. Innovative farming systems such as pasture cropping and alley farming are included in the model. © 2009 CSIRO.","container-title":"Animal Production Science","DOI":"10.1071/AN09024","ISSN":"18360939","issue":"10","language":"English","page":"788-796","title":"An exploratory tool for analysis of forage and livestock production options","volume":"49","author":[{"family":"Millar","given":"G.D."},{"family":"Jones","given":"R.E."},{"family":"Michalk","given":"D.L."},{"family":"Brady","given":"S."}],"issued":{"date-parts":[["2009"]]},"citation-key":"millar_etal_2009"}},{"id":700,"uris":["http://zotero.org/users/7734624/items/PY55PIZ2"],"itemData":{"id":700,"type":"article-journal","abstract":"Climate change heavily impacts smallholder farming worldwide. Cross-scale vulnerability assessment has a high potential to identify nested measures for reducing vulnerability of smallholder farmers. Despite their high practical value, there are currently only limited examples of cross-scale assessments. The presented study aims at assessing the vulnerability of smallholder farmers in the Northeast of Brazil across three scales: regional, farm and field scale. In doing so, it builds on existing vulnerability indices and compares results between indices at the same scale and across scales. In total, six independent indices are tested, two at each scale. The calculated indices include social, economic and ecological indicators, based on municipal statistics, meteorological data, farm interviews and soil analyses. Subsequently, indices and overlapping indicators are normalized for intra-and cross-scale comparison. The results show considerable differences between indices across and within scales. They indicate different activities to reduce vulnerability of smallholder farmers. Major shortcomings arise from the conceptual differences between the indices. We therefore recommend the development of hierarchical indices, which are adapted to local conditions and contain more overlapping indicators for a better understanding of the nested vulnerabilities of smallholder farmers. © 2020 by the authors.","container-title":"Sustainability (Switzerland)","DOI":"10.3390/su12093787","ISSN":"20711050","iss</w:instrText>
            </w:r>
            <w:r w:rsidR="00807AB0" w:rsidRPr="00AF6801">
              <w:rPr>
                <w:rFonts w:ascii="Times New Roman" w:eastAsia="Times New Roman" w:hAnsi="Times New Roman" w:cs="Times New Roman"/>
                <w:color w:val="000000"/>
                <w:lang w:val="fr-FR" w:eastAsia="en-GB"/>
              </w:rPr>
              <w:instrText xml:space="preserve">ue":"9","language":"English","note":"publisher: MDPI","title":"Cross-scale vulnerability assessment for smallholder farming: A case study from the northeast of Brazil","URL":"https://www.scopus.com/inward/record.uri?eid=2-s2.0-85085964908&amp;doi=10.3390%2fsu12093787&amp;partnerID=40&amp;md5=1b75293eec4b8771c893cebceaa1b88e","volume":"12","author":[{"family":"Dobkowitz","given":"S."},{"family":"Walz","given":"A."},{"family":"Baroni","given":"G."},{"family":"Pérez-Marin","given":"A.M."}],"issued":{"date-parts":[["2020"]]},"citation-key":"dobkowitz_etal_2020"}},{"id":3255,"uris":["http://zotero.org/users/7734624/items/VTQ9R4FM"],"itemData":{"id":3255,"type":"article-journal","container-title":"Agricultural Systems","DOI":"10.1016/j.agsy.2023.103694","ISSN":"0308521X","journalAbbreviation":"Agricultural Systems","language":"en","page":"103694","source":"DOI.org (Crossref)","title":"Grass finishing of Criollo cattle can provide an environmentally preferred and cost effective meat supply chain from United States drylands","volume":"210","author":[{"family":"Castaño-Sánchez","given":"José P."},{"family":"Rotz","given":"C. Alan"},{"family":"McIntosh","given":"Matthew M."},{"family":"Tolle","given":"Cindy"},{"family":"Gifford","given":"Craig A."},{"family":"Duff","given":"Glenn C."},{"family":"Spiegal","given":"Sheri A."}],"issued":{"date-parts":[["2023",8]]},"citation-key":"castano-sanchez_etal_2023"}}],"schema":"https://github.com/citation-style-language/schema/raw/master/csl-citation.json"}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807AB0" w:rsidRPr="00AF6801">
              <w:rPr>
                <w:rFonts w:ascii="Times New Roman" w:hAnsi="Times New Roman" w:cs="Times New Roman"/>
                <w:szCs w:val="24"/>
                <w:lang w:val="fr-FR"/>
              </w:rPr>
              <w:t>(Toni and Holanda Jr. 2008; Millar et al. 2009; Dobkowitz et al. 2020; Castaño-Sánchez et al. 2023)</w:t>
            </w:r>
            <w:r w:rsidRPr="00FF4B56">
              <w:rPr>
                <w:rFonts w:ascii="Times New Roman" w:eastAsia="Times New Roman" w:hAnsi="Times New Roman" w:cs="Times New Roman"/>
                <w:color w:val="000000"/>
                <w:lang w:eastAsia="en-GB"/>
              </w:rPr>
              <w:fldChar w:fldCharType="end"/>
            </w:r>
          </w:p>
        </w:tc>
      </w:tr>
      <w:tr w:rsidR="00C857C6" w:rsidRPr="00FF4B56" w14:paraId="2F4D8324" w14:textId="3F77AC04" w:rsidTr="00406364">
        <w:trPr>
          <w:trHeight w:val="288"/>
        </w:trPr>
        <w:tc>
          <w:tcPr>
            <w:tcW w:w="0" w:type="auto"/>
            <w:tcBorders>
              <w:top w:val="nil"/>
              <w:left w:val="nil"/>
              <w:bottom w:val="nil"/>
              <w:right w:val="nil"/>
            </w:tcBorders>
            <w:shd w:val="clear" w:color="000000" w:fill="FFFFFF"/>
          </w:tcPr>
          <w:p w14:paraId="019CDE0B" w14:textId="77777777" w:rsidR="00C857C6" w:rsidRPr="00AF6801" w:rsidRDefault="00C857C6" w:rsidP="00406364">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hideMark/>
          </w:tcPr>
          <w:p w14:paraId="586AABF2" w14:textId="7191CE1B" w:rsidR="00C857C6" w:rsidRPr="00FF4B56" w:rsidRDefault="00C857C6" w:rsidP="00406364">
            <w:pPr>
              <w:spacing w:after="0" w:line="360" w:lineRule="auto"/>
              <w:rPr>
                <w:rFonts w:ascii="Times New Roman" w:eastAsia="Times New Roman" w:hAnsi="Times New Roman" w:cs="Times New Roman"/>
                <w:color w:val="000000"/>
                <w:lang w:eastAsia="en-GB"/>
              </w:rPr>
            </w:pPr>
            <w:r w:rsidRPr="00AF6801">
              <w:rPr>
                <w:rFonts w:ascii="Times New Roman" w:eastAsia="Times New Roman" w:hAnsi="Times New Roman" w:cs="Times New Roman"/>
                <w:color w:val="000000"/>
                <w:lang w:val="fr-FR" w:eastAsia="en-GB"/>
              </w:rPr>
              <w:t>M</w:t>
            </w:r>
            <w:r w:rsidRPr="00FF4B56">
              <w:rPr>
                <w:rFonts w:ascii="Times New Roman" w:eastAsia="Times New Roman" w:hAnsi="Times New Roman" w:cs="Times New Roman"/>
                <w:color w:val="000000"/>
                <w:lang w:eastAsia="en-GB"/>
              </w:rPr>
              <w:t>odularity</w:t>
            </w:r>
          </w:p>
        </w:tc>
        <w:tc>
          <w:tcPr>
            <w:tcW w:w="5310" w:type="dxa"/>
            <w:tcBorders>
              <w:top w:val="nil"/>
              <w:left w:val="nil"/>
              <w:bottom w:val="nil"/>
              <w:right w:val="nil"/>
            </w:tcBorders>
            <w:shd w:val="clear" w:color="000000" w:fill="FFFFFF"/>
            <w:noWrap/>
            <w:hideMark/>
          </w:tcPr>
          <w:p w14:paraId="0F5356FB" w14:textId="5F195A79" w:rsidR="00C857C6" w:rsidRPr="00FF4B56" w:rsidRDefault="00AD1754" w:rsidP="00406364">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Volume of off-farm activity</w:t>
            </w:r>
          </w:p>
        </w:tc>
        <w:tc>
          <w:tcPr>
            <w:tcW w:w="1350" w:type="dxa"/>
            <w:tcBorders>
              <w:top w:val="nil"/>
              <w:left w:val="nil"/>
              <w:bottom w:val="nil"/>
              <w:right w:val="nil"/>
            </w:tcBorders>
            <w:shd w:val="clear" w:color="000000" w:fill="FFFFFF"/>
            <w:noWrap/>
            <w:hideMark/>
          </w:tcPr>
          <w:p w14:paraId="0B3C9C86" w14:textId="15766823" w:rsidR="00C857C6" w:rsidRPr="00FF4B56" w:rsidRDefault="00AD1754" w:rsidP="00406364">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16</w:t>
            </w:r>
          </w:p>
        </w:tc>
        <w:tc>
          <w:tcPr>
            <w:tcW w:w="5274" w:type="dxa"/>
            <w:tcBorders>
              <w:top w:val="nil"/>
              <w:left w:val="nil"/>
              <w:right w:val="nil"/>
            </w:tcBorders>
            <w:shd w:val="clear" w:color="000000" w:fill="FFFFFF"/>
          </w:tcPr>
          <w:p w14:paraId="6D0EDD3B" w14:textId="19DF9325" w:rsidR="00C857C6" w:rsidRPr="00FF4B56" w:rsidRDefault="00C857C6" w:rsidP="00406364">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fldChar w:fldCharType="begin"/>
            </w:r>
            <w:r w:rsidR="00E75E02">
              <w:rPr>
                <w:rFonts w:ascii="Times New Roman" w:eastAsia="Times New Roman" w:hAnsi="Times New Roman" w:cs="Times New Roman"/>
                <w:color w:val="000000"/>
                <w:lang w:eastAsia="en-GB"/>
              </w:rPr>
              <w:instrText xml:space="preserve"> ADDIN ZOTERO_ITEM CSL_CITATION {"citationID":"NxX13bdc","properties":{"formattedCitation":"(Komarek et al. 2012; Rodriguez et al. 2014; Mutabazi et al. 2015; Ghahramani and Moore 2016; Tibesigwa et al. 2017; Lopez-Ridaura et al. 2018; Souissi et al. 2018; Ghahramani and Bowran 2018; Ghahramani et al. 2020; Williams et al. 2020a; Khan et al. 2021; Bell et al. 2021; Rai et al. 2022; Chawdhery et al. 2022; Mugandani et al. 2022; Abdollahzadeh et al. 2023; Gemeda et al. 2023)","plainCitation":"(Komarek et al. 2012; Rodriguez et al. 2014; Mutabazi et al. 2015; Ghahramani and Moore 2016; Tibesigwa et al. 2017; Lopez-Ridaura et al. 2018; Souissi et al. 2018; Ghahramani and Bowran 2018; Ghahramani et al. 2020; Williams et al. 2020a; Khan et al. 2021; Bell et al. 2021; Rai et al. 2022; Chawdhery et al. 2022; Mugandani et al. 2022; Abdollahzadeh et al. 2023; Gemeda et al. 2023)","noteIndex":0},"citationItems":[{"id":628,"uris":["http://zotero.org/users/7734624/items/PLNKZ6RQ"],"itemData":{"id":628,"type":"article-journal","abstract":"Simulation models can help to identify the whole-farm economic and biophysical impacts of smallholder farmers altering their farming systems. Incorporating long-term climate-induced variability in crop and livestock production enables the implications for agricultural household income and risk to be explored over a range of seasonal conditions. In this study, a simulation model is used to answer the following question: can reducing the area used for grain production by allocating more land to lucerne (Medicago sativa) and increasing livestock numbers improve total net farm income, reduce income variability and maintain grain self-sufficiency for farmers in the Qingyang Prefecture of Gansu Province, China? This was examined for three representative farm types found in the region: a low land-labour ratio farm household, a subsistence-oriented farm household, and a livestock-focused farm household. The Integrated Analysis Tool (IAT), a simulation model of a household farming system, was used to combine crop and forage production simulations, a livestock production model and a household socio-economic model to explore the impact of changes to farming systems over a 40year simulation period. Data from 90 surveyed households were used to define the structure of the three farm household types and to calibrate the IAT model specifically for Qingyang Prefecture. Additional livestock increased total household net incomes, increased net livestock incomes and reduced net crop incomes for the subsistence-oriented and livestock-focused farm households. For these households, the greater commitment to livestock also reduced grain self-sufficiency due to increased frequency of purchasing grain for home-consumption. Nevertheless, additional livestock reduced income variability for these households whilst improving total net income. The methodology used is useful for understanding changes in farming systems as it focuses on the feasibility and profitability of alternative enterprise mixes and incorporates climate variability. The results support current debates on targeting livestock policies towards smallholders as subsistence-oriented farm households appear to be the largest beneficiaries from livestock interventions. The analysis demonstrates that tradeoffs between net income and grain self-sufficiency are important for households, especially when they are moving from subsistence-based to market-based production.","container-title":"Agricultural Systems","DOI":"10.1016/j.agsy.2012.02.001","ISSN":"0308-521X","journalAbbreviation":"Agricultural Systems","language":"en","page":"16-24","source":"ScienceDirect","title":"Whole-farm effects of livestock intensification in smallholder systems in Gansu, China","volume":"109","author":[{"family":"Komarek","given":"Adam M."},{"family":"McDonald","given":"Cam K."},{"family":"Bell","given":"Lindsay W."},{"family":"Whish","given":"Jeremy P. M."},{"family":"Robertson","given":"Michael J."},{"family":"MacLeod","given":"Neil D."},{"family":"Bellotti","given":"William D."}],"issued":{"date-parts":[["2012",6,1]]},"citation-key":"komarek_etal_2012"}},{"id":663,"uris":["http://zotero.org/users/7734624/items/465VIM9A"],"itemData":{"id":663,"type":"article-journal","abstract":"This study presents the use of a whole farm model in a participatory modelling research approach to examine the sensitivity of four contrasting case study farms to a likely climate change scenario. The newly generated information was used to support discussions with the participating farmers in the search for options to design more profitable and sustainable farming systems in Queensland Australia. The four case studies contrasted in key systems characteristics: opportunism in decision making, i.e. flexible versus rigid crop rotations; function, i.e. production of livestock or crops; and level of intensification, i.e. dryland versus irrigated agriculture. Tested tactical and strategic changes under a baseline and climate change scenario (CCS) involved changes in the allocation of land between cropping and grazing enterprises, alternative allocations of limited irrigation water across cropping enterprises, and different management rules for planting wheat and sorghum in rainfed cropping. The results show that expected impacts from a likely climate change scenario were evident in the following increasing order: the irrigated cropping farm case study, the cropping and grazing farm, the more opportunistic rainfed cropping farm and the least opportunistic rainfed cropping farm. We concluded that in most cases the participating farmers were operating close to the efficiency frontier (i.e. in the relationship between profits and risks). This indicated that options to adapt to climate change might need to evolve from investments in the development of more innovative cropping and grazing systems and/or transformational changes on existing farming systems. We expect that even though assimilating expected changes in climate seems to be rather intangible and premature for these farmers, as innovations are developed, adaptation is likely to follow quickly. The multiple interactions among farm management components in complex and dynamic farm businesses operating in a variable and changing climate, make the use of whole farm participatory modelling approaches valuable tools to quantify benefits and trade-offs from alternative farming systems designs in the search for improved profitability and resilience. © 2013.","container-title":"Agricultural Systems","DOI":"10.1016/j.agsy.2013.04.003","ISSN":"0308521X","language":"English","page":"50-61","title":"A participatory whole farm modelling approach to understand impacts and increase preparedness to climate change in Australia","volume":"126","author":[{"family":"Rodriguez","given":"D."},{"family":"Cox","given":"H."},{"family":"deVoil","given":"P."},{"family":"Power","given":"B."}],"issued":{"date-parts":[["2014"]]},"citation-key":"rodriguez_etal_2014"}},{"id":684,"uris":["http://zotero.org/users/7734624/items/IIGIISUT"],"itemData":{"id":684,"type":"article-journal","abstract":"Given the projected climatic changes, building resilient agricultural systems is of vital significance in protecting vulnerable agrarian communities in sub-Saharan Africa. Under this scenario, the article attempts to identify a set of resilience-building adaptive strategies (intensification, diversification, alteration, migration, etc.) among farmers in Morogoro, Tanzania, and crafts a composite index of these strategies using a principal component analysis-based weighting scheme. The analysis also reveals the latent structure and internal correlations of actions intended to build resilience of the farming systems. Subsequently, the linkages of livelihood resources (natural, human, social and financial capitals) to the resilience-building strategies are examined. A multiple regression analysis is employed to link the composite index to variables representing the four capitals. The results bring quantitative evidence to the linkages and highlight the need of enhancing livelihood resources to enhance the ability to undertake adaptive strategies that denotes the ability to withstand stresses and shocks from climatic changes. Actions to improve human capital (awareness campaigns on climate change impacts as well as possible adaptive strategies), social capital (strengthening social networks, improving tenure security), financial capital (increasing credit availability) and natural capital (measures to enhance agricultural potential, support for adaptive action in areas with low agricultural potential) are needed in order to impart resilience to the farming systems against the changing climate. © 2015, Springer-Verlag Berlin Heidelberg.","container-title":"Regional Environmental Change","DOI":"10.1007/s10113-015-0800-7","ISSN":"14363798","issue":"7","language":"English","note":"publisher: Springer Verlag","page":"1259-1268","title":"Influence of livelihood resources on adaptive strategies to enhance climatic resilience of farm households in Morogoro, Tanzania: an indicator-based analysis","volume":"15","author":[{"family":"Mutabazi","given":"K.D."},{"family":"Amjath-Babu","given":"T.S."},{"family":"Sieber","given":"S."}],"issued":{"date-parts":[["2015"]]},"citation-key":"mutabazi_etal_2015"}},{"id":935,"uris":["http://zotero.org/users/7734624/items/5GFN64NW"],"itemData":{"id":935,"type":"article-journal","abstract":"The state of Western Australia is a major producer and exporter of crops and livestock. Mixed farming systems are typical agricultural enterprises in the Western Australian wheatbelt where climate drives the productivity and profitability of these farms and therefore the effects of likely climate change on their performance need to be understood. Here the effects of climate change projected at 2030 were evaluated compared to a baseline period (1980–1999) on mixed farming systems at paddock, enterprise and whole farm scales using the coupled APSIM and GRAZPLAN biophysical simulation models. The yield of different crops, livestock production and gross margins were assessed under current and projected climates using current farming technology and management practices. Representative mixed-farm systems were selected along a climate transect. Modelling analysis suggests that current production levels and gross margins of mixed farm systems in Western Australia will not be sustained in 2030 climate conditions except in areas of moderately high-rainfall. Whole farm gross margin declined at all site×potential climate scenarios between 1% and 22% except in moderately high rainfall where gross margin increased by up to 4% under a ‘hot and moderate change in rainfall’ climate. Projected crop yields declined for most of the crop×site×potential climate combinations, with greatest declines under a hot and dry climate (at driest margin of transect) in which wheat, barley, canola, and lupin yield declined up to 16%, 15%, 21%, and 27%, respectively. Increase in yield was predicted for wheat and barley at some of the site×potential climate s. Wheat yield increased only under moderately high rainfall region by 6% while barley increased by 1%. Simulated cropping gross margin was also shown to decline by between &gt;1% and 23%, except for the moderately high-rainfall site where cropping gross margins were projected to increase by up to 3%. Changes in simulated livestock production were smaller and less variable than for crop production. The change in weight of livestock sold across sites×potential climate combinations ranged between −3% and +3%. Livestock gross margin varied between −11% and +6%. Modelling results indicated a greater fertilisation effect of the elevated CO2 on pasture production than on crop yield and biomass particularly in drier sites. But however, this could not offset negative impact of climate change under hot potential climates. The main negative environmental impacts from the projected climate change were declines in annual net primary production (ANPP), ground cover and water use efficiency mostly at drier sites. Whole farm N2O emission declined significantly for the majority of site×potential climate combinations, while smaller decreases in ruminant CH4 emission were predicted. In 2030, returns from livestock enterprises are predicted to be smaller, but less variable than from cropping and with increasing probability of success in drier regions. Reduced variability in financial return is important from the perspective of whole farm risk management. Shifts in enterprise mix in dryland mixed-farming systems towards increased livestock may be a helpful strategy in adapting to climate change and managing the associated financial risks.","container-title":"Agricultural Systems","DOI":"10.1016/j.agsy.2016.05.011","ISSN":"0308-521X","journalAbbreviation":"Agricultural Systems","language":"en","page":"142-155","source":"ScienceDirect","title":"Impact of climate changes on existing crop-livestock farming systems","volume":"146","author":[{"family":"Ghahramani","given":"Afshin"},{"family":"Moore","given":"Andrew D."}],"issued":{"date-parts":[["2016",7,1]]},"citation-key":"ghahramani_moore_2016"}},{"id":709,"uris":["http://zotero.org/users/7734624/items/MF6LYQRZ"],"itemData":{"id":709,"type":"article-journal","abstract":"South Africa, a main food exporter in SADC, is characterised by a dual agricultural economy consisting of a well-developed commercial sector and smallholder, often subsistence, farming. Using the Ricardian cross-sectional framework, we examine the impact of climate change on a nationwide sample of crop, horticulture, livestock and mixed commercial farming systems. We find that a simultaneous decrease in precipitation and an increase in temperature will reduce productivity; and that an increase in temperature alone negatively affects farm output more than a decrease in precipitation. One of the most robust findings is the difference in the extent to which different commercial production systems will be impacted. That is, the results indicate that the strongest impact will be amongst specialised commercial crop farming system. In contrast, mixed farming systems appear to be the least vulnerable. This finding is consistent with studies on small-holder farms in sub-Saharan Africa. Hence, it appears that despite the likely benefits derived from economies of scale, commercial farms are, somewhat, equally vulnerable to climate change. Further, a province-wise assessment revealed that areas that already face disadvantageous climatic conditions will become even less productive. Overall, the findings suggest that practicing mixed farming methods will strengthen the resilience of commercial farms to climate change and that access to extensions-insurance and irrigation-is likely to reduce the risks.","container-title":"ENVIRONMENT DEVELOPMENT AND SUSTAINABILITY","DOI":"10.1007/s10668-015-9755-6","ISSN":"1387-585X","issue":"2","language":"English","note":"publisher-place: VAN GODEWIJCKSTRAAT 30, 3311 GZ DORDRECHT, NETHERLANDS\npublisher: SPRINGER\ntype: Article","page":"607-636","title":"Climate change and South Africa's commercial farms: an assessment of impacts on specialised horticulture, crop, livestock and mixed farming systems","volume":"19","author":[{"family":"Tibesigwa","given":"Byela"},{"family":"Visser","given":"Martine"},{"family":"Turpie","given":"Jane"}],"issued":{"date-parts":[["2017",4]]},"citation-key":"tibesigwa_etal_2017"}},{"id":351,"uris":["http://zotero.org/users/7734624/items/VMQZYXSU"],"itemData":{"id":351,"type":"article-journal","abstract":"One of the great challenges in agricultural development and sustainable intensiﬁcation is the assurance of social equity in food security oriented interventions. Development practitioners, researchers, and policy makers alike could beneﬁt from prior insight into what interventions or environmental shocks might diﬀerentially aﬀect farmers' food security status, in order to move towards more informed and equitable development. We examined the food security status and livelihood activities of 269 smallholder farm households (HHs) in Bihar, India. Proceeding with a four-step analysis, we ﬁrst applied a multivariate statistical methodology to diﬀerentiate ﬁve primary farming system types. We next applied an indicator of food security in the form of HH potential food availability (PFA), and examined the contribution of crop, livestock, and on- and oﬀ-farm income generation to PFA within each farm HH type. Lastly, we applied scenario analysis to examine the potential impact of the adoption of ‘climate smart’ agricultural (CSA) practices in the form of conservation agriculture (CA) and improved livestock husbandry, and environmental shocks on HH PFA. Our results indicate that compared to livestock interventions, CA may hold considerable potential to boost HH PFA, though primarily for wealthier and medium-scale cereal farmers. These farm HH types were however considerably more vulnerable to food insecurity risks resulting from simulated drought, while part-time farmers and resource-poor agricultural laborers generating income from oﬀ-farm pursuits were comparatively less vulnerable, due in part to their more diversiﬁed income sources and potential to migrate in search of work. Our results underscore the importance of prior planning for development initiatives aimed at increasing smallholder food security while maintaining social equity, while providing a robust methodology to vet the implications of agricultural interventions on an ex ante basis.","container-title":"Agricultural Systems","DOI":"10.1016/j.agsy.2017.09.007","ISSN":"0308521X","journalAbbreviation":"Agricultural Systems","language":"en","page":"57-68","source":"DOI.org (Crossref)","title":"Climate smart agriculture, farm household typologies and food security","volume":"159","author":[{"family":"Lopez-Ridaura","given":"Santiago"},{"family":"Frelat","given":"Romain"},{"family":"Wijk","given":"Mark T.","non-dropping-particle":"van"},{"family":"Valbuena","given":"Diego"},{"family":"Krupnik","given":"Timothy J."},{"family":"Jat","given":"M.L."}],"issued":{"date-parts":[["2018",1]]},"citation-key":"lopez-ridaura_etal_2018"}},{"id":877,"uris":["http://zotero.org/users/7734624/items/GDJ5BBWZ"],"itemData":{"id":877,"type":"article-journal","abstract":"This study considers a quantitative approach for assessing the performance of Tunisian farming systems to face climate change. It is based on the resilience concept and the calculation, with a modelling chain, of three indicators: land stock, labour stock, and income flux. Two system states, “base” and “climate change”, and a time horizon of 2010-2025, are developed and compared for representative farming systems. The study shows that 55% of the farming systems were identified as being resilient to climate change. They are diversified and mostly grow cereals, vegetables, and forage crops combined with livestock, increasing their capability to mitigate climate change by reorganizing crop activities. 35% of the farms identified as being non-resilient are dominated by orchards, or cereals and orchards. They showed an important drop in farm income (-45%), mainly due to their inability to adapt their cropping systems to water stress and soil salinity. Finally, only 10% were identified as being poorly resilient farming systems. Those farms have mainly intensified cereal cropping systems based on a strategy of purchasing land to increase the surface area of profitable activities (forage and livestock). Overall, the methodology can be adapted for other dry land areas in the Mediterranean region and help experts and policy-makers to propose and test strategies for adapting to climate change.","container-title":"REGIONAL ENVIRONMENTAL CHANGE","DOI":"10.1007/s10113-017-1130-8","ISSN":"1436-3798","issue":"3","language":"English","note":"publisher-place: TIERGARTENSTRASSE 17, D-69121 HEIDELBERG, GERMANY\npublisher: SPRINGER HEIDELBERG\ntype: Article","page":"637-650","title":"Impact assessment of climate change on farming systems in the South Mediterranean area: a Tunisian case study","volume":"18","author":[{"family":"Souissi","given":"Imen"},{"family":"Boisson","given":"Jean Marie"},{"family":"Mekki","given":"Insaf"},{"family":"Therond","given":"Olivier"},{"family":"Flichman","given":"Guillermo"},{"family":"Wery","given":"Jacques"},{"family":"Belhouchette","given":"Hatem"}],"issued":{"date-parts":[["2018",3]]},"citation-key":"souissi_etal_2018"}},{"id":688,"uris":["http://zotero.org/users/7734624/items/U6MX8V6V"],"itemData":{"id":688,"type":"article-journal","abstract":"Mixed crop-livestock farming systems provide food for more than half of the world's population. These agricultural systems are predicted to be vulnerable to climate change and therefore require transformative adaptations. In collaboration with farmers in the wheatbelt of Western Australia (WA), a range of systemic and transformative adaptation options, e.g. land use change, were designed for the modelled climate change projected to occur in 2030 (0.4-1.4 degrees increase in mean temperature). The effectiveness of the adaptation options was evaluated using coupled crop and livestock biophysical models within an economic and environmental framework at both the enterprise and farm scales. The relative changes in economic return and environmental variables in 2030 are presented in comparison with a baseline period (1970-2010). The analysis was performed on representative farm systems across a rainfall transect. Under the impact of projected climate change, the economic returns of the current farms without adaptation declined by between 2 and 47%, with a few exceptions where profit increased by up to 4%. When the adaptations were applied for 2030, profit increased at the high rainfall site in the range between 78 and 81% through a 25% increase in the size of livestock enterprise and adjustment in sowing dates, but such profit increases were associated with 6-10% increase in greenhouse gas (GHG) emissions. At the medium rainfall site, a 100% increase in stocking rate resulted in 5% growth in profit but with a 61-71% increase in GHG emissions and the increased likelihood of soil degradation. At the relatively low rainfall site, a 75% increase in livestock when associated with changes in crop management resulted in greater profitability and a smaller risk of soil erosion. This research identified that a shift toward a greater livestock enterprises (stocking rate and pasture area) could be a profitable and low-risk approach and may have most relevance in years with extremely low rainfall. If transformative adaptations are adopted then there will be an increased requirement for an emissions control policy due to livestock GHG emissions, while there would be also need for soil conservation strategies to be implemented during dry periods. The adoption rate analysis with producers suggests there would be a greater adoption rate for less intensified adaptations even if they are transformative. Overall the current systems would be more resilient with the adaptations, but there may be challenges in terms of environmental sustainability and in particular with soil conservation.","container-title":"Agricultural Systems","DOI":"10.1016/j.agsy.2018.04.011","ISSN":"0308-521X","page":"236–251","title":"Transformative and systemic climate change adaptations in mixed crop livestock farming systems UR -://WOS:000437075800020","title-short":"Transformative and systemic climate change adaptations in mixed crop livestock farming systems","volume":"164","author":[{"family":"Ghahramani","given":"A."},{"family":"Bowran","given":"D."}],"issued":{"date-parts":[["2018",7]]},"citation-key":"ghahramani_bowran_2018"}},{"id":689,"uris":["http://zotero.org/users/7734624/items/83R23C92"],"itemData":{"id":689,"type":"article-journal","abstract":"Mixed crop-livestock farming systems provide food for over half of the global population. However, some important food exporting countries, like Australia, are predicted to be vulnerable to climate change and may require transformative adaptations if they are to continue their role in food exportation. This paper assesses the potential impacts of projected climate change by 2030 (0.4–1.6° increase in mean temperature) on Australian mixed crop-livestock systems and examines the consequences of shifts in land allocations to cropping and grazing, in these systems, as an adaptation option. Farm bio-economic simulation models were developed for these mixed enterprise systems in several regions of Australia. These models were based on biophysically coupled crop, pasture, and livestock simulation models that in turn drew on site-based downscaled climate projection datasets. The farm models calculated farm profitability and risk measures. A range of land use changes was investigated. At drier locations facing adverse climate change, results showed a transition towards a greater emphasis on livestock production could be beneficial when assessed against multiple criteria of farm profit, downside financial risk, and environmental damage. We highlight some industry and government actions and policies that could facilitate these preferred adaptation strategies at such locations. © 2020 Elsevier Ltd","container-title":"Agricultural Systems","DOI":"10.1016/j.agsy.2020.102791","ISSN":"0308521X","language":"English","note":"publisher: Elsevier Ltd","title":"Land use change in Australian mixed crop-livestock systems as a transformative climate change adaptation","URL":"https://www.scopus.com/inward/record.uri?eid=2-s2.0-85078469101&amp;doi=10.1016%2fj.agsy.2020.102791&amp;partnerID=40&amp;md5=4d047851d67ef1e9732204f94c8d5df0","volume":"180","author":[{"family":"Ghahramani","given":"A."},{"family":"Kingwell","given":"R.S."},{"family":"Maraseni","given":"T.N."}],"issued":{"date-parts":[["2020"]]},"citation-key":"ghahramani_etal_2020"}},{"id":953,"uris":["http://zotero.org/users/7734624/items/JP6DPILY"],"itemData":{"id":953,"type":"article-journal","abstract":"Changing climate is posing considerable threats to agriculture, the most vulnerable sector, and to smallholder farming systems, the predominant agricultural livelihood activity in Africa. Study of specific systems enables clearer and more effective responses to be directly targeted for enhanced adaptation, but there is limited knowledge guiding specific subsector vulnerability assessments. We applied the Livelihood Vulnerability Index to understand and identify the nature and sources of vulnerability among smallholder horticultural farming households to climate variability in two districts in Ghana. A total of 480 households engaging in fruit and vegetable crop production were surveyed in Keta and Nsawam districts of Ghana. Data were collected on indicators for Livelihood Vulnerability Index components such as socio-demographic profiles, livelihood strategies, social networking, health, food, production, water, natural disasters, and climate variability. The vulnerability-contributing factors were aggregated in a composite index and differences were compared. The results indicate that smallholder horticultural farmers in Keta are more vulnerable in relation to high exposure and high sensitivity to climate variability, while smallholders in Nsawam are more vulnerable in terms of low capacity to adapt to climate variability. As it is the case for smallholder horticultural farming communities, the study suggests that Livelihood Vulnerability Index can be broadly applied to highlight potential areas for intervention and reduce the vulnerability of sector-specific farming communities within local and national levels. © 2018, Springer Nature B.V.","container-title":"Environment, Development and Sustainability","DOI":"10.1007/s10668-018-0292-y","ISSN":"1387585X","issue":"3","language":"English","note":"publisher: Springer","page":"2321-2342","title":"Assessing vulnerability of horticultural smallholders’ to climate variability in Ghana: applying the livelihood vulnerability approach","volume":"22","author":[{"family":"Williams","given":"P.A."},{"family":"Crespo","given":"O."},{"family":"Abu","given":"M."}],"issued":{"date-parts":[["2020"]]},"citation-key":"williams_etal_2020"}},{"id":925,"uris":["http://zotero.org/users/7734624/items/9WJDHG8S"],"itemData":{"id":925,"type":"article-journal","abstract":"In developing countries like Pakistan, agriculture constitutes the primary source of support for the majority of rural and the adjacent urban population. Despite the large part it plays in the economy, it faces significant challenges caused by climate change, such as rising temperatures, floods, droughts, and yield losses. In Pakistan, rice, which is the second most essential food crop and livelihood source for the millions of farm households, is facing significant yield reduction due to climate change. It is pertinent to consider the vulnerabilities of farm households and related factors to create a climatic-resilient farming system. The current study is aimed at mapping the vulnerability of rice-growing communities of Punjab province while considering climatic challenges beyond temperatures and rainfall changes. The Climate Change Vulnerability Index (CCVI) was calculated for four rice-growing districts of Punjab province using the Intergovernmental Panel on Climate Change's three-indicator approach (sensitivity, exposition, and adaptive capacity). According to the results, farmers in the study area are highly vulnerable to climate change (CCVI 0.81). Specifically, the indices of vulnerability components showed that farmers have a high level of exposure (EVI 0.72) and susceptibility (SVI 0.59) to the climatic uncertainties with the least adaptive capacity (AVI 0.50). Further, the vulnerability analysis across different rice-growing regions showed that farmers, particularly in the low-yield region, are more vulnerable (EVI 0.73, SVI 0.61, AVI 0.49, CCVI 0.85) than the farmers in the high-yield region (EVI 0.71, SVI 0.58, AVI 0.51, CCVI 0.78). These findings imply that regional priority must be given despite the difference in farm performance to reduce production losses. Besides, climate-smart adaptation initiatives should be facilitated at the farm and regional levels through the implementation of appropriate policies and investment plans.","container-title":"ENVIRONMENTAL SCIENCE AND POLLUTION RESEARCH","DOI":"10.1007/s11356-020-10758-4","ISSN":"0944-1344","issue":"4, SI","language":"English","note":"publisher-place: TIERGARTENSTRASSE 17, D-69121 HEIDELBERG, GERMANY\npublisher: SPRINGER HEIDELBERG\ntype: Article","page":"4229-4244","title":"Mapping farmers' vulnerability to climate change and its induced hazards: evidence from the rice-growing zones of Punjab, Pakistan","volume":"28","author":[{"family":"Khan","given":"Nasir Abbas"},{"family":"Gao","given":"Qijie"},{"family":"Abid","given":"Muhammad"},{"family":"Shah","given":"Ashfaq Ahmad"}],"issued":{"date-parts":[["2021",1]]},"citation-key":"khan_etal_2021"}},{"id":943,"uris":["http://zotero.org/users/7734624/items/44XW8HKF"],"itemData":{"id":943,"type":"article-journal","abstract":"Context\nMixed crop-livestock farms are important production systems worldwide and dominate Australia's broadacre agricultural regions. While integration of crops and livestock can offer many benefits, these are often intertwined and are hard to quantify explicitly.\nObjective\nThis paper set out to examine specifically the financial risk and return implications from operating a farm portfolio involving segregated crop and livestock enterprises considering both production variability and commodity price variability.\nMethods\nCrop and livestock production from representative systems were simulated over 40 years at six locations spanning Australia's crop-livestock zone using coupled biophysical production simulation models, APSIM for cropping enterprises and GRAZPLAN for livestock enterprises. Time series of varying prices and costs for the same period were derived using historical data. Annual gross margins for each enterprise and different proportional land allocations to the farm were calculated either allowing both production and price to vary or keeping either constant at average values.\nResults and conclusions\nAt all locations the livestock enterprise had less downside risk than the cropping enterprises (as measured by conditional value at risk). Across both enterprises, the impact of production variability was greater than price variability at 5 of the 6 locations. Annual gross margins from the modelled crop and livestock enterprises were not well correlated with each other. Hence, even in the absence of biophysical interactions, the risk-efficient frontier included mixtures of crops and livestock enterprises at most sites. At two sites, a mix of 20–40% crop resulted in the lowest downside risk, while at other sites there was a clear trade-off between maximising farm returns and minimising risk across a range of crop-livestock mixtures.\nSignificance\nThis is the first study to explicitly quantify and show across a diversity of environments in Australia's mixed farming systems that operating a mixture of even segregated crop and livestock enterprises in a farming business can help farmers optimise their risk-return trade-off. Similar risk mitigation benefits may be achieved through crop-livestock systems in other agricultural regions exposed to high climate and price variability.","container-title":"Agricultural Systems","DOI":"10.1016/j.agsy.2021.103050","ISSN":"0308-521X","journalAbbreviation":"Agricultural Systems","language":"en","page":"103050","source":"ScienceDirect","title":"Diversified crop-livestock farms are risk-efficient in the face of price and production variability","volume":"189","author":[{"family":"Bell","given":"L. W."},{"family":"Moore","given":"A. D."},{"family":"Thomas","given":"D. T."}],"issued":{"date-parts":[["2021",4,1]]},"citation-key":"bell_etal_2021"}},{"id":3341,"uris":["http://zotero.org/users/7734624/items/XPPADBAG"],"itemData":{"id":3341,"type":"article-journal","abstract":"Potato (Solanum tuberosum) is an indispensable commodity, mainly cultivated by high-altitude mountain households, that sustains and supports the livelihood of an overwhelming 51% of the Bhutanese population. The popularity of potato cultivation among Bhutanese farmers can be attributed to the crop’s adaptability to a wide range of agroclimatic conditions such as a rainfed crop, high productivity, an assured market, and a reliable source of income for the farming families. We hypothesize that the changing climate would make the livelihood associated with potato cultivation in Bhutan more vulnerable. We tested this hypothesis to identify the sources of vulnerability of smallholder farming households using the Livelihood Vulnerability Index (LVI) and LVI-IPCC (Intergovernmental Panel on Climate Change) approaches in six potato growing districts of Bhutan: Bumthang, Chukha, Gasa, Mongar, Tashigang, and Wangdue. Primary data were generated through a semi structured sample survey of 240 households on the seven major livelihood components of sociodemographic profiles, livelihood strategies, social networks, health, food, water, natural disasters, and climate variability. The results showed that the LVI (range 0.302 to 0.375) and LVI-IPCC (range −0.005 to 0.030) differed significantly (p &lt; 0.001) across the districts. The districts of Tashigang and Mongar were less vulnerable than the other four districts by the LVI approach, whereas Bumthang was also revealed to be less vulnerable using the LVI-IPCC approach. The degree of vulnerability in a district differed according to their level of exposure and adaptive capacity to the climate change impacts of the potato farming household. The results are expected to serve as empirical evidence for designing a future course of actions to mitigate the negative impacts.","container-title":"Sustainability","DOI":"10.3390/su14042339","ISSN":"2071-1050","issue":"4","journalAbbreviation":"Sustainability","language":"en","license":"https://creativecommons.org/licenses/by/4.0/","page":"2339","source":"DOI.org (Crossref)","title":"Empirical Evidence of the Livelihood Vulnerability to Climate Change Impacts: A Case of Potato-Based Mountain Farming Systems in Bhutan","title-short":"Empirical Evidence of the Livelihood Vulnerability to Climate Change Impacts","volume":"14","author":[{"family":"Rai","given":"Pradeep"},{"family":"Bajgai","given":"Yadunath"},{"family":"Rabgyal","given":"Jimba"},{"family":"Katwal","given":"Tirtha Bdr"},{"family":"Delmond","given":"Anthony Ryan"}],"issued":{"date-parts":[["2022",2,18]]},"citation-key":"rai_etal_2022"}},{"id":3259,"uris":["http://zotero.org/users/7734624/items/DG63YPC4"],"itemData":{"id":3259,"type":"article-journal","abstract":"The climate change impacts of South Asia (SA) are inextricably linked with increased monsoon variability and a clearly deteriorating trend with more frequent deficit monsoons. One of the most climate-vulnerable nations in the eastern and central Indo-Gangetic Basin is Bangladesh. There have been numerous studies on the effects of climate change in Bangladesh; however, most of them tended to just look at a small fraction of the impact elements or were climatic projections without accounting for the effects on agriculture. Additionally, simulation studies using the CERES-Rice and CERES-Wheat models were conducted for rice and wheat to evaluate the effects of climate change on Bangladeshi agriculture. However, up to now, Bangladesh has not implemented farming system ideas by integrating cropping systems with other income-generating activities. This study was conducted as part of the Indo-Gangetic Basin (IGB) regional evaluations using the protocols and integrated assessment processes of the Agricultural Model Intercomparison and Improvement Project (AgMIP). It was also done to calibrate crop models (APSIM and DSSAT) using rice and wheat. To assist policymakers in creating national and regional plans for anticipated future agricultural systems, our work on the integrated evaluation of climate change impacts on agricultural systems produced realistic predictions. The outcome of this research prescribes a holistic assessment of climate change on future production systems by including all the relevant enterprises in the agriculture sector. The findings of the study suggested two major strategies to minimize the yield and increase the profitability in a rice–wheat cropping system. Using a short-term HYV (High Yielding Variety) of rice can shift the sowing time of wheat by 7 days in advance compared to the traditional sowing days of mid-November. In addition, increasing the irrigation amount by 50 mm for wheat showed a better yield by 1.5–32.2% in different scenarios. These climate change adaptation measures could increase the per capita income by as high as 3.6% on the farm level.","container-title":"International Journal of Environmental Research and Public Health","DOI":"10.3390/ijerph192315829","ISSN":"1660-4601","issue":"23","journalAbbreviation":"IJERPH","language":"en","license":"https://creativecommons.org/licenses/by/4.0/","page":"15829","source":"DOI.org (Crossref)","title":"Climate Change Impacts Assessment Using Crop Simulation Model Intercomparison Approach in Northern Indo-Gangetic Basin of Bangladesh","volume":"19","author":[{"family":"Chawdhery","given":"Md Rafique Ahasan"},{"family":"Al-Mueed","given":"Murtuza"},{"family":"Wazed","given":"Md Abdul"},{"family":"Emran","given":"Shah-Al"},{"family":"Chowdhury","given":"Md Abeed Hossain"},{"family":"Hussain","given":"Sk Ghulam"}],"issued":{"date-parts":[["2022",11,28]]},"citation-key":"chawdhery_etal_2022"}},{"id":3335,"uris":["http://zotero.org/users/7734624/items/77NJ6K3P"],"itemData":{"id":3335,"type":"article-journal","abstract":"The assessment of the vulnerability to drought hazards in smallholder farming systems dependent on rain-fed agriculture has recently gained global popularity, given the need to identify and prioritize climate hotspots for climate adaptation. Over the past decade, numerous studies have focused on vulnerability assessments with respect to drought and other meteorological hazards. Nonetheless, less research has focused on applying common measurement frameworks to compare vulnerability in different communities and the sources of such vulnerability. Yet, the crucial question remains: who is more vulnerable and what contributes to this vulnerability? This article is a case study for assessing the vulnerability to drought of smallholder farmers in two wards in Chivi district, Masvingo Province, Zimbabwe. This study is timely, as climate change is increasingly affecting populations dependent on rainfed agriculture. This assessment has been conducted by calculating the Livelihood Vulnerability Index (LVI) and Livelihood Vulnerability Index of the Intergovernmental Panel on Climate Change (LVI-IPCC). This empirical study used data from 258 households from the two wards and triangulated it through Key Informant Interviews and Focus Group Discussions. To calculate the LVI, twenty-six subcomponents made up of seven major components, including socio-demographic variables; livelihood strategies; social capital; access to food, health, and water; and exposure to drought, were considered. To calculate the LVI-IPCC, we combined the three contributing factors of vulnerability (exposure, sensitivity, and adaptive capacity). Our results indicate that the LVI forward 14 is statistically higher than for ward 19 (F = 21.960; p ≤ 0.01) due to high exposure to drought, food insecurity, and compromised social networks. Concerning the LVI-IPCC, ward 14 was significantly more vulnerable to the impacts of drought than ward 19 (F = 7.718; p ≤ 0.01). Thus, reducing exposure to drought through early warning systems, building diversified agricultural systems, and social networks are of high priority to reduce the vulnerability of the farmers.","container-title":"Climate","DOI":"10.3390/cli10120189","ISSN":"2225-1154","issue":"12","journalAbbreviation":"Climate","language":"en","license":"https://creativecommons.org/licenses/by/4.0/","page":"189","source":"DOI.org (Crossref)","title":"Mapping and Managing Livelihoods Vulnerability to Drought: A Case Study of Chivi District in Zimbabwe","title-short":"Mapping and Managing Livelihoods Vulnerability to Drought","volume":"10","author":[{"family":"Mugandani","given":"Raymond"},{"family":"Muziri","given":"Tavagwisa"},{"family":"Murewi","given":"Cyril Tapiwa Farai"},{"family":"Mugadza","given":"Amanda"},{"family":"Chitata","given":"Tavengwa"},{"family":"Sungirai","given":"Marvelous"},{"family":"Zirebwa","given":"Farai Solomon"},{"family":"Manhondo","given":"Petronella"},{"family":"Mupfiga","given":"Elvis Tawanda"},{"family":"Nyamutowa","given":"Charles"},{"family":"Mudereri","given":"Bester Tawona"},{"family":"Mugari","given":"Zvenyika Eckson"},{"family":"Mwadzingeni","given":"Liboster"},{"family":"Mafongoya","given":"Paramu"}],"issued":{"date-parts":[["2022",11,29]]},"citation-key":"mugandani_etal_2022"}},{"id":3346,"uris":["http://zotero.org/users/7734624/items/89PSQCE6"],"itemData":{"id":3346,"type":"article-journal","container-title":"Agricultural Systems","DOI":"10.1016/j.agsy.2022.103537","ISSN":"0308521X","journalAbbreviation":"Agricultural Systems","language":"en","page":"103537","source":"DOI.org (Crossref)","title":"Adaptive capacity of farming systems to climate change in Iran: Application of composite index approach","title-short":"Adaptive capacity of farming systems to climate change in Iran","volume":"204","author":[{"family":"Abdollahzadeh","given":"Gholamhossein"},{"family":"Sharifzadeh","given":"Mohammad Sharif"},{"family":"Sklenička","given":"Petr"},{"family":"Azadi","given":"Hossein"}],"issued":{"date-parts":[["2023",1]]},"citation-key":"abdollahzadeh_etal_2023"}},{"id":3311,"uris":["http://zotero.org/users/7734624/items/JQMSVRNU"],"itemData":{"id":3311,"type":"article-journal","abstract":"This study assesses the perceptions and vulnerability of the farming communities to climate change in the southwestern parts of Ethiopia. Climate change vulnerability assessment is a prerequisite to designing climate change adaptation strategies. A multistage cluster sampling technique was used to select four of the six zones from the southwestern parts of Oromia. Close-ended and open-ended questionnaires were used to assess household perceptions of climate change and the degree of vulnerability to climate change by using five household capitals: natural, social, financial, physical, and human capital. Data were collected from 442 households in 4 districts: Jimma Arjo, Bako Tibe, Chewaka, and Sekoru. The vulnerability of the farming communities was assessed using the households’ livelihood vulnerability index. A total of forty indicators from five capitals were applied to calculate household livelihood vulnerability to climate change. Household perceptions of climate change had a statistically significant relationship with changes in rainfall pattern (75.6%, p &lt; 0.001), temperature pattern (69.7%, p &lt; 0.001), drought (41.6%, p = 0.016), flood (44.1%, p = 0.000), and occurrence of early (53.2%, p &lt; 0.001) and late rain (55.9%, p &lt; 0.001). The results show that households in the Sekoru district were the most vulnerable (0.61), while households in the Jimma Arjo district were less vulnerable (0.47) to the effect of climate change. Household vulnerability to climate change is mainly related to the occurrence of drought, lack of much-needed infrastructure facilities, and weak institutional support. Links with financial organizations are also lacking in the household. The findings of this study will help policymakers to address the impact of climate change. To support disaster risk management on the one hand and increase the resilience of vulnerable societies to climate change on the other, we recommend a detailed assessment of the remaining districts of the region.","container-title":"Climate","DOI":"10.3390/cli11090183","ISSN":"2225-1154","issue":"9","journalAbbreviation":"Climate","language":"en","license":"https://creativecommons.org/licenses/by/4.0/","page":"183","source":"DOI.org (Crossref)","title":"Climate Change Perception and Vulnerability Assessment of the Farming Communities in the Southwest Parts of Ethiopia","volume":"11","author":[{"family":"Gemeda","given":"Dessalegn Obsi"},{"family":"Korecha","given":"Diriba"},{"family":"Garedew","given":"Weyessa"}],"issued":{"date-parts":[["2023",9,5]]},"citation-key":"gemeda_etal_2023"}}],"schema":"https://github.com/citation-style-language/schema/raw/master/csl-citation.json"}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E75E02" w:rsidRPr="00E75E02">
              <w:rPr>
                <w:rFonts w:ascii="Times New Roman" w:hAnsi="Times New Roman" w:cs="Times New Roman"/>
              </w:rPr>
              <w:t>(Komarek et al. 2012; Rodriguez et al. 2014; Mutabazi et al. 2015; Ghahramani and Moore 2016; Tibesigwa et al. 2017; Lopez-Ridaura et al. 2018; Souissi et al. 2018; Ghahramani and Bowran 2018; Ghahramani et al. 2020; Williams et al. 2020a; Khan et al. 2021; Bell et al. 2021; Rai et al. 2022; Chawdhery et al. 2022; Mugandani et al. 2022; Abdollahzadeh et al. 2023; Gemeda et al. 2023)</w:t>
            </w:r>
            <w:r w:rsidRPr="00FF4B56">
              <w:rPr>
                <w:rFonts w:ascii="Times New Roman" w:eastAsia="Times New Roman" w:hAnsi="Times New Roman" w:cs="Times New Roman"/>
                <w:color w:val="000000"/>
                <w:lang w:eastAsia="en-GB"/>
              </w:rPr>
              <w:fldChar w:fldCharType="end"/>
            </w:r>
          </w:p>
        </w:tc>
      </w:tr>
      <w:tr w:rsidR="00C857C6" w:rsidRPr="00AF6801" w14:paraId="6EF47D27" w14:textId="4666DF25" w:rsidTr="00406364">
        <w:trPr>
          <w:trHeight w:val="288"/>
        </w:trPr>
        <w:tc>
          <w:tcPr>
            <w:tcW w:w="0" w:type="auto"/>
            <w:tcBorders>
              <w:top w:val="nil"/>
              <w:left w:val="nil"/>
              <w:bottom w:val="nil"/>
              <w:right w:val="nil"/>
            </w:tcBorders>
            <w:shd w:val="clear" w:color="000000" w:fill="FFFFFF"/>
          </w:tcPr>
          <w:p w14:paraId="433EBE14" w14:textId="77777777" w:rsidR="00C857C6" w:rsidRPr="00FF4B56" w:rsidRDefault="00C857C6" w:rsidP="00406364">
            <w:pPr>
              <w:spacing w:after="0" w:line="360" w:lineRule="auto"/>
              <w:rPr>
                <w:rFonts w:ascii="Times New Roman" w:eastAsia="Times New Roman" w:hAnsi="Times New Roman" w:cs="Times New Roman"/>
                <w:color w:val="000000"/>
                <w:lang w:eastAsia="en-GB"/>
              </w:rPr>
            </w:pPr>
          </w:p>
        </w:tc>
        <w:tc>
          <w:tcPr>
            <w:tcW w:w="1848" w:type="dxa"/>
            <w:tcBorders>
              <w:top w:val="nil"/>
              <w:left w:val="nil"/>
              <w:bottom w:val="nil"/>
              <w:right w:val="nil"/>
            </w:tcBorders>
            <w:shd w:val="clear" w:color="000000" w:fill="FFFFFF"/>
            <w:noWrap/>
            <w:hideMark/>
          </w:tcPr>
          <w:p w14:paraId="4BACDA56" w14:textId="0909423C" w:rsidR="00C857C6" w:rsidRPr="00FF4B56" w:rsidRDefault="00C857C6" w:rsidP="00406364">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 </w:t>
            </w:r>
          </w:p>
        </w:tc>
        <w:tc>
          <w:tcPr>
            <w:tcW w:w="5310" w:type="dxa"/>
            <w:tcBorders>
              <w:top w:val="nil"/>
              <w:left w:val="nil"/>
              <w:bottom w:val="nil"/>
              <w:right w:val="nil"/>
            </w:tcBorders>
            <w:shd w:val="clear" w:color="000000" w:fill="FFFFFF"/>
            <w:noWrap/>
            <w:hideMark/>
          </w:tcPr>
          <w:p w14:paraId="4141026A" w14:textId="6981FBCA" w:rsidR="00AD1754" w:rsidRPr="00FF4B56" w:rsidRDefault="00AD1754" w:rsidP="00406364">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Number of cropping and livestock activities</w:t>
            </w:r>
          </w:p>
        </w:tc>
        <w:tc>
          <w:tcPr>
            <w:tcW w:w="1350" w:type="dxa"/>
            <w:tcBorders>
              <w:top w:val="nil"/>
              <w:left w:val="nil"/>
              <w:bottom w:val="nil"/>
              <w:right w:val="nil"/>
            </w:tcBorders>
            <w:shd w:val="clear" w:color="000000" w:fill="FFFFFF"/>
            <w:noWrap/>
            <w:hideMark/>
          </w:tcPr>
          <w:p w14:paraId="760668EF" w14:textId="32F7A4FA" w:rsidR="00C857C6" w:rsidRPr="00FF4B56" w:rsidRDefault="00C857C6" w:rsidP="00406364">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1</w:t>
            </w:r>
            <w:r w:rsidR="006D3733">
              <w:rPr>
                <w:rFonts w:ascii="Times New Roman" w:eastAsia="Times New Roman" w:hAnsi="Times New Roman" w:cs="Times New Roman"/>
                <w:color w:val="000000"/>
                <w:lang w:eastAsia="en-GB"/>
              </w:rPr>
              <w:t>3</w:t>
            </w:r>
          </w:p>
        </w:tc>
        <w:tc>
          <w:tcPr>
            <w:tcW w:w="5274" w:type="dxa"/>
            <w:tcBorders>
              <w:left w:val="nil"/>
              <w:right w:val="nil"/>
            </w:tcBorders>
            <w:shd w:val="clear" w:color="000000" w:fill="FFFFFF"/>
          </w:tcPr>
          <w:p w14:paraId="738B61C2" w14:textId="1439A046" w:rsidR="00C857C6" w:rsidRPr="00FF4B56" w:rsidRDefault="00DC4D74" w:rsidP="00406364">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6D3733">
              <w:rPr>
                <w:rFonts w:ascii="Times New Roman" w:eastAsia="Times New Roman" w:hAnsi="Times New Roman" w:cs="Times New Roman"/>
                <w:color w:val="000000"/>
                <w:lang w:eastAsia="en-GB"/>
              </w:rPr>
              <w:instrText xml:space="preserve"> ADDIN ZOTERO_ITEM CSL_CITATION {"citationID":"XxDbcaQE","properties":{"formattedCitation":"(Jacobi et al. 2015; Mutabazi et al. 2015; Duncan et al. 2017; Rigolot et al. 2017; Lopez-Ridaura et al. 2018; Williams et al. 2020a, b; Melvani et al. 2020; Panta et al. 2020; Mishra et al. 2021; Khan et al. 2021; Mugandani et al. 2022; Monjardino et al. 2022)","plainCitation":"(Jacobi et al. 2015; Mutabazi et al. 2015; Duncan et al. 2017; Rigolot et al. 2017; Lopez-Ridaura et al. 2018; Williams et al. 2020a, b; Melvani et al. 2020; Panta et al. 2020; Mishra et al. 2021; Khan et al. 2021; Mugandani et al. 2022; Monjardino et al. 2022)","noteIndex":0},"citationItems":[{"id":683,"uris":["http://zotero.org/users/7734624/items/8N5L7UIX"],"itemData":{"id":683,"type":"article-journal","abstract":"Cocoa production in Alto Beni, Bolivia, is a major source of income and is severely affected by climate change impacts and other stress factors. Resilient farming systems are, thus, important for local families. This study compares indicators for social–ecological resilience in 30 organic and 22 nonorganic cocoa farms of Alto Beni. Organic farms had a higher tree and crop diversity, higher yields and incomes, more social connectedness, and participated in more courses on cocoa cultivation. Resilience was enhanced by local farmers’ organizations, providing organic certification and supporting diversified agroforestry with seedlings and extension, going beyond basic organic certification requirements. Copyright © Taylor &amp; Francis Group, LLC.","container-title":"Agroecology and Sustainable Food Systems","DOI":"10.1080/21683565.2015.1039158","ISSN":"21683565","issue":"7","language":"English","note":"publisher: Bellwether Publishing, Ltd.","page":"798-823","title":"Farm Resilience in Organic and Nonorganic Cocoa Farming Systems in Alto Beni, Bolivia","volume":"39","author":[{"family":"Jacobi","given":"J."},{"family":"Schneider","given":"M."},{"family":"Pillco Mariscal","given":"M."},{"family":"Huber","given":"S."},{"family":"Weidmann","given":"S."},{"family":"Bottazzi","given":"P."},{"family":"Rist","given":"S."}],"issued":{"date-parts":[["2015"]]},"citation-key":"jacobi_etal_2015"}},{"id":684,"uris":["http://zotero.org/users/7734624/items/IIGIISUT"],"itemData":{"id":684,"type":"article-journal","abstract":"Given the projected climatic changes, building resilient agricultural systems is of vital significance in protecting vulnerable agrarian communities in sub-Saharan Africa. Under this scenario, the article attempts to identify a set of resilience-building adaptive strategies (intensification, diversification, alteration, migration, etc.) among farmers in Morogoro, Tanzania, and crafts a composite index of these strategies using a principal component analysis-based weighting scheme. The analysis also reveals the latent structure and internal correlations of actions intended to build resilience of the farming systems. Subsequently, the linkages of livelihood resources (natural, human, social and financial capitals) to the resilience-building strategies are examined. A multiple regression analysis is employed to link the composite index to variables representing the four capitals. The results bring quantitative evidence to the linkages and highlight the need of enhancing livelihood resources to enhance the ability to undertake adaptive strategies that denotes the ability to withstand stresses and shocks from climatic changes. Actions to improve human capital (awareness campaigns on climate change impacts as well as possible adaptive strategies), social capital (strengthening social networks, improving tenure security), financial capital (increasing credit availability) and natural capital (measures to enhance agricultural potential, support for adaptive action in areas with low agricultural potential) are needed in order to impart resilience to the farming systems against the changing climate. © 2015, Springer-Verlag Berlin Heidelberg.","container-title":"Regional Environmental Change","DOI":"10.1007/s10113-015-0800-7","ISSN":"14363798","issue":"7","language":"English","note":"publisher: Springer Verlag","page":"1259-1268","title":"Influence of livelihood resources on adaptive strategies to enhance climatic resilience of farm households in Morogoro, Tanzania: an indicator-based analysis","volume":"15","author":[{"family":"Mutabazi","given":"K.D."},{"family":"Amjath-Babu","given":"T.S."},{"family":"Sieber","given":"S."}],"issued":{"date-parts":[["2015"]]},"citation-key":"mutabazi_etal_2015"}},{"id":883,"uris":["http://zotero.org/users/7734624/items/9J9Q99MZ"],"itemData":{"id":883,"type":"article-journal","abstract":"Developing country deltas are important food producing areas and are home to large numbers of subsistence farmers. In particular, rice farmers dominate the populous deltas of South and Southeast Asia and face frequent climate hazards that have short- and long-term impacts on rice production and livelihoods. The aim of this study is to identify and explain proximal and ultimate factors (land access, cultural practices, and institutional support) that affect rice farmer resilience, that is, to explain why some farmers are more sensitive to climate shocks, why some farmers suffer long-term impacts from climate shocks, and what underlying “ultimate” factors reproduce this vulnerability over time. We undertake this analysis using qualitative interviews and household survey data from two districts in the Mahanadi Delta, Odisha, India. We show that climate hazards cause rice production shocks that are problematic for farmers because rice is predominantly used for household consumption in a context of unreliable off-farm income sources and a lack of insurance and credit. Our research emphasizes that “ultimate” drivers interact with the current mode of rice cultivation to reproduce a low resilience farming state. We argue that agricultural development interventions seeking to make rice farming more resilient to climate hazards should focus on boosting productivity and shock-resistance, but also be cognizant of the system within which rice farming is practiced and the contextual “ultimate” factors that reproduce vulnerability. © 2017 by the author(s).","container-title":"Ecology and Society","DOI":"10.5751/ES-09559-220403","ISSN":"17083087","issue":"4","language":"English","note":"publisher: Resilience Alliance","title":"Resilience to hazards: Rice farmers in the Mahanadi Delta, India","URL":"https://www.scopus.com/inward/record.uri?eid=2-s2.0-85040690432&amp;doi=10.5751%2fES-09559-220403&amp;partnerID=40&amp;md5=6e2c980a0807c4bd45914aca1feec990","volume":"22","author":[{"family":"Duncan","given":"J.M."},{"family":"Tompkins","given":"E.L."},{"family":"Dash","given":"J."},{"family":"Tripathy","given":"B."}],"issued":{"date-parts":[["2017"]]},"citation-key":"duncan_etal_2017"}},{"id":938,"uris":["http://zotero.org/users/7734624/items/6NDCKPE2"],"itemData":{"id":938,"type":"article-journal","abstract":"Smallholder crop–livestock farming systems have an important role to play for food security in Sub-Saharan Africa, but they have to cope with the effects of climate variability and change. In this study, we test the impacts of different interventions in two contrasting mixed farms in Northern Burkina Faso against the background of plausible current and future climate scenarios. For this purpose, we developed a dynamic farm-household modeling framework around existing tools: crop and animal production models APSIM and LivSim, the household model IAT and the climate generator Marksim. The two farms (a small and a larger) were selected and parameterized based on information collected in a household survey. Tested interventions included different crop fertilization and animal supplementation levels, mulching with crop residues and an alternative livestock feeding strategy. Baseline (2013) and a 2050 projection based on IPCC RCP 8.5 describe two climate scenarios (90years) for comparison. The maximum level of inputs increases farm energy production by +90% and +76% compared to the baseline for the small and the larger farm, respectively. Input levels maximizing net incomes are moderate, though higher than those currently used in both farms. The inter-annual distributions of net income show that the use of external inputs increases both upside and downside risks, i.e. the probability of getting both very high and very low results. This is because the interventions are more effective at increasing the highest yields in good years than at preventing the low production levels of some years. The 2050 climate scenario has a negative impact on energy production and potential income, especially for the scenarios with high input levels. Downside risks could partly explain why farmers do not currently use optimal input levels, and the results suggest that these constraints could intensify with climate change.","container-title":"Agricultural Systems","DOI":"10.1016/j.agsy.2015.12.017","ISSN":"0308-521X","journalAbbreviation":"Agricultural Systems","language":"en","page":"217-224","source":"ScienceDirect","title":"Interactions between intervention packages, climatic risk, climate change and food security in mixed crop–livestock systems in Burkina Faso","volume":"151","author":[{"family":"Rigolot","given":"C."},{"family":"Voil","given":"P.","non-dropping-particle":"de"},{"family":"Douxchamps","given":"S."},{"family":"Prestwidge","given":"D."},{"family":"Van Wijk","given":"M."},{"family":"Thornton","given":"P. K."},{"family":"Rodriguez","given":"D."},{"family":"Henderson","given":"B."},{"family":"Medina","given":"D."},{"family":"Herrero","given":"M."}],"issued":{"date-parts":[["2017",2,1]]},"citation-key":"rigolot_etal_2017"}},{"id":351,"uris":["http://zotero.org/users/7734624/items/VMQZYXSU"],"itemData":{"id":351,"type":"article-journal","abstract":"One of the great challenges in agricultural development and sustainable intensiﬁcation is the assurance of social equity in food security oriented interventions. Development practitioners, researchers, and policy makers alike could beneﬁt from prior insight into what interventions or environmental shocks might diﬀerentially aﬀect farmers' food security status, in order to move towards more informed and equitable development. We examined the food security status and livelihood activities of 269 smallholder farm households (HHs) in Bihar, India. Proceeding with a four-step analysis, we ﬁrst applied a multivariate statistical methodology to diﬀerentiate ﬁve primary farming system types. We next applied an indicator of food security in the form of HH potential food availability (PFA), and examined the contribution of crop, livestock, and on- and oﬀ-farm income generation to PFA within each farm HH type. Lastly, we applied scenario analysis to examine the potential impact of the adoption of ‘climate smart’ agricultural (CSA) practices in the form of conservation agriculture (CA) and improved livestock husbandry, and environmental shocks on HH PFA. Our results indicate that compared to livestock interventions, CA may hold considerable potential to boost HH PFA, though primarily for wealthier and medium-scale cereal farmers. These farm HH types were however considerably more vulnerable to food insecurity risks resulting from simulated drought, while part-time farmers and resource-poor agricultural laborers generating income from oﬀ-farm pursuits were comparatively less vulnerable, due in part to their more diversiﬁed income sources and potential to migrate in search of work. Our results underscore the importance of prior planning for development initiatives aimed at increasing smallholder food security while maintaining social equity, while providing a robust methodology to vet the implications of agricultural interventions on an ex ante basis.","container-title":"Agricultural Systems","DOI":"10.1016/j.agsy.2017.09.007","ISSN":"0308521X","journalAbbreviation":"Agricultural Systems","language":"en","page":"57-68","source":"DOI.org (Crossref)","title":"Climate smart agriculture, farm household typologies and food security","volume":"159","author":[{"family":"Lopez-Ridaura","given":"Santiago"},{"family":"Frelat","given":"Romain"},{"family":"Wijk","given":"Mark T.","non-dropping-particle":"van"},{"family":"Valbuena","given":"Diego"},{"family":"Krupnik","given":"Timothy J."},{"family":"Jat","given":"M.L."}],"issued":{"date-parts":[["2018",1]]},"citation-key":"lopez-ridaura_etal_2018"}},{"id":953,"uris":["http://zotero.org/users/7734624/items/JP6DPILY"],"itemData":{"id":953,"type":"article-journal","abstract":"Changing climate is posing considerable threats to agriculture, the most vulnerable sector, and to smallholder farming systems, the predominant agricultural livelihood activity in Africa. Study of specific systems enables clearer and more effective responses to be directly targeted for enhanced adaptation, but there is limited knowledge guiding specific subsector vulnerability assessments. We applied the Livelihood Vulnerability Index to understand and identify the nature and sources of vulnerability among smallholder horticultural farming households to climate variability in two districts in Ghana. A total of 480 households engaging in fruit and vegetable crop production were surveyed in Keta and Nsawam districts of Ghana. Data were collected on indicators for Livelihood Vulnerability Index components such as socio-demographic profiles, livelihood strategies, social networking, health, food, production, water, natural disasters, and climate variability. The vulnerability-contributing factors were aggregated in a composite index and differences were compared. The results indicate that smallholder horticultural farmers in Keta are more vulnerable in relation to high exposure and high sensitivity to climate variability, while smallholders in Nsawam are more vulnerable in terms of low capacity to adapt to climate variability. As it is the case for smallholder horticultural farming communities, the study suggests that Livelihood Vulnerability Index can be broadly applied to highlight potential areas for intervention and reduce the vulnerability of sector-specific farming communities within local and national levels. © 2018, Springer Nature B.V.","container-title":"Environment, Development and Sustainability","DOI":"10.1007/s10668-018-0292-y","ISSN":"1387585X","issue":"3","language":"English","note":"publisher: Springer","page":"2321-2342","title":"Assessing vulnerability of horticultural smallholders’ to climate variability in Ghana: applying the livelihood vulnerability approach","volume":"22","author":[{"family":"Williams","given":"P.A."},{"family":"Crespo","given":"O."},{"family":"Abu","given":"M."}],"issued":{"date-parts":[["2020"]]},"citation-key":"williams_etal_2020"}},{"id":946,"uris":["http://zotero.org/users/7734624/items/Z8RR7FML"],"itemData":{"id":946,"type":"article-journal","abstract":"Strategies aiming to increase the climate resilience of smallholder agricultural systems may not equally benefit all groups of the smallholder population. To reduce the potential for aggravating existing vulnerabilities, quantitative resilience analyses therefore need to acknowledge the possibility for inequities in the effects of proposed resilience-enhancing strategies (RESs). In this study, we develop, validate, and apply a household-level agent-based model to explore the equity of climate RESs in an Ethiopian smallholder farming system. Specifically, we study the potential effects of two RESs, involving access to seasonal climate forecasts and increases in non-farm job availability, on household food security under climate variability. We measure these effects in two distinct ways: “poverty-reduction,” which describes food security improvements relative to existing conditions; and “shock-absorption,” which isolates the strategies' effects on food security during and following a drought. Our results reveal that the different measures of resilience lead to divergent assessments of equity in policy effects. Relative to baseline levels of food security (poverty-reduction), both strategies disproportionately favor the most vulnerable households—i.e., they are equity-enhancing. Under this assessment, increases in job availability provide slightly stronger benefits to the most vulnerable households than climate forecasts. However, when isolating the effect of a drought (shock-absorption), both RESs benefit the moderately vulnerable households at the expense of the more vulnerable households—i.e., they are inequitable. These results demonstrate that a pure focus on poverty reduction may be insufficient to promote equitable development. Given the prevalence of climate shocks in smallholder systems, future studies of resilience should therefore jointly consider both poverty reduction and shock recovery, as well as the potential for inequity in the effects of RESs.","container-title":"Agricultural Systems","DOI":"10.1016/j.agsy.2020.102832","ISSN":"0308-521X","journalAbbreviation":"Agricultural Systems","language":"en","page":"102832","source":"ScienceDirect","title":"Resilience and equity: Quantifying the distributional effects of resilience-enhancing strategies in a smallholder agricultural system","title-short":"Resilience and equity","volume":"182","author":[{"family":"Williams","given":"T. G."},{"family":"Guikema","given":"S. D."},{"family":"Brown","given":"D. G."},{"family":"Agrawal","given":"A."}],"issued":{"date-parts":[["2020"]]},"citation-key":"williams_etal_2020a"}},{"id":947,"uris":["http://zotero.org/users/7734624/items/WGNDF85Y"],"itemData":{"id":947,"type":"article-journal","abstract":"Globally farmers are challenged by increasing climate variability and frequency of extreme events. However, traditional farming enterprises demonstrate resilience. To understand the underlying reasons, traditional farming enterprises in Sri Lanka were explored. Eighty-five farming enterprises were sampled across nine locations of the Intermediate agroecological zone using mixed methods. Farming enterprises incorporate On- and Off-farm livelihood components (graphical abstract). On-farm refers to landholdings with land uses including tree-dominant forest gardens (FGs), paddy, cash crops, swidden plots (chenas), plantations and livestock. Off-farm includes employment, trading and grants. We investigated how farming enterprises remained resilient, and which land use had the greatest adaptive capacity and best fulfilled household needs? Farming enterprises were assessed with respect to water availability, farmers' perspectives of climate variability, their socioeconomic characteristics, and land uses in landholdings. Land uses were characterised and compared by floristic diversity, crop: utility benefits, food functions, and those consumed and sold. Results revealed that most respondents were women, had primary school education and engaged full-time in farming. Cultivation was mainly rainfed. Farmers' perceptions of climate variability were supported by meteorological data showing that interannual and seasonal rainfall variability prevailed in the reference and preceding years. Farmers withstood these challenges owing to FGs, which were the oldest and dominant of all land uses, with larger area, highest plant and crop species richness, and crop diversity. Greater numbers of primary and secondary FG crops and products provided multiple household benefits. High floristic diversity, tree-dominance and multifunctionality gave FGs strong adaptive capacity. Nevertheless, farmers adopted multiple land uses with diverse landscape designs and Off-farm livelihood strategies simultaneously because this combination offered greater opportunities, buffered risk and increased resilience in farming enterprises. A clear implication of this study is that policymakers should engage with farmers when planning for a resilient agriculture in a variable climate scenario.","container-title":"Science of The Total Environment","DOI":"10.1016/j.scitotenv.2020.139120","ISSN":"0048-9697","journalAbbreviation":"Science of The Total Environment","language":"en","page":"139120","source":"ScienceDirect","title":"Multiple livelihood strategies and high floristic diversity increase the adaptive capacity and resilience of Sri Lankan farming enterprises","volume":"739","author":[{"family":"Melvani","given":"Kamal"},{"family":"Bristow","given":"Mila"},{"family":"Moles","given":"Jerry"},{"family":"Crase","given":"Beth"},{"family":"Kaestli","given":"Mirjam"}],"issued":{"date-parts":[["2020",10,15]]},"citation-key":"melvani_etal_2020"}},{"id":926,"uris":["http://zotero.org/users/7734624/items/98Y7UZEG"],"itemData":{"id":926,"type":"article-journal","abstract":"Erosion is a major concern of hill maize farming system. Watersheds with steep slope and fragile land are more prone to erosion. A perception based semi structured questionnaire survey was carried out in Thakani and Sindhukot of Melamchi municipality in Sindhupalchowk district to study relationships of erosion in maize field along with assessment of vulnerability and factors affecting adoption of prevention measures. Index ranking method and descriptive statistics were used to rank the perception of farmers pertaining to occurrence, causes and available control measures of erosion. Logit regression further assessed the determinants of adoption of erosion prevention measures where as vulnerability was assessed using integrated vulnerability assessment approach following Intergovernmental Panel on Climate Change (IPCC) guideline. Most of the surveyed farmers responded heavy rainfall as major cause of the erosion followed by weak geography whereas the intensity of erosion was moderately increasing. Majority of the respondents (72.5%) have not adopted any erosion prevention measures mainly due to no support from government and low income. Among various adaptation measures, most of the farmers have shifted cultivation time, improved drainage system and decreased weeding frequency. The logit regression showed that among the independent variables, income, education, gender, access to extension services and involvement in organizations are positively significant to the adoption decision. This implies farmers in prone area need support from government to adopt prevention measures. Low income household dependent on agriculture and marginal farmers were more vulnerable to erosion as they have low adaptive capacity and resilience power.","container-title":"SN APPLIED SCIENCES","DOI":"10.1007/s42452-020-03747-2","ISSN":"2523-3963","issue":"12","language":"English","note":"publisher-place: GEWERBESTRASSE 11, CHAM, CH-6330, SWITZERLAND\npublisher: SPRINGER INTERNATIONAL PUBLISHING AG\ntype: Article","title":"Soil erosion vulnerability and adaptation strategies in maize field of Sindhukhola sub-watershed region, Nepal","volume":"2","author":[{"family":"Panta","given":"Bibek"},{"family":"Bhandari","given":"Thaneshwar"},{"family":"Paudel","given":"Basanta"}],"issued":{"date-parts":[["2020",11,3]]},"citation-key":"panta_etal_2020"}},{"id":695,"uris":["http://zotero.org/users/7734624/items/7QDCJQTN"],"itemData":{"id":695,"type":"article-journal","abstract":"Given the challenges presented by climate change, water shortages, and land degradation, sustainable agriculture approaches that increase farming systems’ yield and resilience are required more than eve, particularly in rainfed areas.The findings reported here derive from a regional collaborative project (http://www.sri-lmb.ait.asia/). More than 15,000 farmers participated in the field trials located in 33 districts of 11 provinces in the Lower-Mekong-Basin (LMB). The number of experiments conducted was more than 1,500. Relative to the pre-project baseline survey, project data show that System of Rice Intensification practices helped to improve conditions across the LMB region. Average rice yield increased by 52%, net economic returns were raised by 70%. Labour productivity increased by 64%; water productivity by 61%; and the efficiency of mineral fertilizer-use rose by 163%. The total energy input required for farming operations was decreased by 34%, while emissions of greenhouse gas were significantly reduced, by 14% with irrigated rice production, and by 17% per-hectare in rainfed cropping.The results of this farmer-participatory research characterize climate-smart agricultural practices that can promote household-food-security and support market-oriented development at low cost, especially in rainfed areas that have not figured prominently in development plans. © 2021 Informa UK Limited, trading as Taylor &amp; Francis Group.","container-title":"International Journal of Agricultural Sustainability","DOI":"10.1080/14735903.2020.1866852","ISSN":"14735903","issue":"2","language":"English","note":"publisher: Taylor and Francis Ltd.","page":"152-174","title":"Food security and climate-smart agriculture in the lower Mekong basin of Southeast Asia: evaluating impacts of system of rice intensification with special reference to rainfed agriculture","volume":"19","author":[{"family":"Mishra","given":"A."},{"family":"Ketelaar","given":"J.W."},{"family":"Uphoff","given":"N."},{"family":"Whitten","given":"M."}],"issued":{"date-parts":[["2021"]]},"citation-key":"mishra_etal_2021"}},{"id":925,"uris":["http://zotero.org/users/7734624/items/9WJDHG8S"],"itemData":{"id":925,"type":"article-journal","abstract":"In developing countries like Pakistan, agriculture constitutes the primary source of support for the majority of rural and the adjacent urban population. Despite the large part it plays in the economy, it faces significant challenges caused by climate change, such as rising temperatures, floods, droughts, and yield losses. In Pakistan, rice, which is the second most essential food crop and livelihood source for the millions of farm households, is facing significant yield reduction due to climate change. It is pertinent to consider the vulnerabilities of farm households and related factors to create a climatic-resilient farming system. The current study is aimed at mapping the vulnerability of rice-growing communities of Punjab province while considering climatic challenges beyond temperatures and rainfall changes. The Climate Change Vulnerability Index (CCVI) was calculated for four rice-growing districts of Punjab province using the Intergovernmental Panel on Climate Change's three-indicator approach (sensitivity, exposition, and adaptive capacity). According to the results, farmers in the study area are highly vulnerable to climate change (CCVI 0.81). Specifically, the indices of vulnerability components showed that farmers have a high level of exposure (EVI 0.72) and susceptibility (SVI 0.59) to the climatic uncertainties with the least adaptive capacity (AVI 0.50). Further, the vulnerability analysis across different rice-growing regions showed that farmers, particularly in the low-yield region, are more vulnerable (EVI 0.73, SVI 0.61, AVI 0.49, CCVI 0.85) than the farmers in the high-yield region (EVI 0.71, SVI 0.58, AVI 0.51, CCVI 0.78). These findings imply that regional priority must be given despite the difference in farm performance to reduce production losses. Besides, climate-smart adaptation initiatives should be facilitated at the farm and regional levels through the implementation of appropriate policies and investment plans.","container-title":"ENVIRONMENTAL SCIENCE AND POLLUTION RESEARCH","DOI":"10.1007/s11356-020-10758-4","ISSN":"0944-1344","issue":"4, SI","language":"English","note":"publisher-place: TIERGARTENSTRASSE 17, D-69121 HEIDELBERG, GERMANY\npublisher: SPRINGER HEIDELBERG\ntype: Article","page":"4229-4244","title":"Mapping farmers' vulnerability to climate change and its induced hazards: evidence from the rice-growing zones of Punjab, Pakistan","volume":"28","author":[{"family":"Khan","given":"Nasir Abbas"},{"family":"Gao","given":"Qijie"},{"family":"Abid","given":"Muhammad"},{"family":"Shah","given":"Ashfaq Ahmad"}],"issued":{"date-parts":[["2021",1]]},"citation-key":"khan_etal_2021"}},{"id":3335,"uris":["http://zotero.org/users/7734624/items/77NJ6K3P"],"itemData":{"id":3335,"type":"article-journal","abstract":"The assessment of the vulnerability to drought hazards in smallholder farming systems dependent on rain-fed agriculture has recently gained global popularity, given the need to identify and prioritize climate hotspots for climate adaptation. Over the past decade, numerous studies have focused on vulnerability assessments with respect to drought and other meteorological hazards. Nonetheless, less research has focused on applying common measurement frameworks to compare vulnerability in different communities and the sources of such vulnerability. Yet, the crucial question remains: who is more vulnerable and what contributes to this vulnerability? This article is a case study for assessing the vulnerability to drought of smallholder farmers in two wards in Chivi district, Masvingo Province, Zimbabwe. This study is timely, as climate change is increasingly affecting populations dependent on rainfed agriculture. This assessment has been conducted by calculating the Livelihood Vulnerability Index (LVI) and Livelihood Vulnerability Index of the Intergovernmental Panel on Climate Change (LVI-IPCC). This empirical study used data from 258 households from the two wards and triangulated it through Key Informant Interviews and Focus Group Discussions. To calculate the LVI, twenty-six subcomponents made up of seven major components, including socio-demographic variables; livelihood strategies; social capital; access to food, health, and water; and exposure to drought, were considered. To calculate the LVI-IPCC, we combined the three contributing factors of vulnerability (exposure, sensitivity, and adaptive capacity). Our results indicate that the LVI forward 14 is statistically higher than for ward 19 (F = 21.960; p ≤ 0.01) due to high exposure to drought, food insecurity, and compromised social networks. Concerning the LVI-IPCC, ward 14 was significantly more vulnerable to the impacts of drought than ward 19 (F = 7.718; p ≤ 0.01). Thus, reducing exposure to drought through early warning systems, building diversified agricultural systems, and social networks are of high priority to reduce the vulnerability of the farmers.","container-title":"Climate","DOI":"10.3390/cli10120189","ISSN":"2225-1154","issue":"12","journalAbbreviation":"Climate","language":"en","license":"https://creativecommons.org/licenses/by/4.0/","page":"189","source":"DOI.org (Crossref)","title":"Mapping and Managing Livelihoods Vulnerability to Drought: A Case Study of Chivi District in Zimbabwe","title-short":"Mapping and Managing Livelihoods Vulnerability to Drought","volume":"10","author":[{"family":"Mugandani","given":"Raymond"},{"family":"Muziri","given":"Tavagwisa"},{"f</w:instrText>
            </w:r>
            <w:r w:rsidR="006D3733" w:rsidRPr="006D3733">
              <w:rPr>
                <w:rFonts w:ascii="Times New Roman" w:eastAsia="Times New Roman" w:hAnsi="Times New Roman" w:cs="Times New Roman"/>
                <w:color w:val="000000"/>
                <w:lang w:val="fr-FR" w:eastAsia="en-GB"/>
              </w:rPr>
              <w:instrText xml:space="preserve">amily":"Murewi","given":"Cyril Tapiwa Farai"},{"family":"Mugadza","given":"Amanda"},{"family":"Chitata","given":"Tavengwa"},{"family":"Sungirai","given":"Marvelous"},{"family":"Zirebwa","given":"Farai Solomon"},{"family":"Manhondo","given":"Petronella"},{"family":"Mupfiga","given":"Elvis Tawanda"},{"family":"Nyamutowa","given":"Charles"},{"family":"Mudereri","given":"Bester Tawona"},{"family":"Mugari","given":"Zvenyika Eckson"},{"family":"Mwadzingeni","given":"Liboster"},{"family":"Mafongoya","given":"Paramu"}],"issued":{"date-parts":[["2022",11,29]]},"citation-key":"mugandani_etal_2022"}},{"id":3360,"uris":["http://zotero.org/users/7734624/items/62UBYFFE"],"itemData":{"id":3360,"type":"article-journal","container-title":"Agricultural Systems","DOI":"10.1016/j.agsy.2022.103519","ISSN":"0308521X","journalAbbreviation":"Agricultural Systems","language":"en","page":"103519","source":"DOI.org (Crossref)","title":"Improved legume pastures increase economic value, resilience and sustainability of crop-livestock systems","volume":"203","author":[{"family":"Monjardino","given":"Marta"},{"family":"Loi","given":"Angelo"},{"family":"Thomas","given":"Dean T."},{"family":"Revell","given":"Clinton K."},{"family":"Flohr","given":"Bonnie M."},{"family":"Llewellyn","given":"Rick S."},{"family":"Norman","given":"Hayley C."}],"issued":{"date-parts":[["2022",12]]},"citation-key":"monjardino_etal_2022"}}],"schema":"https://github.com/citation-style-language/schema/raw/master/csl-citation.json"}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6D3733" w:rsidRPr="006D3733">
              <w:rPr>
                <w:rFonts w:ascii="Times New Roman" w:hAnsi="Times New Roman" w:cs="Times New Roman"/>
                <w:lang w:val="fr-FR"/>
              </w:rPr>
              <w:t xml:space="preserve">(Jacobi et al. 2015; Mutabazi et al. 2015; Duncan et al. 2017; Rigolot et al. 2017; Lopez-Ridaura et al. 2018; Williams et al. 2020a, b; Melvani et al. 2020; Panta et al. </w:t>
            </w:r>
            <w:r w:rsidR="006D3733" w:rsidRPr="006D3733">
              <w:rPr>
                <w:rFonts w:ascii="Times New Roman" w:hAnsi="Times New Roman" w:cs="Times New Roman"/>
                <w:lang w:val="fr-FR"/>
              </w:rPr>
              <w:lastRenderedPageBreak/>
              <w:t>2020; Mishra et al. 2021; Khan et al. 2021; Mugandani et al. 2022; Monjardino et al. 2022)</w:t>
            </w:r>
            <w:r w:rsidRPr="00FF4B56">
              <w:rPr>
                <w:rFonts w:ascii="Times New Roman" w:eastAsia="Times New Roman" w:hAnsi="Times New Roman" w:cs="Times New Roman"/>
                <w:color w:val="000000"/>
                <w:lang w:eastAsia="en-GB"/>
              </w:rPr>
              <w:fldChar w:fldCharType="end"/>
            </w:r>
          </w:p>
        </w:tc>
      </w:tr>
      <w:tr w:rsidR="00C857C6" w:rsidRPr="00AF6801" w14:paraId="3BD0D33E" w14:textId="35CA233D" w:rsidTr="00406364">
        <w:trPr>
          <w:trHeight w:val="288"/>
        </w:trPr>
        <w:tc>
          <w:tcPr>
            <w:tcW w:w="0" w:type="auto"/>
            <w:tcBorders>
              <w:top w:val="nil"/>
              <w:left w:val="nil"/>
              <w:bottom w:val="nil"/>
              <w:right w:val="nil"/>
            </w:tcBorders>
            <w:shd w:val="clear" w:color="000000" w:fill="FFFFFF"/>
          </w:tcPr>
          <w:p w14:paraId="58DA7677" w14:textId="77777777" w:rsidR="00C857C6" w:rsidRPr="00FF4B56" w:rsidRDefault="00C857C6" w:rsidP="00406364">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hideMark/>
          </w:tcPr>
          <w:p w14:paraId="34722366" w14:textId="4AB9E6DD" w:rsidR="00C857C6" w:rsidRPr="00FF4B56" w:rsidRDefault="00C857C6" w:rsidP="00406364">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val="fr-FR" w:eastAsia="en-GB"/>
              </w:rPr>
              <w:t> </w:t>
            </w:r>
          </w:p>
        </w:tc>
        <w:tc>
          <w:tcPr>
            <w:tcW w:w="5310" w:type="dxa"/>
            <w:tcBorders>
              <w:top w:val="nil"/>
              <w:left w:val="nil"/>
              <w:bottom w:val="nil"/>
              <w:right w:val="nil"/>
            </w:tcBorders>
            <w:shd w:val="clear" w:color="000000" w:fill="FFFFFF"/>
            <w:noWrap/>
            <w:hideMark/>
          </w:tcPr>
          <w:p w14:paraId="19C4DEFE" w14:textId="06659655" w:rsidR="00C857C6" w:rsidRPr="00FF4B56" w:rsidRDefault="00C857C6" w:rsidP="00406364">
            <w:pPr>
              <w:spacing w:after="0" w:line="360" w:lineRule="auto"/>
              <w:rPr>
                <w:rFonts w:ascii="Times New Roman" w:eastAsia="Times New Roman" w:hAnsi="Times New Roman" w:cs="Times New Roman"/>
                <w:color w:val="000000"/>
                <w:lang w:val="fr-FR" w:eastAsia="en-GB"/>
              </w:rPr>
            </w:pPr>
            <w:proofErr w:type="spellStart"/>
            <w:r w:rsidRPr="00FF4B56">
              <w:rPr>
                <w:rFonts w:ascii="Times New Roman" w:eastAsia="Times New Roman" w:hAnsi="Times New Roman" w:cs="Times New Roman"/>
                <w:color w:val="000000"/>
                <w:lang w:val="fr-FR" w:eastAsia="en-GB"/>
              </w:rPr>
              <w:t>Number</w:t>
            </w:r>
            <w:proofErr w:type="spellEnd"/>
            <w:r w:rsidRPr="00FF4B56">
              <w:rPr>
                <w:rFonts w:ascii="Times New Roman" w:eastAsia="Times New Roman" w:hAnsi="Times New Roman" w:cs="Times New Roman"/>
                <w:color w:val="000000"/>
                <w:lang w:val="fr-FR" w:eastAsia="en-GB"/>
              </w:rPr>
              <w:t xml:space="preserve"> of production </w:t>
            </w:r>
            <w:proofErr w:type="spellStart"/>
            <w:r w:rsidRPr="00FF4B56">
              <w:rPr>
                <w:rFonts w:ascii="Times New Roman" w:eastAsia="Times New Roman" w:hAnsi="Times New Roman" w:cs="Times New Roman"/>
                <w:color w:val="000000"/>
                <w:lang w:val="fr-FR" w:eastAsia="en-GB"/>
              </w:rPr>
              <w:t>activities</w:t>
            </w:r>
            <w:proofErr w:type="spellEnd"/>
          </w:p>
        </w:tc>
        <w:tc>
          <w:tcPr>
            <w:tcW w:w="1350" w:type="dxa"/>
            <w:tcBorders>
              <w:top w:val="nil"/>
              <w:left w:val="nil"/>
              <w:bottom w:val="nil"/>
              <w:right w:val="nil"/>
            </w:tcBorders>
            <w:shd w:val="clear" w:color="000000" w:fill="FFFFFF"/>
            <w:noWrap/>
            <w:hideMark/>
          </w:tcPr>
          <w:p w14:paraId="30AB6F12" w14:textId="4D3D5614" w:rsidR="00C857C6" w:rsidRPr="00FF4B56" w:rsidRDefault="00EF7700" w:rsidP="00406364">
            <w:pPr>
              <w:spacing w:after="0" w:line="360" w:lineRule="auto"/>
              <w:rPr>
                <w:rFonts w:ascii="Times New Roman" w:eastAsia="Times New Roman" w:hAnsi="Times New Roman" w:cs="Times New Roman"/>
                <w:color w:val="000000"/>
                <w:lang w:val="fr-FR" w:eastAsia="en-GB"/>
              </w:rPr>
            </w:pPr>
            <w:r>
              <w:rPr>
                <w:rFonts w:ascii="Times New Roman" w:eastAsia="Times New Roman" w:hAnsi="Times New Roman" w:cs="Times New Roman"/>
                <w:color w:val="000000"/>
                <w:lang w:val="fr-FR" w:eastAsia="en-GB"/>
              </w:rPr>
              <w:t>9</w:t>
            </w:r>
          </w:p>
        </w:tc>
        <w:tc>
          <w:tcPr>
            <w:tcW w:w="5274" w:type="dxa"/>
            <w:tcBorders>
              <w:left w:val="nil"/>
              <w:right w:val="nil"/>
            </w:tcBorders>
            <w:shd w:val="clear" w:color="000000" w:fill="FFFFFF"/>
          </w:tcPr>
          <w:p w14:paraId="26B6A245" w14:textId="797CA38D" w:rsidR="00C857C6" w:rsidRPr="00807AB0" w:rsidRDefault="00991988" w:rsidP="00406364">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6D3733">
              <w:rPr>
                <w:rFonts w:ascii="Times New Roman" w:eastAsia="Times New Roman" w:hAnsi="Times New Roman" w:cs="Times New Roman"/>
                <w:color w:val="000000"/>
                <w:lang w:val="fr-FR" w:eastAsia="en-GB"/>
              </w:rPr>
              <w:instrText xml:space="preserve"> ADDIN ZOTERO_ITEM CSL_CITATION {"citationID":"x6aezKVa","properties":{"formattedCitation":"(Rotz et al. 2016; Vigani and Kathage 2019; Dobkowitz et al. 2020; Omerkhil et al. 2020; Ben Nasr et al. 2021; Hossard et al. 2021; Amadu et al. 2021; Koch et al. 2022; Asrari et al. 2022; Bhowmik et al. 2023)","plainCitation":"(Rotz et al. 2016; Vigani and Kathage 2019; Dobkowitz et al. 2020; Omerkhil et al. 2020; Ben Nasr et al. 2021; Hossard et al. 2021; Amadu et al. 2021; Koch et al. 2022; Asrari et al. 2022; Bhowmik et al. 2023)","noteIndex":0},"citationItems":[{"id":702,"uris":["http://zotero.org/users/7734624/items/KAUKSQW5"],"itemData":{"id":702,"type":"article-journal","abstract":"Process-level modeling at the farm scale provides a tool for evaluating strategies for both mitigating greenhouse gas emissions and adapting to climate change. The Integrated Farm System Model (IFSM) simulates representative crop, beef, or dairy farms over many years of weather to predict performance, economics, and environmental impacts including various emissions and a farm-gate life cycle assessment of carbon, energy, water, and reactive nitrogen footprints of the feed, meat, or milk produced. To illustrate use of the model, a representative dairy farm in central New York was simulated over 25 years of recent historical weather to determine the environmental benefits and economic costs of alternative manure handling strategies. Use of an enclosed manure storage with a flare to burn the methane produced decreased the farm-gate carbon footprint of the milk produced by 20% at an increased annual cost of $42 cow(-1). Using an anaerobic digester to produce gas and electricity used on the farm reduced the carbon footprint by 19% and reduced profitability by $56 cow(-1). The addition of subsurface injection of manure along with a reduction in N fertilizer use greatly reduced ammonia emission from the farm and increased annual profit by $9 cow(-1). Climate change is projected to affect many aspects of dairy production, including growing season length, crop growth processes, harvest timing and losses, cattle performance, nutrient emissions and losses, and ultimately farm profitability. Climate projections for high and low emission scenarios were downscaled from nine general circulation models. IFSM was then used to simulate the same New York dairy farm over 25-year periods using recent, mid-century, and late century climate projected by each of the climate models. Simulations were done without and with adaptation through modified crop varieties and planting and harvest dates. Forage production normally increased with projected climate change and corn grain yields decreased, and together feed production was maintained. Warmer temperatures increased volatile loss of ammonia N, and changes in precipitation patterns increased nutrient runoff losses in surface water. The reactive N footprint of the milk produced was increased by 2% to 11% with the change in climate, but other environmental footprints were relatively unaffected. With appropriate adaptation to climate change, annual farm profitability increased by about $100 cow(-1). However, for the high emission, late century projection, profit decreased by $10 cow(-1) and the risk or annual variance in profit increased by 34%, reflecting greater annual variation in crop and animal productivity. Whole-farm and climate models provide useful tools for studying the benefits and costs of greenhouse gas mitigation and the adaptation of farms to changing climate.","container-title":"TRANSACTIONS OF THE ASABE","DOI":"10.13031/trans.59.11594","ISSN":"2151-0032","issue":"6","language":"English","note":"publisher-place: 2950 NILES RD, ST JOSEPH, MI 49085-9659 USA\npublisher: AMER SOC AGRICULTURAL &amp; BIOLOGICAL ENGINEERS\ntype: Article","page":"1771-1781","title":"EVALUATING GREENHOUSE GAS MITIGATION AND CLIMATE CHANGE ADAPTATION IN DAIRY PRODUCTION USING FARM SIMULATION","volume":"59","author":[{"family":"Rotz","given":"C. A."},{"family":"Skinner","given":"R. H."},{"family":"Stoner","given":"A. M. K."},{"family":"Hayhoe","given":"K."}],"issued":{"date-parts":[["2016"]]},"citation-key":"rotz_etal_2016"}},{"id":921,"uris":["http://zotero.org/users/7734624/items/68EN98Y2"],"itemData":{"id":921,"type":"article-journal","abstract":"The impact of risk management on farm productivity is still being debated. Using survey data from French and Hungarian farms, we estimate the impacts of different risk management strategies and portfolios under varying levels of risk on total factor productivity. Results from a multinomial endogenous switching regression model show that the impacts can be positive or negative, depending on the risk management strategies adopted, the structure of the farming system, and the probability of risks. The choice of risk management strategies influences the farm's production costs and the allocation of resources. More complex risk management portfolios tend to have larger negative productivity impacts due to higher costs and the larger amount of resources subtracted from the production activity. Our results have important implications for risk management policies.","container-title":"American Journal of Agricultural Economics","DOI":"10.1093/ajae/aaz020","ISSN":"1467-8276","issue":"5","language":"en","note":"_eprint: https://onlinelibrary.wiley.com/doi/pdf/10.1093/ajae/aaz020","page":"1432-1454","source":"Wiley Online Library","title":"To Risk or Not to Risk? Risk Management and Farm Productivity","title-short":"To Risk or Not to Risk?","volume":"101","author":[{"family":"Vigani","given":"Mauro"},{"family":"Kathage","given":"Jonas"}],"issued":{"date-parts":[["2019"]]},"citation-key":"vigani_kathage_2019"}},{"id":700,"uris":["http://zotero.org/users/7734624/items/PY55PIZ2"],"itemData":{"id":700,"type":"article-journal","abstract":"Climate change heavily impacts smallholder farming worldwide. Cross-scale vulnerability assessment has a high potential to identify nested measures for reducing vulnerability of smallholder farmers. Despite their high practical value, there are currently only limited examples of cross-scale assessments. The presented study aims at assessing the vulnerability of smallholder farmers in the Northeast of Brazil across three scales: regional, farm and field scale. In doing so, it builds on existing vulnerability indices and compares results between indices at the same scale and across scales. In total, six independent indices are tested, two at each scale. The calculated indices include social, economic and ecological indicators, based on municipal statistics, meteorological data, farm interviews and soil analyses. Subsequently, indices and overlapping indicators are normalized for intra-and cross-scale comparison. The results show considerable differences between indices across and within scales. They indicate different activities to reduce vulnerability of smallholder farmers. Major shortcomings arise from the conceptual differences between the indices. We therefore recommend the development of hierarchical indices, which are adapted to local conditions and contain more overlapping indicators for a better understanding of the nested vulnerabilities of smallholder farmers. © 2020 by the authors.","container-title":"Sustainability (Switzerland)","DOI":"10.3390/su12093787","ISSN":"20711050","issue":"9","language":"English","note":"publisher: MDPI","title":"Cross-scale vulnerability assessment for smallholder farming: A case study from the northeast of Brazil","URL":"https://www.scopus.com/inward/record.uri?eid=2-s2.0-85085964908&amp;doi=10.3390%2fsu12093787&amp;partnerID=40&amp;md5=1b75293eec4b8771c893cebceaa1b88e","volume":"12","author":[{"family":"Dobkowitz","given":"S."},{"family":"Walz","given":"A."},{"family":"Baroni","given":"G."},{"family":"Pérez-Marin","given":"A.M."}],"issued":{"date-parts":[["2020"]]},"citation-key":"dobkowitz_etal_2020"}},{"id":884,"uris":["http://zotero.org/users/7734624/items/EW86LG9V"],"itemData":{"id":884,"type":"article-journal","abstract":"Smallholder farmers in Afghanistan are already facing various risks in agricultural production due to past continuous insurgencies. Climate change is likely to amplify the risk and make them even more vulnerable. The present study attempted to evaluate the vulnerability profiles of smallholder farmers due to climate change using the IPCC Framework. Primary data on relevant parameters for assessing climate change-led social vulnerability in the region were collected by classifying study region into two zones: the plain and the hills of Yangi Qala District in Takhar province, Afghanistan. Thirteen villages from each zone were selected at random, and face-to-face interviews were conducted with ten randomly selected households in each of the selected villages in both zones based on a pre-tested questionnaire. The questionnaire contained indicators for all three dimensions of vulnerability: exposure, sensitivity and adaptive capacity. The collected data were subjected to a proposed vulnerability index, after estimating the indices of the three dimensions of vulnerability. The Iyenger and Sudershan weighting method was used to assess the contribution of each vulnerability dimension. Vulnerability was classified according to different categories based on beta distribution to evaluate the villages’ vulnerability status. The results showed that about 23% of all 26 sampled villages in both zones had low exposure, 26% moderate exposure and 51% high exposure to climate-change hazards and extreme weather events. High sensitivity was observed in 51%, moderate sensitivity in 7%, and low sensitivity in 42% of villages. High adaptive capacity to climate change was observed in 38% of villages, 19% were moderately adaptive and 42% showed a low adaptive capacity. High vulnerability was observed in 50% of villages, 4% were moderately vulnerable, and 46% had low vulnerability. A high proportion of smallholder farmers in the hilly zone in the sampled district were highly vulnerable, exposed and sensitive with a low adaptive capacity to climate change compared to the plain zone. The high vulnerability in the hilly zone was attributed to limited resources with a low adjustment capability to counter the disturbances, especially in crop cultivation, in response to climate change. A handful of low-cost and local approaches such as improving farmer extension services, introducing small-scale local infrastructure projects, reinforcing informal safety nets and protecting natural ecosystems could be viable cost-effective options that would also be sustainable given their low recurring costs and the limited maintenance required. © 2019 Elsevier Ltd","container-title":"Ecological Indicators","DOI":"10.1016/j.ecolind.2019.105863","ISSN":"1470160X","language":"English","note":"publisher: Elsevier B.V.","title":"Climate change vulnerability and adaptation strategies for smallholder farmers in Yangi Qala District, Takhar, Afghanistan","URL":"https://www.scopus.com/inward/record.uri?eid=2-s2.0-85074213101&amp;doi=10.1016%2fj.ecolind.2019.105863&amp;partnerID=40&amp;md5=f5d3dc5880670f5df717e2c3344acd81","volume":"110","author":[{"family":"Omerkhil","given":"N."},{"family":"Chand","given":"T."},{"family":"Valente","given":"D."},{"family":"Alatalo","given":"J.M."},{"family":"Pandey","given":"R."}],"issued":{"date-parts":[["2020"]]},"citation-key":"omerkhil_etal_2020"}},{"id":698,"uris":["http://zotero.org/users/7734624/items/X9APIH2K"],"itemData":{"id":698,"type":"article-journal","abstract":"The agricultural sector plays a strategic role in the Tunisian economy, particularly in rural areas. Resilience and adaptation to climate change are the main challenges facing this sector. This paper aims to analyze climate change resilience of agricultural production systems in Tunisian semi-arid areas and to propose options for policy interventions. A path Structural Equation Model (SEM) was used to predict the resilience of these systems using the partial least squares method (PLS). Results show that farming systems in Tunisian semi-arid areas remain threatened against negative impact of climate change since 80% of farms in the sample have shown low resilience levels. The most important determinants of agricultural systems’ resilience are farmers’ income and access to food, adaptive capacity, and access to productive and non-productive assets. Results indicate also that integrated systems, income diversification, along with cooperation and collective action are the key options to enhance resilience of rural households and farming systems. It is recommended to raise awareness of stakeholders and decision-makers about climate change challenges and to develop integrated approaches to better engaging with local stakeholders and institutions in adaptation programs and strategies development. © 2021, The Author(s), under exclusive licence to Springer-Verlag GmbH, DE part of Springer Nature.","container-title":"Environmental Science and Pollution Research","DOI":"10.1007/s11356-021-13089-0","ISSN":"09441344","issue":"34","language":"English","note":"publisher: Springer Science and Business Media Deutschland GmbH","page":"46797-46808","title":"Assessing and building climate change resilience of farming systems in Tunisian semi-arid areas","volume":"28","author":[{"family":"Ben Nasr","given":"J."},{"family":"Chaar","given":"H."},{"family":"Bouchiba","given":"F."},{"family":"Zaibet","given":"L."}],"issued":{"date-parts":[["2021"]]},"citation-key":"bennasr_etal_2021"}},{"id":900,"uris":["http://zotero.org/users/7734624/items/ESZ3PZ8X"],"itemData":{"id":900,"type":"article-journal","abstract":"The Mediterranean region is expected to be a hotspot for climate change, making the resilience of farming systems a major challenge. Some studies have used quantitative models at the farm scale to analyze the resilience of farming systems but with little involvement of stakeholders. We used a participatory approach with local actors on the Saïs plain of Morocco to design possible future states and qualitatively assess the resilience of typical farm types (FTs) experiencing major change. Our approach combined individual interviews of farmers and local actors, mainly public, with participatory collective meetings to identify representative FTs and their performance, project their evolutions and future performance in the face of change, and evaluate their resilience. Performance, defined according to literature, interviews and meetings, included different types of capital, income, yields, markets, support of public policies, and water access. Four FTs were considered: highly irrigated horticulture (FT1), rainfed cereals (FT2), partly irrigated cereal-legumes (FT3), and mostly irrigated fruit-tree/horticulture (FT4). The primary driver for FT2 and FT3 was climate change; for FT1 and FT4, it was limiting access to water resources. Participants designed more diversified systems for all FTs in relation to those changes. Rankings of FT performance did not change between current and future states. Performance did not evolve significantly, but FT4 was seen as the most resilient and FT2 the least. These qualitative results differ somewhat from other studies mobilizing quantitative approaches, but they highlight the potential of local adaptation to limit the impacts of global change on vulnerable agriculture. © 2021, The Author(s), under exclusive licence to Springer-Verlag GmbH Germany, part of Springer Nature.","container-title":"Regional Environmental Change","DOI":"10.1007/s10113-021-01764-4","ISSN":"14363798","issue":"2","language":"English","note":"publisher: Springer Science and Business Media Deutschland GmbH","title":"Assessing the resilience of farming systems on the Saïs plain, Morocco","URL":"https://www.scopus.com/inward/record.uri?eid=2-s2.0-85103359646&amp;doi=10.1007%2fs10113-021-01764-4&amp;partnerID=40&amp;md5=924a3e87533f83436132d881f83b85fc","volume":"21","author":[{"family":"Hossard","given":"L."},{"family":"Fadlaoui","given":"A."},{"family":"Ricote","given":"E."},{"family":"Belhouchette","given":"H."}],"issued":{"date-parts":[["2021"]]},"citation-key":"hossard_etal_2021"}},{"id":3351,"uris":["http://zotero.org/users/7734624/items/C2RG32UR"],"itemData":{"id":3351,"type":"article-journal","container-title":"Agricultural Systems","DOI":"10.1016/j.agsy.2021.103230","ISSN":"0308521X","journalAbbreviation":"Agricultural Systems","language":"en","page":"103230","source":"DOI.org (Crossref)","title":"Soil health and grain yield impacts of climate resilient agriculture projects: Evidence from southern Malawi","title-short":"Soil health and grain yield impacts of climate resilient agriculture projects","volume":"193","author":[{"family":"Amadu","given":"Festus O."},{"family":"McNamara","given":"Paul E."},{"family":"Davis","given":"Kristin E."}],"issued":{"date-parts":[["2021",10]]},"citation-key":"amadu_etal_2021"}},{"id":3384,"uris":["http://zotero.org/users/7734624/items/TF3JUWPA"],"itemData":{"id":3384,"type":"article-journal","container-title":"Agroecology and Sustainable Food Systems","DOI":"10.1080/21683565.2022.2067930","ISSN":"2168-3565, 2168-3573","issue":"5","journalAbbreviation":"Agroecology and Sustainable Food Systems","language":"en","page":"672-711","source":"DOI.org (Crossref)","title":"Climate change and shifting land-use: Consequences for smallholder agroforestry systems and rural livelihoods in the southwest Ethiopian Highlands","title-short":"Climate change and shifting land-use","volume":"46","author":[{"family":"Koch","given":"Olef"},{"family":"Ibisch","given":"Pierre L."},{"family":"Bloch","given":"Ralf"}],"issued":{"date-parts":[["2022",5,28]]},"citation-key":"koch_etal_2022"}},{"id":3385,"uris":["http://zotero.org/users/7734624/items/DD4RVZRY"],"itemData":{"id":3385,"type":"article-journal","container-title":"Journal of Environmental Studies and Sciences","DOI":"10.1007/s13412-022-00763-z","ISSN":"2190-6483, 2190-6491","issue":"3","journalAbbreviation":"J Environ Stud Sci","language":"en","page":"547-565","source":"DOI.org (Crossref)","title":"Modeling resilience behavior against climate change with food security approach","volume":"12","author":[{"family":"Asrari","given":"Amirreza"},{"family":"Omidi Najafabadi","given":"Maryam"},{"family":"Farajollah Hosseini","given":"Jamal"}],"issued":{"date-parts":[["2022",9]]},"citation-key":"asrari_etal_2022"}},{"id":3305,"uris":["http://zotero.org/users/7734624/items/S53XKB6R"],"itemData":{"id":3305,"type":"article-journal","container-title":"Heliyon","DOI":"10.1016/j.heliyon.2023.e13935","ISSN":"24058440","issue":"3","journalAbbreviation":"Heliyon","language":"en","page":"e13935","source":"DOI.org (Crossref)","title":"Salinity extrusion and resilience of coastal aquaculture to the climatic changes in the southwest region of Bangladesh","volume":"9","author":[{"family":"Bhowmik","given":"Balai Chandra"},{"family":"Rima","given":"Nazmun Naher"},{"family":"Gosh","given":"Kamal"},{"family":"Hossain","given":"Md Abul"},{"family":"Murray","given":"Francis J."},{"family":"Little","given":"David C."},{"family":"Mamun","given":"Abdullah-Al"}],"issued":{"date-parts":[["2023",3]]},"citation-key":"bhowmik_etal_2023"}}],"schema":"https://github.com/citation-style-language/schema/raw/master/csl-citation.json"}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6D3733" w:rsidRPr="006D3733">
              <w:rPr>
                <w:rFonts w:ascii="Times New Roman" w:hAnsi="Times New Roman" w:cs="Times New Roman"/>
                <w:lang w:val="fr-FR"/>
              </w:rPr>
              <w:t>(Rotz et al. 2016; Vigani and Kathage 2019; Dobkowitz et al. 2020; Omerkhil et al. 2020; Ben Nasr et al. 2021; Hossard et al. 2021; Amadu et al. 2021; Koch et al. 2022; Asrari et al. 2022; Bhowmik et al. 2023)</w:t>
            </w:r>
            <w:r w:rsidRPr="00FF4B56">
              <w:rPr>
                <w:rFonts w:ascii="Times New Roman" w:eastAsia="Times New Roman" w:hAnsi="Times New Roman" w:cs="Times New Roman"/>
                <w:color w:val="000000"/>
                <w:lang w:eastAsia="en-GB"/>
              </w:rPr>
              <w:fldChar w:fldCharType="end"/>
            </w:r>
          </w:p>
        </w:tc>
      </w:tr>
      <w:tr w:rsidR="00C857C6" w:rsidRPr="00AF6801" w14:paraId="02926A1E" w14:textId="4BA071E8" w:rsidTr="00EF7700">
        <w:trPr>
          <w:trHeight w:val="288"/>
        </w:trPr>
        <w:tc>
          <w:tcPr>
            <w:tcW w:w="0" w:type="auto"/>
            <w:tcBorders>
              <w:top w:val="nil"/>
              <w:left w:val="nil"/>
              <w:bottom w:val="nil"/>
              <w:right w:val="nil"/>
            </w:tcBorders>
            <w:shd w:val="clear" w:color="000000" w:fill="FFFFFF"/>
          </w:tcPr>
          <w:p w14:paraId="0162DAB5" w14:textId="77777777" w:rsidR="00C857C6" w:rsidRPr="00807AB0" w:rsidRDefault="00C857C6" w:rsidP="00406364">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right w:val="nil"/>
            </w:tcBorders>
            <w:shd w:val="clear" w:color="000000" w:fill="FFFFFF"/>
            <w:noWrap/>
            <w:hideMark/>
          </w:tcPr>
          <w:p w14:paraId="5544B2DC" w14:textId="264D5FD9" w:rsidR="00C857C6" w:rsidRPr="00807AB0" w:rsidRDefault="00C857C6" w:rsidP="00406364">
            <w:pPr>
              <w:spacing w:after="0" w:line="360" w:lineRule="auto"/>
              <w:rPr>
                <w:rFonts w:ascii="Times New Roman" w:eastAsia="Times New Roman" w:hAnsi="Times New Roman" w:cs="Times New Roman"/>
                <w:color w:val="000000"/>
                <w:lang w:val="fr-FR" w:eastAsia="en-GB"/>
              </w:rPr>
            </w:pPr>
            <w:r w:rsidRPr="00807AB0">
              <w:rPr>
                <w:rFonts w:ascii="Times New Roman" w:eastAsia="Times New Roman" w:hAnsi="Times New Roman" w:cs="Times New Roman"/>
                <w:color w:val="000000"/>
                <w:lang w:val="fr-FR" w:eastAsia="en-GB"/>
              </w:rPr>
              <w:t> </w:t>
            </w:r>
          </w:p>
        </w:tc>
        <w:tc>
          <w:tcPr>
            <w:tcW w:w="5310" w:type="dxa"/>
            <w:tcBorders>
              <w:top w:val="nil"/>
              <w:left w:val="nil"/>
              <w:right w:val="nil"/>
            </w:tcBorders>
            <w:shd w:val="clear" w:color="000000" w:fill="FFFFFF"/>
            <w:noWrap/>
            <w:hideMark/>
          </w:tcPr>
          <w:p w14:paraId="478E8ABF" w14:textId="69405EA1" w:rsidR="00C857C6" w:rsidRPr="00E75E02" w:rsidRDefault="00AD1754" w:rsidP="00406364">
            <w:pPr>
              <w:spacing w:after="0" w:line="360" w:lineRule="auto"/>
              <w:rPr>
                <w:rFonts w:ascii="Times New Roman" w:eastAsia="Times New Roman" w:hAnsi="Times New Roman" w:cs="Times New Roman"/>
                <w:color w:val="000000"/>
                <w:lang w:val="fr-FR" w:eastAsia="en-GB"/>
              </w:rPr>
            </w:pPr>
            <w:proofErr w:type="spellStart"/>
            <w:r w:rsidRPr="00E75E02">
              <w:rPr>
                <w:rFonts w:ascii="Times New Roman" w:eastAsia="Times New Roman" w:hAnsi="Times New Roman" w:cs="Times New Roman"/>
                <w:color w:val="000000"/>
                <w:lang w:val="fr-FR" w:eastAsia="en-GB"/>
              </w:rPr>
              <w:t>Number</w:t>
            </w:r>
            <w:proofErr w:type="spellEnd"/>
            <w:r w:rsidRPr="00E75E02">
              <w:rPr>
                <w:rFonts w:ascii="Times New Roman" w:eastAsia="Times New Roman" w:hAnsi="Times New Roman" w:cs="Times New Roman"/>
                <w:color w:val="000000"/>
                <w:lang w:val="fr-FR" w:eastAsia="en-GB"/>
              </w:rPr>
              <w:t xml:space="preserve"> of </w:t>
            </w:r>
            <w:proofErr w:type="spellStart"/>
            <w:r w:rsidRPr="00E75E02">
              <w:rPr>
                <w:rFonts w:ascii="Times New Roman" w:eastAsia="Times New Roman" w:hAnsi="Times New Roman" w:cs="Times New Roman"/>
                <w:color w:val="000000"/>
                <w:lang w:val="fr-FR" w:eastAsia="en-GB"/>
              </w:rPr>
              <w:t>income</w:t>
            </w:r>
            <w:proofErr w:type="spellEnd"/>
            <w:r w:rsidRPr="00E75E02">
              <w:rPr>
                <w:rFonts w:ascii="Times New Roman" w:eastAsia="Times New Roman" w:hAnsi="Times New Roman" w:cs="Times New Roman"/>
                <w:color w:val="000000"/>
                <w:lang w:val="fr-FR" w:eastAsia="en-GB"/>
              </w:rPr>
              <w:t xml:space="preserve"> </w:t>
            </w:r>
            <w:proofErr w:type="spellStart"/>
            <w:r w:rsidRPr="00E75E02">
              <w:rPr>
                <w:rFonts w:ascii="Times New Roman" w:eastAsia="Times New Roman" w:hAnsi="Times New Roman" w:cs="Times New Roman"/>
                <w:color w:val="000000"/>
                <w:lang w:val="fr-FR" w:eastAsia="en-GB"/>
              </w:rPr>
              <w:t>generating</w:t>
            </w:r>
            <w:proofErr w:type="spellEnd"/>
            <w:r w:rsidRPr="00E75E02">
              <w:rPr>
                <w:rFonts w:ascii="Times New Roman" w:eastAsia="Times New Roman" w:hAnsi="Times New Roman" w:cs="Times New Roman"/>
                <w:color w:val="000000"/>
                <w:lang w:val="fr-FR" w:eastAsia="en-GB"/>
              </w:rPr>
              <w:t xml:space="preserve"> </w:t>
            </w:r>
            <w:proofErr w:type="spellStart"/>
            <w:r w:rsidRPr="00E75E02">
              <w:rPr>
                <w:rFonts w:ascii="Times New Roman" w:eastAsia="Times New Roman" w:hAnsi="Times New Roman" w:cs="Times New Roman"/>
                <w:color w:val="000000"/>
                <w:lang w:val="fr-FR" w:eastAsia="en-GB"/>
              </w:rPr>
              <w:t>activities</w:t>
            </w:r>
            <w:proofErr w:type="spellEnd"/>
          </w:p>
        </w:tc>
        <w:tc>
          <w:tcPr>
            <w:tcW w:w="1350" w:type="dxa"/>
            <w:tcBorders>
              <w:top w:val="nil"/>
              <w:left w:val="nil"/>
              <w:right w:val="nil"/>
            </w:tcBorders>
            <w:shd w:val="clear" w:color="000000" w:fill="FFFFFF"/>
            <w:noWrap/>
            <w:hideMark/>
          </w:tcPr>
          <w:p w14:paraId="426D9FA6" w14:textId="7AA1BB90" w:rsidR="00C857C6" w:rsidRPr="00E75E02" w:rsidRDefault="00EF7700" w:rsidP="00406364">
            <w:pPr>
              <w:spacing w:after="0" w:line="360" w:lineRule="auto"/>
              <w:rPr>
                <w:rFonts w:ascii="Times New Roman" w:eastAsia="Times New Roman" w:hAnsi="Times New Roman" w:cs="Times New Roman"/>
                <w:color w:val="000000"/>
                <w:lang w:val="fr-FR" w:eastAsia="en-GB"/>
              </w:rPr>
            </w:pPr>
            <w:r w:rsidRPr="00E75E02">
              <w:rPr>
                <w:rFonts w:ascii="Times New Roman" w:eastAsia="Times New Roman" w:hAnsi="Times New Roman" w:cs="Times New Roman"/>
                <w:color w:val="000000"/>
                <w:lang w:val="fr-FR" w:eastAsia="en-GB"/>
              </w:rPr>
              <w:t>5</w:t>
            </w:r>
          </w:p>
        </w:tc>
        <w:tc>
          <w:tcPr>
            <w:tcW w:w="5274" w:type="dxa"/>
            <w:tcBorders>
              <w:left w:val="nil"/>
              <w:right w:val="nil"/>
            </w:tcBorders>
            <w:shd w:val="clear" w:color="000000" w:fill="FFFFFF"/>
          </w:tcPr>
          <w:p w14:paraId="653EC199" w14:textId="606C82FA" w:rsidR="00C857C6" w:rsidRPr="00807AB0" w:rsidRDefault="00991988" w:rsidP="00406364">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807AB0" w:rsidRPr="00E75E02">
              <w:rPr>
                <w:rFonts w:ascii="Times New Roman" w:eastAsia="Times New Roman" w:hAnsi="Times New Roman" w:cs="Times New Roman"/>
                <w:color w:val="000000"/>
                <w:lang w:val="fr-FR" w:eastAsia="en-GB"/>
              </w:rPr>
              <w:instrText xml:space="preserve"> ADDIN ZOTERO_ITEM CSL_CITATION {"citationID":"WBCOThk3","properties":{"formattedCitation":"(Rufino et al. 2013; Rai et al. 2022; Abdollahzadeh et al. 2023; Marie Chimi et al. 2023; Postigo et al. 2024)","plainCitation":"(Rufino et al. 2013; Rai et al. 2022; Abdollahzadeh et al. 2023; Marie Chimi et al. 2023; Postigo et al. 2024)","noteIndex":0},"citationItems":[{"id":661,"uris":["http://zotero.org/users/7734624/items/9MKBAI6C"],"itemData":{"id":661,"type":"article-journal","abstract":"Climate-induced livelihood transitions in the agricultural systems of Africa are increasingly likely. There is limited evidence on what such transitions might look like. We carried out fieldwork in 12 sites in Kenya, Tanzania and Uganda to understand changes in farming systems in the recent past, and to test the hypothesis that sedentary farmers in zones that may become warmer and drier in the future may be forced to increase their reliance on livestock vis-à-vis cropping in the future. We estimated the contribution of crop and livestock activities to incomes, food security and poverty. Householders were asked how to adapt farming in the future. We found no direct evidence for the hypothesised extensification of production across study sites. Human diets have cha</w:instrText>
            </w:r>
            <w:r w:rsidR="00807AB0">
              <w:rPr>
                <w:rFonts w:ascii="Times New Roman" w:eastAsia="Times New Roman" w:hAnsi="Times New Roman" w:cs="Times New Roman"/>
                <w:color w:val="000000"/>
                <w:lang w:eastAsia="en-GB"/>
              </w:rPr>
              <w:instrText xml:space="preserve">nged considerably in the last 40 years, as cropping has been taken up by increasing numbers of pastoral households, even in marginal places. Maize and legumes predominate, but some householders are increasing their crop and diet diversity, particularly in locations with annual rainfall higher than 800. mm. At all sites people want more livestock. Food insecurity is common at all sites with an annual rainfall of 800. mm or less, and critical levels are seen at sites with &lt;700. mm. Households are self-sufficient in securing adequate dietary energy from food production in 7 of the 12 sites, all with rainfall higher than 800. mm. Although many householders have some knowledge about drought-tolerant crops, few cultivate millet, sorghum and cassava. Policies aimed at increasing the consumption of cassava, sorghum, millet and pigeon pea could be highly beneficial for future food security in the region. Vulnerability in the drier locations is already high, and policies should support safety nets and market and infrastructural development. Households in the wetter areas need to manage risk and to increase crop productivity. A critical requirement is knowledge transfer concerning the growing and utilisation of unfamiliar and untraditional crops. © 2013 The Authors.","container-title":"Agriculture, Ecosystems and Environment","DOI":"10.1016/j.agee.2013.08.019","ISSN":"01678809","language":"English","note":"publisher: Elsevier B.V.","page":"215-230","title":"Transitions in agro-pastoralist systems of East Africa: Impacts on food security and poverty","volume":"179","author":[{"family":"Rufino","given":"M.C."},{"family":"Thornton","given":"P.K."},{"family":"Ng'ang'a","given":"S.K."},{"family":"Mutie","given":"I."},{"family":"Jones","given":"P.G."},{"family":"Wijk","given":"M.T.","non-dropping-particle":"van"},{"family":"Herrero","given":"M."}],"issued":{"date-parts":[["2013"]]},"citation-key":"rufino_etal_2013"}},{"id":3341,"uris":["http://zotero.org/users/7734624/items/XPPADBAG"],"itemData":{"id":3341,"type":"article-journal","abstract":"Potato (Solanum tuberosum) is an indispensable commodity, mainly cultivated by high-altitude mountain households, that sustains and supports the livelihood of an overwhelming 51% of the Bhutanese population. The popularity of potato cultivation among Bhutanese farmers can be attributed to the crop’s adaptability to a wide range of agroclimatic conditions such as a rainfed crop, high productivity, an assured market, and a reliable source of income for the farming families. We hypothesize that the changing climate would make the livelihood associated with potato cultivation in Bhutan more vulnerable. We tested this hypothesis to identify the sources of vulnerability of smallholder farming households using the Livelihood Vulnerability Index (LVI) and LVI-IPCC (Intergovernmental Panel on Climate Change) approaches in six potato growing districts of Bhutan: Bumthang, Chukha, Gasa, Mongar, Tashigang, and Wangdue. Primary data were generated through a semi structured sample survey of 240 households on the seven major livelihood components of sociodemographic profiles, livelihood strategies, social networks, health, food, water, natural disasters, and climate variability. The results showed that the LVI (range 0.302 to 0.375) and LVI-IPCC (range −0.005 to 0.030) differed significantly (p &lt; 0.001) across the districts. The districts of Tashigang and Mongar were less vulnerable than the other four districts by the LVI approach, whereas Bumthang was also revealed to be less vulnerable using the LVI-IPCC approach. The degree of vulnerability in a district differed according to their level of exposure and adaptive capacity to the climate change impacts of the potato farming household. The results are expected to serve as empirical evidence for designing a future course of actions to mitigate the negative impacts.","container-title":"Sustainability","DOI":"10.3390/su14042339","ISSN":"2071-1050","issue":"4","journalAbbreviation":"Sustainability","language":"en","license":"https://creativecommons.org/licenses/by/4.0/","page":"2339","source":"DOI.org (Crossref)","title":"Empirical Evidence of the Livelihood Vulnerability to Climate Change Impacts: A Case of Potato-Based Mountain Farming Systems in Bhutan","title-short":"Empirical Evidence of the Livelihood Vulnerability to Climate Change Impacts","volume":"14","author":[{"family":"Rai","given":"Pradeep"},{"family":"Bajgai","given":"Yadunath"},{"family":"Rabgyal","given":"Jimba"},{"family":"Katwal","given":"Tirtha Bdr"},{"family":"Delmond","given":"Anthony Ryan"}],"issued":{"date-parts":[["2022",2,18]]},"citation-key":"rai_etal_2022"}},{"id":3346,"uris":["http://zotero.org/users/7734624/items/89PSQCE6"],"itemData":{"id":3346,"type":"article-journal","container-title":"Agricultural Systems","DOI":"10.1016/j.agsy.2022.103537","ISSN":"0308521X","journalAbbreviation":"Agricultural Systems","language":"en","page":"103537","source":"DOI.org (Crossref)","title":"Adaptive capacity of farming systems to climate change in Iran: Application of composite index approach","title-short":"Adaptive capacity of farming systems to climate change in Iran","volume":"204","author":[{"family":"Abdollahzadeh","given":"Gholamhossein"},{"family":"Sharifzadeh","given":"Mohammad Sharif"},{"family":"Sklenička","given":"Petr"},{"family":"Azadi","given":"Hossein"}],"issued":{"date-parts":[["2023",1]]},"citation-key":"abdollahzadeh_etal_2023"}},{"id":3309,"uris":["http://zotero.org/users/7734624/items/TE7LJQNF"],"itemData":{"id":3309,"type":"article-journal","container-title":"Research in Globalization","DOI":"10.1016/j.resglo.2023.100138","ISSN":"2590051X","journalAbbreviation":"Research in Globalization","language":"en","page":"100138","source":"DOI.org (Crossref)","title":"Vulnerability of family farming systems to climate change: The case of the forest-savannah transition zone, Centre Region of Cameroon","title-short":"Vulnerability of family farming systems to climate change","volume":"7","author":[{"family":"Marie Chimi","given":"Pierre"},{"family":"Armand Mala","given":"William"},{"family":"Ngamsou Abdel","given":"Karimou"},{"family":"Louis Fobane","given":"Jean"},{"family":"Manga Essouma","given":"François"},{"family":"Hermann Matick","given":"John"},{"family":"Yldephonse Nyonce Pokam","given":"Eusebe"},{"family":"Tcheferi","given":"Imma"},{"family":"Martin Bell","given":"Joseph"}],"issued":{"date-parts":[["2023",12]]},"citation-key":"mariechimi_etal_2023"}},{"id":3277,"uris":["http://zotero.org/users/7734624/items/H7L2VTQR"],"itemData":{"id":3277,"type":"article-journal","abstract":"Enhanced anthropogenic climatic variability challenges small farmers. In the Sumapaz páramo (Colombia), higher irregularity in precipitation and temperature reduces the quality of pasture and cattle health. Data from surveys, semi-structured interviews, and focus groups were analyzed to understand livestock farmers’ responses to the impacts of climatic variability. To estimate the communities’ resilience in the páramo, we used the capitals framework, the Baseline Resilience Indicator for Communities (BRIC), and cluster analysis. The responses of most households aim to reduce the impacts of climatic variability on the production system, chiefly intensifying practices such as the rotation of paddocks, livelihood diversification, purchase of grass, and buying and </w:instrText>
            </w:r>
            <w:r w:rsidR="00807AB0" w:rsidRPr="00807AB0">
              <w:rPr>
                <w:rFonts w:ascii="Times New Roman" w:eastAsia="Times New Roman" w:hAnsi="Times New Roman" w:cs="Times New Roman"/>
                <w:color w:val="000000"/>
                <w:lang w:val="fr-FR" w:eastAsia="en-GB"/>
              </w:rPr>
              <w:instrText xml:space="preserve">selling livestock. Interestingly, farmers did not recognize the value of the types of capital for responding to climatic variability. Results showed that the use of available physical, social, and economic capitals render the farming system resilient. Our probit model estimated that economic and human capitals are the largest and most significant contributors to communities’ capacity to respond to climatic variability. However, pre-existing non-climatic vulnerabilities are also important. For example, poverty hinders farmers from using their income in response to climatic variability. The place-based measurements used in this research are easily understood and applicable by local policy makers to address increasing climate variability.","container-title":"Land","DOI":"10.3390/land13040499","ISSN":"2073-445X","issue":"4","journalAbbreviation":"Land","language":"en","license":"https://creativecommons.org/licenses/by/4.0/","page":"499","source":"DOI.org (Crossref)","title":"Adaptive Responses and Resilience of Small Livestock Producers to Climate Variability in the Cruz Verde-Sumapaz Páramo, Colombia","volume":"13","author":[{"family":"Postigo","given":"Julio C."},{"family":"Guáqueta-Solórzano","given":"Victoria-Eugenia"},{"family":"Castañeda","given":"Edna"},{"family":"Ortiz-Guerrero","given":"Cesar Enrique"}],"issued":{"date-parts":[["2024",4,11]]},"citation-key":"postigo_etal_2024"}}],"schema":"https://github.com/citation-style-language/schema/raw/master/csl-citation.json"}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807AB0" w:rsidRPr="00807AB0">
              <w:rPr>
                <w:rFonts w:ascii="Times New Roman" w:hAnsi="Times New Roman" w:cs="Times New Roman"/>
                <w:lang w:val="fr-FR"/>
              </w:rPr>
              <w:t>(Rufino et al. 2013; Rai et al. 2022; Abdollahzadeh et al. 2023; Marie Chimi et al. 2023; Postigo et al. 2024)</w:t>
            </w:r>
            <w:r w:rsidRPr="00FF4B56">
              <w:rPr>
                <w:rFonts w:ascii="Times New Roman" w:eastAsia="Times New Roman" w:hAnsi="Times New Roman" w:cs="Times New Roman"/>
                <w:color w:val="000000"/>
                <w:lang w:eastAsia="en-GB"/>
              </w:rPr>
              <w:fldChar w:fldCharType="end"/>
            </w:r>
          </w:p>
        </w:tc>
      </w:tr>
      <w:tr w:rsidR="00C857C6" w:rsidRPr="00FF4B56" w14:paraId="4943257A" w14:textId="2211C80A" w:rsidTr="00EF7700">
        <w:trPr>
          <w:trHeight w:val="288"/>
        </w:trPr>
        <w:tc>
          <w:tcPr>
            <w:tcW w:w="0" w:type="auto"/>
            <w:tcBorders>
              <w:top w:val="nil"/>
              <w:left w:val="nil"/>
              <w:bottom w:val="nil"/>
              <w:right w:val="nil"/>
            </w:tcBorders>
            <w:shd w:val="clear" w:color="000000" w:fill="FFFFFF"/>
          </w:tcPr>
          <w:p w14:paraId="4FA44F04" w14:textId="77777777" w:rsidR="00C857C6" w:rsidRPr="00807AB0" w:rsidRDefault="00C857C6" w:rsidP="00406364">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single" w:sz="4" w:space="0" w:color="auto"/>
              <w:right w:val="nil"/>
            </w:tcBorders>
            <w:shd w:val="clear" w:color="000000" w:fill="FFFFFF"/>
            <w:noWrap/>
            <w:hideMark/>
          </w:tcPr>
          <w:p w14:paraId="45FDA6F6" w14:textId="7B74EC90" w:rsidR="00C857C6" w:rsidRPr="00807AB0" w:rsidRDefault="00C857C6" w:rsidP="00406364">
            <w:pPr>
              <w:spacing w:after="0" w:line="360" w:lineRule="auto"/>
              <w:rPr>
                <w:rFonts w:ascii="Times New Roman" w:eastAsia="Times New Roman" w:hAnsi="Times New Roman" w:cs="Times New Roman"/>
                <w:color w:val="000000"/>
                <w:lang w:val="fr-FR" w:eastAsia="en-GB"/>
              </w:rPr>
            </w:pPr>
            <w:r w:rsidRPr="00807AB0">
              <w:rPr>
                <w:rFonts w:ascii="Times New Roman" w:eastAsia="Times New Roman" w:hAnsi="Times New Roman" w:cs="Times New Roman"/>
                <w:color w:val="000000"/>
                <w:lang w:val="fr-FR" w:eastAsia="en-GB"/>
              </w:rPr>
              <w:t> </w:t>
            </w:r>
          </w:p>
        </w:tc>
        <w:tc>
          <w:tcPr>
            <w:tcW w:w="5310" w:type="dxa"/>
            <w:tcBorders>
              <w:top w:val="nil"/>
              <w:left w:val="nil"/>
              <w:bottom w:val="single" w:sz="4" w:space="0" w:color="auto"/>
              <w:right w:val="nil"/>
            </w:tcBorders>
            <w:shd w:val="clear" w:color="000000" w:fill="FFFFFF"/>
            <w:noWrap/>
            <w:hideMark/>
          </w:tcPr>
          <w:p w14:paraId="2EFB0FB3" w14:textId="429385A8" w:rsidR="00C857C6" w:rsidRPr="00807AB0" w:rsidRDefault="00AD1754" w:rsidP="00406364">
            <w:pPr>
              <w:spacing w:after="0" w:line="360" w:lineRule="auto"/>
              <w:rPr>
                <w:rFonts w:ascii="Times New Roman" w:eastAsia="Times New Roman" w:hAnsi="Times New Roman" w:cs="Times New Roman"/>
                <w:color w:val="000000"/>
                <w:lang w:val="fr-FR" w:eastAsia="en-GB"/>
              </w:rPr>
            </w:pPr>
            <w:proofErr w:type="spellStart"/>
            <w:r w:rsidRPr="00807AB0">
              <w:rPr>
                <w:rFonts w:ascii="Times New Roman" w:eastAsia="Times New Roman" w:hAnsi="Times New Roman" w:cs="Times New Roman"/>
                <w:color w:val="000000"/>
                <w:lang w:val="fr-FR" w:eastAsia="en-GB"/>
              </w:rPr>
              <w:t>Forestry</w:t>
            </w:r>
            <w:proofErr w:type="spellEnd"/>
            <w:r w:rsidRPr="00807AB0">
              <w:rPr>
                <w:rFonts w:ascii="Times New Roman" w:eastAsia="Times New Roman" w:hAnsi="Times New Roman" w:cs="Times New Roman"/>
                <w:color w:val="000000"/>
                <w:lang w:val="fr-FR" w:eastAsia="en-GB"/>
              </w:rPr>
              <w:t xml:space="preserve"> production</w:t>
            </w:r>
          </w:p>
        </w:tc>
        <w:tc>
          <w:tcPr>
            <w:tcW w:w="1350" w:type="dxa"/>
            <w:tcBorders>
              <w:top w:val="nil"/>
              <w:left w:val="nil"/>
              <w:bottom w:val="single" w:sz="4" w:space="0" w:color="auto"/>
              <w:right w:val="nil"/>
            </w:tcBorders>
            <w:shd w:val="clear" w:color="000000" w:fill="FFFFFF"/>
            <w:noWrap/>
            <w:hideMark/>
          </w:tcPr>
          <w:p w14:paraId="709618D2" w14:textId="77777777" w:rsidR="00C857C6" w:rsidRPr="00807AB0" w:rsidRDefault="00C857C6" w:rsidP="00406364">
            <w:pPr>
              <w:spacing w:after="0" w:line="360" w:lineRule="auto"/>
              <w:rPr>
                <w:rFonts w:ascii="Times New Roman" w:eastAsia="Times New Roman" w:hAnsi="Times New Roman" w:cs="Times New Roman"/>
                <w:color w:val="000000"/>
                <w:lang w:val="fr-FR" w:eastAsia="en-GB"/>
              </w:rPr>
            </w:pPr>
            <w:r w:rsidRPr="00807AB0">
              <w:rPr>
                <w:rFonts w:ascii="Times New Roman" w:eastAsia="Times New Roman" w:hAnsi="Times New Roman" w:cs="Times New Roman"/>
                <w:color w:val="000000"/>
                <w:lang w:val="fr-FR" w:eastAsia="en-GB"/>
              </w:rPr>
              <w:t>1</w:t>
            </w:r>
          </w:p>
        </w:tc>
        <w:tc>
          <w:tcPr>
            <w:tcW w:w="5274" w:type="dxa"/>
            <w:tcBorders>
              <w:left w:val="nil"/>
              <w:bottom w:val="single" w:sz="4" w:space="0" w:color="auto"/>
              <w:right w:val="nil"/>
            </w:tcBorders>
            <w:shd w:val="clear" w:color="000000" w:fill="FFFFFF"/>
          </w:tcPr>
          <w:p w14:paraId="1F33DEB5" w14:textId="2429D802" w:rsidR="00C857C6" w:rsidRPr="00FF4B56" w:rsidRDefault="00991988" w:rsidP="00406364">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fldChar w:fldCharType="begin"/>
            </w:r>
            <w:r w:rsidR="00807AB0">
              <w:rPr>
                <w:rFonts w:ascii="Times New Roman" w:eastAsia="Times New Roman" w:hAnsi="Times New Roman" w:cs="Times New Roman"/>
                <w:color w:val="000000"/>
                <w:lang w:val="fr-FR" w:eastAsia="en-GB"/>
              </w:rPr>
              <w:instrText xml:space="preserve"> ADDIN ZOTERO_ITEM CSL_CITATION {"citationID":"HXTbhLDP","properties":{"formattedCitation":"(Djanibekov and Khamzina 2016)","plainCitation":"(Djanibekov and Khamzina 2016)","noteIndex":0},"citationItems":[{"id":691,"uris":["http://zotero.org/users/7734624/items/566AVZH2"],"itemData":{"id":691,"type":"article-journal","abstract":"We analysed the economic viability of afforestation on marginal irrigated croplands in irrigated drylands of Uzbekistan. The revenues derived from a combination of diversified agricultural production, carbon sequestration, nitrogen fixation, and avoided irrigation water use were analysed considering uncertainty associated with on-farm activities such as crop production and short-rotation forestry. At the per hectare scale variability in land-use revenues would necessitate substantial increases in carbon prices for afforestation to be as profitable as crop cultivation on marginal lands, assuming an abundant irrigation water supply. In contrast, at the farm scale the analysis results revealed that afforestation can be attractive financially even without carbon payments due to farm production constraints, variable land-use returns, and the benefits of land-use diversification. Increased carbon prices would promote carbon sequestration by motivating farmers to plant high biomass producing tree species, but would have an ecosystem service trade-off by reducing the appeal of nitrogen-fixing species that are essential for nitrogen self-sufficiency of afforestation efforts. Given the modest irrigation needs of afforestation efforts compared to the cultivation of annual crops, tree plantations could become a primary income source for farms during periods of drought. Irrigation water saved from replacing crops with trees on marginal farmland would enhance the cultivation of commercial crops on productive lands, thus increasing farm income.","container-title":"ENVIRONMENTAL &amp; RESOURCE ECONOMICS","DOI":"10.1007/s10640-014-9843-3","ISSN":"0924-6460","issue":"1","language":"English","note":"publisher-place: 233 SPRING ST, NEW YORK, NY 10013 USA\npublisher: SPRINGER\ntype: Article","page":"95-117","title":"Stochastic Economic Assessment of Afforestation on Marginal Land in Irrigated Farming System","volume":"63","author":[{"family":"Djanibekov","given":"Utkur"},{"family":"Khamzina","given":"Asia"}],"issued":{"date-parts":[["2016",1]]},"citation-key":"djanibekov_khamzina_2016"}}],"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807AB0" w:rsidRPr="00807AB0">
              <w:rPr>
                <w:rFonts w:ascii="Times New Roman" w:hAnsi="Times New Roman" w:cs="Times New Roman"/>
              </w:rPr>
              <w:t>(Djanibekov and Khamzina 2016)</w:t>
            </w:r>
            <w:r w:rsidRPr="00FF4B56">
              <w:rPr>
                <w:rFonts w:ascii="Times New Roman" w:eastAsia="Times New Roman" w:hAnsi="Times New Roman" w:cs="Times New Roman"/>
                <w:color w:val="000000"/>
                <w:lang w:eastAsia="en-GB"/>
              </w:rPr>
              <w:fldChar w:fldCharType="end"/>
            </w:r>
          </w:p>
        </w:tc>
      </w:tr>
      <w:tr w:rsidR="00482CE2" w:rsidRPr="00AF6801" w14:paraId="52AC9F63" w14:textId="7505A10D" w:rsidTr="00EF7700">
        <w:trPr>
          <w:trHeight w:val="288"/>
        </w:trPr>
        <w:tc>
          <w:tcPr>
            <w:tcW w:w="0" w:type="auto"/>
            <w:tcBorders>
              <w:top w:val="nil"/>
              <w:left w:val="nil"/>
              <w:bottom w:val="nil"/>
              <w:right w:val="nil"/>
            </w:tcBorders>
            <w:shd w:val="clear" w:color="000000" w:fill="FFFFFF"/>
          </w:tcPr>
          <w:p w14:paraId="0BAE1085" w14:textId="77777777" w:rsidR="00482CE2" w:rsidRPr="00FF4B56" w:rsidRDefault="00482CE2" w:rsidP="00406364">
            <w:pPr>
              <w:spacing w:after="0" w:line="360" w:lineRule="auto"/>
              <w:rPr>
                <w:rFonts w:ascii="Times New Roman" w:eastAsia="Times New Roman" w:hAnsi="Times New Roman" w:cs="Times New Roman"/>
                <w:color w:val="000000"/>
                <w:lang w:eastAsia="en-GB"/>
              </w:rPr>
            </w:pPr>
          </w:p>
        </w:tc>
        <w:tc>
          <w:tcPr>
            <w:tcW w:w="1848" w:type="dxa"/>
            <w:tcBorders>
              <w:top w:val="single" w:sz="4" w:space="0" w:color="auto"/>
              <w:left w:val="nil"/>
              <w:bottom w:val="nil"/>
              <w:right w:val="nil"/>
            </w:tcBorders>
            <w:shd w:val="clear" w:color="000000" w:fill="FFFFFF"/>
            <w:noWrap/>
            <w:hideMark/>
          </w:tcPr>
          <w:p w14:paraId="6917F667" w14:textId="04F02452" w:rsidR="00482CE2" w:rsidRPr="00FF4B56" w:rsidRDefault="00482CE2" w:rsidP="00406364">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Openness</w:t>
            </w:r>
          </w:p>
        </w:tc>
        <w:tc>
          <w:tcPr>
            <w:tcW w:w="5310" w:type="dxa"/>
            <w:tcBorders>
              <w:top w:val="single" w:sz="4" w:space="0" w:color="auto"/>
              <w:left w:val="nil"/>
              <w:bottom w:val="nil"/>
              <w:right w:val="nil"/>
            </w:tcBorders>
            <w:shd w:val="clear" w:color="000000" w:fill="FFFFFF"/>
            <w:noWrap/>
            <w:hideMark/>
          </w:tcPr>
          <w:p w14:paraId="5754CDD8" w14:textId="13C0E807" w:rsidR="00482CE2" w:rsidRPr="00FF4B56" w:rsidRDefault="00482CE2" w:rsidP="00406364">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Access to irrigation</w:t>
            </w:r>
          </w:p>
        </w:tc>
        <w:tc>
          <w:tcPr>
            <w:tcW w:w="1350" w:type="dxa"/>
            <w:tcBorders>
              <w:top w:val="single" w:sz="4" w:space="0" w:color="auto"/>
              <w:left w:val="nil"/>
              <w:bottom w:val="nil"/>
              <w:right w:val="nil"/>
            </w:tcBorders>
            <w:shd w:val="clear" w:color="000000" w:fill="FFFFFF"/>
            <w:noWrap/>
            <w:hideMark/>
          </w:tcPr>
          <w:p w14:paraId="6B69BE0B" w14:textId="0FDC47A9" w:rsidR="00482CE2" w:rsidRPr="00FF4B56" w:rsidRDefault="00EF7700" w:rsidP="00406364">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31</w:t>
            </w:r>
          </w:p>
        </w:tc>
        <w:tc>
          <w:tcPr>
            <w:tcW w:w="5274" w:type="dxa"/>
            <w:tcBorders>
              <w:top w:val="single" w:sz="4" w:space="0" w:color="auto"/>
              <w:left w:val="nil"/>
              <w:right w:val="nil"/>
            </w:tcBorders>
            <w:shd w:val="clear" w:color="000000" w:fill="FFFFFF"/>
          </w:tcPr>
          <w:p w14:paraId="74005745" w14:textId="515B51E6" w:rsidR="00482CE2" w:rsidRPr="00FF4B56" w:rsidRDefault="00991988" w:rsidP="00406364">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E75E02">
              <w:rPr>
                <w:rFonts w:ascii="Times New Roman" w:eastAsia="Times New Roman" w:hAnsi="Times New Roman" w:cs="Times New Roman"/>
                <w:color w:val="000000"/>
                <w:lang w:eastAsia="en-GB"/>
              </w:rPr>
              <w:instrText xml:space="preserve"> ADDIN ZOTERO_ITEM CSL_CITATION {"citationID":"NzPg0bNb","properties":{"formattedCitation":"(Schaap et al. 2013; Rodriguez et al. 2014; Mutabazi et al. 2015; Poulton et al. 2016; Hochman et al. 2017; Tibesigwa et al. 2017; Lopez-Ridaura et al. 2018; Souissi et al. 2018; Dobkowitz et al. 2020; Omerkhil et al. 2020; Singh et al. 2020; Williams et al. 2020a; Ben Nasr et al. 2021; Hossard et al. 2021; Jamil et al. 2021; Mishra et al. 2021; Khan et al. 2021, 2022; Dardonville et al. 2022; Varadan et al. 2022; Asmare et al. 2022; Bergez et al. 2022; Chawdhery et al. 2022; Abdollahzadeh et al. 2023; Soltani and Mellah 2023; Adhikari et al. 2023; Gemeda et al. 2023; Collins et al. 2023; Marie Chimi et al. 2023; Kumar et al. 2024; Alotaibi et al. 2024)","plainCitation":"(Schaap et al. 2013; Rodriguez et al. 2014; Mutabazi et al. 2015; Poulton et al. 2016; Hochman et al. 2017; Tibesigwa et al. 2017; Lopez-Ridaura et al. 2018; Souissi et al. 2018; Dobkowitz et al. 2020; Omerkhil et al. 2020; Singh et al. 2020; Williams et al. 2020a; Ben Nasr et al. 2021; Hossard et al. 2021; Jamil et al. 2021; Mishra et al. 2021; Khan et al. 2021, 2022; Dardonville et al. 2022; Varadan et al. 2022; Asmare et al. 2022; Bergez et al. 2022; Chawdhery et al. 2022; Abdollahzadeh et al. 2023; Soltani and Mellah 2023; Adhikari et al. 2023; Gemeda et al. 2023; Collins et al. 2023; Marie Chimi et al. 2023; Kumar et al. 2024; Alotaibi et al. 2024)","noteIndex":0},"citationItems":[{"id":659,"uris":["http://zotero.org/users/7734624/items/S5UHC584"],"itemData":{"id":659,"type":"article-journal","abstract":"In the arable farming region Flevoland in The Netherlands climate change, including extreme events and pests and diseases, will likely pose risks to a variety of crops including high value crops such as seed potato, ware potato and seed onion. A well designed adaptation strategy at the farm level can reduce risks for farmers in Flevoland. Currently, most of the impact assessments rely heavily on (modelling) techniques that cannot take into account extreme events and pests and diseases and cannot address all crops, and are thus not suited as input for a comprehensive adaptation strategy at the farm level.To identify major climate risks and impacts and develop an adaptation measure portfolio for the most relevant risks we complemented crop growth modelling with a semi-quantitative and participatory approach, the Agro Climatic Calendar (ACC), A cost-benefit analysis and stakeholder workshops were used to identify robust adaptation measures and design an adaptation strategy for contrasting scenarios in 2050.For Flevoland, potential yields of main crops were projected to increase, but five main climate risks were identified, and these are likely to offset the positive impacts. Optimized adaptation strategies differ per scenario (frequency of occurrence of climate risks) and per farm (difference in economic loss). When impacts are high (in the +2 °C and A1 SRES scenario) drip irrigation was identified as the best adaptation measure against the main climate risk heat wave that causes second-growth in seed and ware potato. When impacts are smaller (the +1 °C and B2 SRES scenario), other options including no adaptation are more cost-effective.Our study shows that with relatively simple techniques such as the ACC combined with a stakeholder process, adaptation strategies can be designed for whole farming systems. Important benefits of this approach compared to modelling techniques are that all crops can be included, all climate factors can be addressed, and a large range of adaptation measures can be explored. This enhances that the identified adaptation strategies are recognizable and relevant for stakeholders. © 2013 Elsevier B.V.","container-title":"European Journal of Agronomy","DOI":"10.1016/j.eja.2013.02.004","ISSN":"11610301","language":"English","page":"30-42","title":"Participatory design of farm level adaptation to climate risks in an arable region in The Netherlands","volume":"48","author":[{"family":"Schaap","given":"B.F."},{"family":"Reidsma","given":"P."},{"family":"Verhagen","given":"J."},{"family":"Wolf","given":"J."},{"family":"Ittersum","given":"M.K.","non-dropping-particle":"van"}],"issued":{"date-parts":[["2013"]]},"citation-key":"schaap_etal_2013"}},{"id":663,"uris":["http://zotero.org/users/7734624/items/465VIM9A"],"itemData":{"id":663,"type":"article-journal","abstract":"This study presents the use of a whole farm model in a participatory modelling research approach to examine the sensitivity of four contrasting case study farms to a likely climate change scenario. The newly generated information was used to support discussions with the participating farmers in the search for options to design more profitable and sustainable farming systems in Queensland Australia. The four case studies contrasted in key systems characteristics: opportunism in decision making, i.e. flexible versus rigid crop rotations; function, i.e. production of livestock or crops; and level of intensification, i.e. dryland versus irrigated agriculture. Tested tactical and strategic changes under a baseline and climate change scenario (CCS) involved changes in the allocation of land between cropping and grazing enterprises, alternative allocations of limited irrigation water across cropping enterprises, and different management rules for planting wheat and sorghum in rainfed cropping. The results show that expected impacts from a likely climate change scenario were evident in the following increasing order: the irrigated cropping farm case study, the cropping and grazing farm, the more opportunistic rainfed cropping farm and the least opportunistic rainfed cropping farm. We concluded that in most cases the participating farmers were operating close to the efficiency frontier (i.e. in the relationship between profits and risks). This indicated that options to adapt to climate change might need to evolve from investments in the development of more innovative cropping and grazing systems and/or transformational changes on existing farming systems. We expect that even though assimilating expected changes in climate seems to be rather intangible and premature for these farmers, as innovations are developed, adaptation is likely to follow quickly. The multiple interactions among farm management components in complex and dynamic farm businesses operating in a variable and changing climate, make the use of whole farm participatory modelling approaches valuable tools to quantify benefits and trade-offs from alternative farming systems designs in the search for improved profitability and resilience. © 2013.","container-title":"Agricultural Systems","DOI":"10.1016/j.agsy.2013.04.003","ISSN":"0308521X","language":"English","page":"50-61","title":"A participatory whole farm modelling approach to understand impacts and increase preparedness to climate change in Australia","volume":"126","author":[{"family":"Rodriguez","given":"D."},{"family":"Cox","given":"H."},{"family":"deVoil","given":"P."},{"family":"Power","given":"B."}],"issued":{"date-parts":[["2014"]]},"citation-key":"rodriguez_etal_2014"}},{"id":684,"uris":["http://zotero.org/users/7734624/items/IIGIISUT"],"itemData":{"id":684,"type":"article-journal","abstract":"Given the projected climatic changes, building resilient agricultural systems is of vital significance in protecting vulnerable agrarian communities in sub-Saharan Africa. Under this scenario, the article attempts to identify a set of resilience-building adaptive strategies (intensification, diversification, alteration, migration, etc.) among farmers in Morogoro, Tanzania, and crafts a composite index of these strategies using a principal component analysis-based weighting scheme. The analysis also reveals the latent structure and internal correlations of actions intended to build resilience of the farming systems. Subsequently, the linkages of livelihood resources (natural, human, social and financial capitals) to the resilience-building strategies are examined. A multiple regression analysis is employed to link the composite index to variables representing the four capitals. The results bring quantitative evidence to the linkages and highlight the need of enhancing livelihood resources to enhance the ability to undertake adaptive strategies that denotes the ability to withstand stresses and shocks from climatic changes. Actions to improve human capital (awareness campaigns on climate change impacts as well as possible adaptive strategies), social capital (strengthening social networks, improving tenure security), financial capital (increasing credit availability) and natural capital (measures to enhance agricultural potential, support for adaptive action in areas with low agricultural potential) are needed in order to impart resilience to the farming systems against the changing climate. © 2015, Springer-Verlag Berlin Heidelberg.","container-title":"Regional Environmental Change","DOI":"10.1007/s10113-015-0800-7","ISSN":"14363798","issue":"7","language":"English","note":"publisher: Springer Verlag","page":"1259-1268","title":"Influence of livelihood resources on adaptive strategies to enhance climatic resilience of farm households in Morogoro, Tanzania: an indicator-based analysis","volume":"15","author":[{"family":"Mutabazi","given":"K.D."},{"family":"Amjath-Babu","given":"T.S."},{"family":"Sieber","given":"S."}],"issued":{"date-parts":[["2015"]]},"citation-key":"mutabazi_etal_2015"}},{"id":936,"uris":["http://zotero.org/users/7734624/items/X7GXSQWU"],"itemData":{"id":936,"type":"article-journal","abstract":"Rice production is the major source of food security in Cambodia where 85% of the total arable land is cultivated to rice with traditional transplanted medium and later maturity varieties accounting for \\textgreater70% of the plantings during the monsoon period. Climate change poses risks and opportunities to the sustained productivity of rice based farming systems in Cambodia. The objective of this study is to evaluate adaptation strategies that support the replacement of traditional low input systems with a 'response' farming approach for better temporal utilisation of available labour, land and water resources. Options include replacing a traditional transplanted crop with short duration varieties, more efficient crop establishment methods and better agronomic and fertiliser management that responds to timing, intensity and longevity of the monsoon and has potential to mitigate effects of current and future climate variability. To achieve this, we apply the APSIM farming systems model to evaluate how adaptation options for smallholder farmers can increase or maintain overall productivity within present day climate variability and future climates, using downscaled GCM baseline and 2030 climate scenarios. To extend beyond the 2030 climate change scenarios, we also assess production risk from an increase in ambient air temperature of 1.4-4.3 degrees C, atmospheric CO2 concentration of 545-885 ppm and variation in rainfall, for rainfed and irrigated systems to 2090. Modelled scenarios indicate a yield response to elevated CO2 of 17.5% at a concentration of 680 ppm for current temperature and rainfall and are consistent with established physiological effects of CO2 on crop yields. In response to temperature, yields decreased by 4% per degree increase from an average annual baseline temperature of 28 degrees C. Adaptation strategies involving deployment of short duration rice varieties, in conjunction with direct seeding and better N management, indicate comparable and improved production can be achieved to 2030 under likely future climate projections. However, beyond 2030, the distribution and timing of rainfall has a significant influence on rainfed lowland rice in Cambodia. In this case a more transformational approach involving widespread provision of irrigation water will be required to offset climate change impacts. (C) 2016 Elsevier B.V. All rights reserved.","container-title":"Field Crops Research","DOI":"10.1016/j.fcr.2016.09.008","ISSN":"0378-4290","page":"160–170","title":"Resilience of Cambodian lowland rice farming systems to future climate uncertainty UR -://WOS:000386409300017","title-short":"Resilience of Cambodian lowland rice farming systems to future climate uncertainty","volume":"198","author":[{"family":"Poulton","given":"P. L."},{"family":"Dalgliesh","given":"N. P."},{"family":"Vang","given":"S."},{"family":"Roth","given":"C. H."}],"issued":{"date-parts":[["2016",11]]},"citation-key":"poulton_etal_2016"}},{"id":937,"uris":["http://zotero.org/users/7734624/items/Q665EDXF"],"itemData":{"id":937,"type":"article-journal","abstract":"This paper describes an investigation of various adaptations of rice based cropping systems to climate variability in India's Telangana State. All adaptations were generated through participatory engagement and were field-tested with local smallholder households before being evaluated through cropping system simulation analysis. This approach contrasts with most research about adaptation of cropping systems to climate variability and climate change that is mostly based on simplifying assumptions about current farmer management practices and where the feasibility of implementing proposed adaptations is rarely tested. In this study, the investigation commenced with discussions about climate related issues in rice based farming systems between researchers, farmers and NGOs in three villages in three Mandals of the state of Telangana. Participatory intervention was used to identify new practices that could provide more adaptive and robust responses to climate variability. Suggested adaptations were implemented in on-farm experimentation. Fields demonstrating these adaptations were monitored and results were discussed with participating farmers at regular ‘Climate Club’ village meetings. Crop and soil data from these fields were used to locally parameterise the cropping systems simulator APSIM. Local adaptations that were trialled in the villages were simulated using local soil and long term historical weather data. In each of the case studies, a number of adaptations that were developed and implemented in the villages were shown through simulation to be successful in terms of agricultural production, stability of yields and resource use efficiency. Of the adaptations investigated, sowing rules to reduce the chance of crop failure due to early dry spells were most readily adopted and are also relatively easy to extend to other villages. Strategic irrigation of rainfed crops such as maize and cotton resulted in significant gains to profitability and stability of these crops but cannot be considered in isolation where access to water is limited. Reduced irrigation of rice resulted in over 60mm/ha/yr. savings in water and some improvements in gross margins but this adaptation was not popular with farmers due to its burden on labour and added risks associated with unreliable supply of electricity for pumping at critical times. The reduced rice area for strategic irrigation of rainfed crops adaptation resulted in improved gross margins per hectare per year and higher net water productivity. This adaptation is most promising but will require institutional change around water use policy and more equitable allocation of limited water resources within villages. These results led us to the proposition that participatory action research with smallholder farmers, coupled with field-testing and simulation analysis can produce practical and productive adaptations to climate variability.","container-title":"Agricultural Systems","DOI":"10.1016/j.agsy.2016.10.001","ISSN":"0308-521X","journalAbbreviation":"Agricultural Systems","language":"en","page":"54-66","source":"ScienceDirect","title":"Smallholder farmers managing climate risk in India: 1. Adapting to a variable climate","title-short":"Smallholder farmers managing climate risk in India","volume":"150","author":[{"family":"Hochman","given":"Zvi"},{"family":"Horan","given":"Heidi"},{"family":"Reddy","given":"D. Raji"},{"family":"Sreenivas","given":"Gade"},{"family":"Tallapragada","given":"Chiranjeevi"},{"family":"Adusumilli","given":"Ravindra"},{"family":"Gaydon","given":"Don"},{"family":"Singh","given":"Kamalesh K."},{"family":"Roth","given":"Christian H."}],"issued":{"date-parts":[["2017",1,1]]},"citation-key":"hochman_etal_2017a"}},{"id":709,"uris":["http://zotero.org/users/7734624/items/MF6LYQRZ"],"itemData":{"id":709,"type":"article-journal","abstract":"South Africa, a main food exporter in SADC, is characterised by a dual agricultural economy consisting of a well-developed commercial sector and smallholder, often subsistence, farming. Using the Ricardian cross-sectional framework, we examine the impact of climate change on a nationwide sample of crop, horticulture, livestock and mixed commercial farming systems. We find that a simultaneous decrease in precipitation and an increase in temperature will reduce productivity; and that an increase in temperature alone negatively affects farm output more than a decrease in precipitation. One of the most robust findings is the difference in the extent to which different commercial production systems will be impacted. That is, the results indicate that the strongest impact will be amongst specialised commercial crop farming system. In contrast, mixed farming systems appear to be the least vulnerable. This finding is consistent with studies on small-holder farms in sub-Saharan Africa. Hence, it appears that despite the likely benefits derived from economies of scale, commercial farms are, somewhat, equally vulnerable to climate change. Further, a province-wise assessment revealed that areas that already face disadvantageous climatic conditions will become even less productive. Overall, the findings suggest that practicing mixed farming methods will strengthen the resilience of commercial farms to climate change and that access to extensions-insurance and irrigation-is likely to reduce the risks.","container-title":"ENVIRONMENT DEVELOPMENT AND SUSTAINABILITY","DOI":"10.1007/s10668-015-9755-6","ISSN":"1387-585X","issue":"2","language":"English","note":"publisher-place: VAN GODEWIJCKSTRAAT 30, 3311 GZ DORDRECHT, NETHERLANDS\npublisher: SPRINGER\ntype: Article","page":"607-636","title":"Climate change and South Africa's commercial farms: an assessment of impacts on specialised horticulture, crop, livestock and mixed farming systems","volume":"19","author":[{"family":"Tibesigwa","given":"Byela"},{"family":"Visser","given":"Martine"},{"family":"Turpie","given":"Jane"}],"issued":{"date-parts":[["2017",4]]},"citation-key":"tibesigwa_etal_2017"}},{"id":351,"uris":["http://zotero.org/users/7734624/items/VMQZYXSU"],"itemData":{"id":351,"type":"article-journal","abstract":"One of the great challenges in agricultural development and sustainable intensiﬁcation is the assurance of social equity in food security oriented interventions. Development practitioners, researchers, and policy makers alike could beneﬁt from prior insight into what interventions or environmental shocks might diﬀerentially aﬀect farmers' food security status, in order to move towards more informed and equitable development. We examined the food security status and livelihood activities of 269 smallholder farm households (HHs) in Bihar, India. Proceeding with a four-step analysis, we ﬁrst applied a multivariate statistical methodology to diﬀerentiate ﬁve primary farming system types. We next applied an indicator of food security in the form of HH potential food availability (PFA), and examined the contribution of crop, livestock, and on- and oﬀ-farm income generation to PFA within each farm HH type. Lastly, we applied scenario analysis to examine the potential impact of the adoption of ‘climate smart’ agricultural (CSA) practices in the form of conservation agriculture (CA) and improved livestock husbandry, and environmental shocks on HH PFA. Our results indicate that compared to livestock interventions, CA may hold considerable potential to boost HH PFA, though primarily for wealthier and medium-scale cereal farmers. These farm HH types were however considerably more vulnerable to food insecurity risks resulting from simulated drought, while part-time farmers and resource-poor agricultural laborers generating income from oﬀ-farm pursuits were comparatively less vulnerable, due in part to their more diversiﬁed income sources and potential to migrate in search of work. Our results underscore the importance of prior planning for development initiatives aimed at increasing smallholder food security while maintaining social equity, while providing a robust methodology to vet the implications of agricultural interventions on an ex ante basis.","container-title":"Agricultural Systems","DOI":"10.1016/j.agsy.2017.09.007","ISSN":"0308521X","journalAbbreviation":"Agricultural Systems","language":"en","page":"57-68","source":"DOI.org (Crossref)","title":"Climate smart agriculture, farm household typologies and food security","volume":"159","author":[{"family":"Lopez-Ridaura","given":"Santiago"},{"family":"Frelat","given":"Romain"},{"family":"Wijk","given":"Mark T.","non-dropping-particle":"van"},{"family":"Valbuena","given":"Diego"},{"family":"Krupnik","given":"Timothy J."},{"family":"Jat","given":"M.L."}],"issued":{"date-parts":[["2018",1]]},"citation-key":"lopez-ridaura_etal_2018"}},{"id":877,"uris":["http://zotero.org/users/7734624/items/GDJ5BBWZ"],"itemData":{"id":877,"type":"article-journal","abstract":"This study considers a quantitative approach for assessing the performance of Tunisian farming systems to face climate change. It is based on the resilience concept and the calculation, with a modelling chain, of three indicators: land stock, labour stock, and income flux. Two system states, “base” and “climate change”, and a time horizon of 2010-2025, are developed and compared for representative farming systems. The study shows that 55% of the farming systems were identified as being resilient to climate change. They are diversified and mostly grow cereals, vegetables, and forage crops combined with livestock, increasing their capability to mitigate climate change by reorganizing crop activities. 35% of the farms identified as being non-resilient are dominated by orchards, or cereals and orchards. They showed an important drop in farm income (-45%), mainly due to their inability to adapt their cropping systems to water stress and soil salinity. Finally, only 10% were identified as being poorly resilient farming systems. Those farms have mainly intensified cereal cropping systems based on a strategy of purchasing land to increase the surface area of profitable activities (forage and livestock). Overall, the methodology can be adapted for other dry land areas in the Mediterranean region and help experts and policy-makers to propose and test strategies for adapting to climate change.","container-title":"REGIONAL ENVIRONMENTAL CHANGE","DOI":"10.1007/s10113-017-1130-8","ISSN":"1436-3798","issue":"3","language":"English","note":"publisher-place: TIERGARTENSTRASSE 17, D-69121 HEIDELBERG, GERMANY\npublisher: SPRINGER HEIDELBERG\ntype: Article","page":"637-650","title":"Impact assessment of climate change on farming systems in the South Mediterranean area: a Tunisian case study","volume":"18","author":[{"family":"Souissi","given":"Imen"},{"family":"Boisson","given":"Jean Marie"},{"family":"Mekki","given":"Insaf"},{"family":"Therond","given":"Olivier"},{"family":"Flichman","given":"Guillermo"},{"family":"Wery","given":"Jacques"},{"family":"Belhouchette","given":"Hatem"}],"issued":{"date-parts":[["2018",3]]},"citation-key":"souissi_etal_2018"}},{"id":700,"uris":["http://zotero.org/users/7734624/items/PY55PIZ2"],"itemData":{"id":700,"type":"article-journal","abstract":"Climate change heavily impacts smallholder farming worldwide. Cross-scale vulnerability assessment has a high potential to identify nested measures for reducing vulnerability of smallholder farmers. Despite their high practical value, there are currently only limited examples of cross-scale assessments. The presented study aims at assessing the vulnerability of smallholder farmers in the Northeast of Brazil across three scales: regional, farm and field scale. In doing so, it builds on existing vulnerability indices and compares results between indices at the same scale and across scales. In total, six independent indices are tested, two at each scale. The calculated indices include social, economic and ecological indicators, based on municipal statistics, meteorological data, farm interviews and soil analyses. Subsequently, indices and overlapping indicators are normalized for intra-and cross-scale comparison. The results show considerable differences between indices across and within scales. They indicate different activities to reduce vulnerability of smallholder farmers. Major shortcomings arise from the conceptual differences between the indices. We therefore recommend the development of hierarchical indices, which are adapted to local conditions and contain more overlapping indicators for a better understanding of the nested vulnerabilities of smallholder farmers. © 2020 by the authors.","container-title":"Sustainability (Switzerland)","DOI":"10.3390/su12093787","ISSN":"20711050","issue":"9","language":"English","note":"publisher: MDPI","title":"Cross-scale vulnerability assessment for smallholder farming: A case study from the northeast of Brazil","URL":"https://www.scopus.com/inward/record.uri?eid=2-s2.0-85085964908&amp;doi=10.3390%2fsu12093787&amp;partnerID=40&amp;md5=1b75293eec4b8771c893cebceaa1b88e","volume":"12","author":[{"family":"Dobkowitz","given":"S."},{"family":"Walz","given":"A."},{"family":"Baroni","given":"G."},{"family":"Pérez-Marin","given":"A.M."}],"issued":{"date-parts":[["2020"]]},"citation-key":"dobkowitz_etal_2020"}},{"id":884,"uris":["http://zotero.org/users/7734624/items/EW86LG9V"],"itemData":{"id":884,"type":"article-journal","abstract":"Smallholder farmers in Afghanistan are already facing various risks in agricultural production due to past continuous insurgencies. Climate change is likely to amplify the risk and make them even more vulnerable. The present study attempted to evaluate the vulnerability profiles of smallholder farmers due to climate change using the IPCC Framework. Primary data on relevant parameters for assessing climate change-led social vulnerability in the region were collected by classifying study region into two zones: the plain and the hills of Yangi Qala District in Takhar province, Afghanistan. Thirteen villages from each zone were selected at random, and face-to-face interviews were conducted with ten randomly selected households in each of the selected villages in both zones based on a pre-tested questionnaire. The questionnaire contained indicators for all three dimensions of vulnerability: exposure, sensitivity and adaptive capacity. The collected data were subjected to a proposed vulnerability index, after estimating the indices of the three dimensions of vulnerability. The Iyenger and Sudershan weighting method was used to assess the contribution of each vulnerability dimension. Vulnerability was classified according to different categories based on beta distribution to evaluate the villages’ vulnerability status. The results showed that about 23% of all 26 sampled villages in both zones had low exposure, 26% moderate exposure and 51% high exposure to climate-change hazards and extreme weather events. High sensitivity was observed in 51%, moderate sensitivity in 7%, and low sensitivity in 42% of villages. High adaptive capacity to climate change was observed in 38% of villages, 19% were moderately adaptive and 42% showed a low adaptive capacity. High vulnerability was observed in 50% of villages, 4% were moderately vulnerable, and 46% had low vulnerability. A high proportion of smallholder farmers in the hilly zone in the sampled district were highly vulnerable, exposed and sensitive with a low adaptive capacity to climate change compared to the plain zone. The high vulnerability in the hilly zone was attributed to limited resources with a low adjustment capability to counter the disturbances, especially in crop cultivation, in response to climate change. A handful of low-cost and local approaches such as improving farmer extension services, introducing small-scale local infrastructure projects, reinforcing informal safety nets and protecting natural ecosystems could be viable cost-effective options that would also be sustainable given their low recurring costs and the limited maintenance required. © 2019 Elsevier Ltd","container-title":"Ecological Indicators","DOI":"10.1016/j.ecolind.2019.105863","ISSN":"1470160X","language":"English","note":"publisher: Elsevier B.V.","title":"Climate change vulnerability and adaptation strategies for smallholder farmers in Yangi Qala District, Takhar, Afghanistan","URL":"https://www.scopus.com/inward/record.uri?eid=2-s2.0-85074213101&amp;doi=10.1016%2fj.ecolind.2019.105863&amp;partnerID=40&amp;md5=f5d3dc5880670f5df717e2c3344acd81","volume":"110","author":[{"family":"Omerkhil","given":"N."},{"family":"Chand","given":"T."},{"family":"Valente","given":"D."},{"family":"Alatalo","given":"J.M."},{"family":"Pandey","given":"R."}],"issued":{"date-parts":[["2020"]]},"citation-key":"omerkhil_etal_2020"}},{"id":694,"uris":["http://zotero.org/users/7734624/items/AACS57YW"],"itemData":{"id":694,"type":"article-journal","abstract":"This article reports research from 2013 to 2016 with tribal smallholders, which evaluated technological interventions, aimed to diversify and intensify cropping systems and improve the climate resilience of the farming systems using modelling and participatory evaluation process. The options on providing access to irrigation water, strategic use of irrigation, and better crop husbandry practices were evaluated for their potential to impart climate resilience in farming systems. Irrigation trials revealed that, in the event of delayed rainfall, irrigation of 229-267 mm ensured timely transplanting and resulted in higher paddy yields (7.0 t ha−1). Supplemental irrigation during a mid-season dry spell increased paddy yield to from 0.64 to 6.1 t ha−1. Better vegetable cultivation practices viz. drip irrigation, polythene mulch, nursery raising in seedling trays and raised bed cultivation exhibited great potential to build climate resilience in the farming systems of the region. The study highlights the need for investments in small water harvesting structures and the promotion of alternative ways of cultivating and irrigating paddy during different climatic situations. The study suggests effective ways of engaging communities coupled with appropriate technological interventions to understand climate change and adaptation needs of the rice-fallow ecosystems in eastern India. © 2019 Informa UK Limited, trading as Taylor &amp; Francis Group.","container-title":"Climate and Development","DOI":"10.1080/17565529.2019.1696735","ISSN":"17565529","issue":"9","language":"English","note":"publisher: Taylor and Francis Ltd.","page":"791-800","title":"Intensification of rice-fallow cropping systems in the Eastern Plateau region of India: diversifying cropping systems and climate risk mitigation","volume":"12","author":[{"family":"Singh","given":"A.K."},{"family":"Das","given":"B."},{"family":"Mali","given":"S.S."},{"family":"Bhavana","given":"P."},{"family":"Shinde","given":"R."},{"family":"Bhatt","given":"B.P."}],"issued":{"date-parts":[["2020"]]},"citation-key":"singh_etal_2020"}},{"id":953,"uris":["http://zotero.org/users/7734624/items/JP6DPILY"],"itemData":{"id":953,"type":"article-journal","abstract":"Changing climate is posing considerable threats to agriculture, the most vulnerable sector, and to smallholder farming systems, the predominant agricultural livelihood activity in Africa. Study of specific systems enables clearer and more effective responses to be directly targeted for enhanced adaptation, but there is limited knowledge guiding specific subsector vulnerability assessments. We applied the Livelihood Vulnerability Index to understand and identify the nature and sources of vulnerability among smallholder horticultural farming households to climate variability in two districts in Ghana. A total of 480 households engaging in fruit and vegetable crop production were surveyed in Keta and Nsawam districts of Ghana. Data were collected on indicators for Livelihood Vulnerability Index components such as socio-demographic profiles, livelihood strategies, social networking, health, food, production, water, natural disasters, and climate variability. The vulnerability-contributing factors were aggregated in a composite index and differences were compared. The results indicate that smallholder horticultural farmers in Keta are more vulnerable in relation to high exposure and high sensitivity to climate variability, while smallholders in Nsawam are more vulnerable in terms of low capacity to adapt to climate variability. As it is the case for smallholder horticultural farming communities, the study suggests that Livelihood Vulnerability Index can be broadly applied to highlight potential areas for intervention and reduce the vulnerability of sector-specific farming communities within local and national levels. © 2018, Springer Nature B.V.","container-title":"Environment, Development and Sustainability","DOI":"10.1007/s10668-018-0292-y","ISSN":"1387585X","issue":"3","language":"English","note":"publisher: Springer","page":"2321-2342","title":"Assessing vulnerability of horticultural smallholders’ to climate variability in Ghana: applying the livelihood vulnerability approach","volume":"22","author":[{"family":"Williams","given":"P.A."},{"family":"Crespo","given":"O."},{"family":"Abu","given":"M."}],"issued":{"date-parts":[["2020"]]},"citation-key":"williams_etal_2020"}},{"id":698,"uris":["http://zotero.org/users/7734624/items/X9APIH2K"],"itemData":{"id":698,"type":"article-journal","abstract":"The agricultural sector plays a strategic role in the Tunisian economy, particularly in rural areas. Resilience and adaptation to climate change are the main challenges facing this sector. This paper aims to analyze climate change resilience of agricultural production systems in Tunisian semi-arid areas and to propose options for policy interventions. A path Structural Equation Model (SEM) was used to predict the resilience of these systems using the partial least squares method (PLS). Results show that farming systems in Tunisian semi-arid areas remain threatened against negative impact of climate change since 80% of farms in the sample have shown low resilience levels. The most important determinants of agricultural systems’ resilience are farmers’ income and access to food, adaptive capacity, and access to productive and non-productive assets. Results indicate also that integrated systems, income diversification, along with cooperation and collective action are the key options to enhance resilience of rural households and farming systems. It is recommended to raise awareness of stakeholders and decision-makers about climate change challenges and to develop integrated approaches to better engaging with local stakeholders and institutions in adaptation programs and strategies development. © 2021, The Author(s), under exclusive licence to Springer-Verlag GmbH, DE part of Springer Nature.","container-title":"Environmental Science and Pollution Research","DOI":"10.1007/s11356-021-13089-0","ISSN":"09441344","issue":"34","language":"English","note":"publisher: Springer Science and Business Media Deutschland GmbH","page":"46797-46808","title":"Assessing and building climate change resilience of farming systems in Tunisian semi-arid areas","volume":"28","author":[{"family":"Ben Nasr","given":"J."},{"family":"Chaar","given":"H."},{"family":"Bouchiba","given":"F."},{"family":"Zaibet","given":"L."}],"issued":{"date-parts":[["2021"]]},"citation-key":"bennasr_etal_2021"}},{"id":900,"uris":["http://zotero.org/users/7734624/items/ESZ3PZ8X"],"itemData":{"id":900,"type":"article-journal","abstract":"The Mediterranean region is expected to be a hotspot for climate change, making the resilience of farming systems a major challenge. Some studies have used quantitative models at the farm scale to analyze the resilience of farming systems but with little involvement of stakeholders. We used a participatory approach with local actors on the Saïs plain of Morocco to design possible future states and qualitatively assess the resilience of typical farm types (FTs) experiencing major change. Our approach combined individual interviews of farmers and local actors, mainly public, with participatory collective meetings to identify representative FTs and their performance, project their evolutions and future performance in the face of change, and evaluate their resilience. Performance, defined according to literature, interviews and meetings, included different types of capital, income, yields, markets, support of public policies, and water access. Four FTs were considered: highly irrigated horticulture (FT1), rainfed cereals (FT2), partly irrigated cereal-legumes (FT3), and mostly irrigated fruit-tree/horticulture (FT4). The primary driver for FT2 and FT3 was climate change; for FT1 and FT4, it was limiting access to water resources. Participants designed more diversified systems for all FTs in relation to those changes. Rankings of FT performance did not change between current and future states. Performance did not evolve significantly, but FT4 was seen as the most resilient and FT2 the least. These qualitative results differ somewhat from other studies mobilizing quantitative approaches, but they highlight the potential of local adaptation to limit the impacts of global change on vulnerable agriculture. © 2021, The Author(s), under exclusive licence to Springer-Verlag GmbH Germany, part of Springer Nature.","container-title":"Regional Environmental Change","DOI":"10.1007/s10113-021-01764-4","ISSN":"14363798","issue":"2","language":"English","note":"publisher: Springer Science and Business Media Deutschland GmbH","title":"Assessing the resilience of farming systems on the Saïs plain, Morocco","URL":"https://www.scopus.com/inward/record.uri?eid=2-s2.0-85103359646&amp;doi=10.1007%2fs10113-021-01764-4&amp;partnerID=40&amp;md5=924a3e87533f83436132d881f83b85fc","volume":"21","author":[{"family":"Hossard","given":"L."},{"family":"Fadlaoui","given":"A."},{"family":"Ricote","given":"E."},{"family":"Belhouchette","given":"H."}],"issued":{"date-parts":[["2021"]]},"citation-key":"hossard_etal_2021"}},{"id":690,"uris":["http://zotero.org/users/7734624/items/NSG85L53"],"itemData":{"id":690,"type":"article-journal","abstract":"Traditional agricultural practices, extensive use of inputs, and abrupt changes in climate have been of great concern to agriculture production around the world, especially in developing countries. Therefore, it is very vital to adopt and expand Climate-Smart agricultural (CSA) practices. By the cross-sectional data of 350 cotton farmers from major cotton-growing districts of Punjab Pakistan, adoption of CSA practices such as irrigation and soil and crop management practices is evaluated, and factors which affect farmer adoption decision and its impact on poverty, income, and yield are estimated by using logistic regression and propensity score matching (PSM) respectively. The results found that education, access to credit, tubewell ownership, farming experience, and access to extension services positively influenced farmers’ adoption behavior. Further, PSM results revealed that adoption of CSA practices is economical, financially, environmentally desirable, and pro-poor. According to these findings, ultimately adoption would help in reducing the negative impact of climate change on the cotton crop by ensuring profits, removing the barriers in the adoption, disseminating the information about CSA, and strictly enforcing the regulations for CSA. © 2021, The Author(s), under exclusive licence to Springer-Verlag GmbH, DE part of Springer Nature.","container-title":"Environmental Science and Pollution Research","DOI":"10.1007/s11356-021-12425-8","ISSN":"09441344","issue":"21","language":"English","note":"publisher: Springer Science and Business Media Deutschland GmbH","page":"27238-27249","title":"Does the adaptation of climate-smart agricultural practices increase farmers’ resilience to climate change?","volume":"28","author":[{"family":"Jamil","given":"I."},{"family":"Jun","given":"W."},{"family":"Mughal","given":"B."},{"family":"Raza","given":"M.H."},{"family":"Imran","given":"M.A."},{"family":"Waheed","given":"A."}],"issued":{"date-parts":[["2021"]]},"citation-key":"jamil_etal_2021"}},{"id":695,"uris":["http://zotero.org/users/7734624/items/7QDCJQTN"],"itemData":{"id":695,"type":"article-journal","abstract":"Given the challenges presented by climate change, water shortages, and land degradation, sustainable agriculture approaches that increase farming systems’ yield and resilience are required more than eve, particularly in rainfed areas.The findings reported here derive from a regional collaborative project (http://www.sri-lmb.ait.asia/). More than 15,000 farmers participated in the field trials located in 33 districts of 11 provinces in the Lower-Mekong-Basin (LMB). The number of experiments conducted was more than 1,500. Relative to the pre-project baseline survey, project data show that System of Rice Intensification practices helped to improve conditions across the LMB region. Average rice yield increased by 52%, net economic returns were raised by 70%. Labour productivity increased by 64%; water productivity by 61%; and the efficiency of mineral fertilizer-use rose by 163%. The total energy input required for farming operations was decreased by 34%, while emissions of greenhouse gas were significantly reduced, by 14% with irrigated rice production, and by 17% per-hectare in rainfed cropping.The results of this farmer-participatory research characterize climate-smart agricultural practices that can promote household-food-security and support market-oriented development at low cost, especially in rainfed areas that have not figured prominently in development plans. © 2021 Informa UK Limited, trading as Taylor &amp; Francis Group.","container-title":"International Journal of Agricultural Sustainability","DOI":"10.1080/14735903.2020.1866852","ISSN":"14735903","issue":"2","language":"English","note":"publisher: Taylor and Francis Ltd.","page":"152-174","title":"Food security and climate-smart agriculture in the lower Mekong basin of Southeast Asia: evaluating impacts of system of rice intensification with special reference to rainfed agriculture","volume":"19","author":[{"family":"Mishra","given":"A."},{"family":"Ketelaar","given":"J.W."},{"family":"Uphoff","given":"N."},{"family":"Whitten","given":"M."}],"issued":{"date-parts":[["2021"]]},"citation-key":"mishra_etal_2021"}},{"id":925,"uris":["http://zotero.org/users/7734624/items/9WJDHG8S"],"itemData":{"id":925,"type":"article-journal","abstract":"In developing countries like Pakistan, agriculture constitutes the primary source of support for the majority of rural and the adjacent urban population. Despite the large part it plays in the economy, it faces significant challenges caused by climate change, such as rising temperatures, floods, droughts, and yield losses. In Pakistan, rice, which is the second most essential food crop and livelihood source for the millions of farm households, is facing significant yield reduction due to climate change. It is pertinent to consider the vulnerabilities of farm households and related factors to create a climatic-resilient farming system. The current study is aimed at mapping the vulnerability of rice-growing communities of Punjab province while considering climatic challenges beyond temperatures and rainfall changes. The Climate Change Vulnerability Index (CCVI) was calculated for four rice-growing districts of Punjab province using the Intergovernmental Panel on Climate Change's three-indicator approach (sensitivity, exposition, and adaptive capacity). According to the results, farmers in the study area are highly vulnerable to climate change (CCVI 0.81). Specifically, the indices of vulnerability components showed that farmers have a high level of exposure (EVI 0.72) and susceptibility (SVI 0.59) to the climatic uncertainties with the least adaptive capacity (AVI 0.50). Further, the vulnerability analysis across different rice-growing regions showed that farmers, particularly in the low-yield region, are more vulnerable (EVI 0.73, SVI 0.61, AVI 0.49, CCVI 0.85) than the farmers in the high-yield region (EVI 0.71, SVI 0.58, AVI 0.51, CCVI 0.78). These findings imply that regional priority must be given despite the difference in farm performance to reduce production losses. Besides, climate-smart adaptation initiatives should be facilitated at the farm and regional levels through the implementation of appropriate policies and investment plans.","container-title":"ENVIRONMENTAL SCIENCE AND POLLUTION RESEARCH","DOI":"10.1007/s11356-020-10758-4","ISSN":"0944-1344","issue":"4, SI","language":"English","note":"publisher-place: TIERGARTENSTRASSE 17, D-69121 HEIDELBERG, GERMANY\npublisher: SPRINGER HEIDELBERG\ntype: Article","page":"4229-4244","title":"Mapping farmers' vulnerability to climate change and its induced hazards: evidence from the rice-growing zones of Punjab, Pakistan","volume":"28","author":[{"family":"Khan","given":"Nasir Abbas"},{"family":"Gao","given":"Qijie"},{"family":"Abid","given":"Muhammad"},{"family":"Shah","given":"Ashfaq Ahmad"}],"issued":{"date-parts":[["2021",1]]},"citation-key":"khan_etal_2021"}},{"id":3372,"uris":["http://zotero.org/users/7734624/items/3RQHV4U2"],"itemData":{"id":3372,"type":"article-journal","container-title":"Environmental Science and Pollution Research","DOI":"10.1007/s11356-021-17615-y","ISSN":"0944-1344, 1614-7499","issue":"16","journalAbbreviation":"Environ Sci Pollut Res","language":"en","page":"23750-23766","source":"DOI.org (Crossref)","title":"Synergy between climate risk perception, adaptation responses, and agricultural productivity: the case of rice farming communities in Pakistan","title-short":"Synergy between climate risk perception, adaptation responses, and agricultural productivity","volume":"29","author":[{"family":"Khan","given":"Nasir Abbas"},{"family":"Gong","given":"Zaiwu"},{"family":"Shah","given":"Ashfaq Ahmad"}],"issued":{"date-parts":[["2022",4]]},"citation-key":"khan_etal_2022a"}},{"id":811,"uris":["http://zotero.org/users/7734624/items/QTWS7QU2"],"itemData":{"id":811,"type":"article-journal","abstract":"CONTEXT\nNew types of farming systems have emerged in response to societal demands to reduce environmental impacts and dependence on non-renewable resources. These agriculture models can be classified according to their relative use of anthropic inputs or biodiversity and associated ecosystem services as agricultural production factors. All these models are exposed to climate change, price volatility and other disturbances. However, little is known about their resilience levels and the factors that drive them.\nOBJECTIVE\nWe assessed the resilience of 30 highly contrasted cropping agroecosystems in north-eastern France which covered a broad gradient from simplified and intensified to complex and biodiversity-based agroecosystems.\nMETHODS\nWe applied a quantitative analysis of the dynamics of three key performances over eight years: yield, gross margin and workload. An original combined set of adapted criteria − level, variability, trend and resistance − was used to assess their dynamics, i.e. their resilience. We use partial least squares regression, multiple regression trees and Pareto ranking to identify relationships among the characteristics and resilience performance of these systems.\nRESULTS AND CONCLUSIONS\nThe results showed that biodiversity-based agroecosystems, which provide a high level of ecosystem services to farmers or an increase in natural capital, tended to have stable performances. These systems also had a lower workload than intensified systems. Conversely, input-based systems, especially irrigated and tillage-intensive systems, had higher yields and gross margins, were resistant to major disturbances but were less stable.\nSIGNIFICANCE\nWhile our results show benefits of relying on biodiversity to stabilise system performances, we highlight a potential trade-off between performance level and stability, as well as possible solutions to overcome it. We also discuss the short-term strategy of anthropic input-based systems, which perform well, but consume large amounts of human and natural resources. We show potential advantages of systems that balance both ecosystem services and anthropic inputs to provide a strategy to fill the yield gap and attain resilience.","container-title":"Agricultural Systems","DOI":"10.1016/j.agsy.2022.103365","ISSN":"0308-521X","journalAbbreviation":"Agricultural Systems","language":"en","page":"103365","source":"ScienceDirect","title":"Resilience of agricultural systems: biodiversity-based systems are stable, while intensified ones are resistant and high-yielding","title-short":"Resilience of agricultural systems","volume":"197","author":[{"family":"Dardonville","given":"Manon"},{"family":"Bockstaller","given":"Christian"},{"family":"Villerd","given":"Jean"},{"family":"Therond","given":"Olivier"}],"issued":{"date-parts":[["2022",3,1]]},"citation-key":"dardonville_etal_2022"}},{"id":3612,"uris":["http://zotero.org/users/7734624/items/RX5DCEGB"],"itemData":{"id":3612,"type":"article-journal","abstract":"The complexities of smallholder farming systems pose a challenge in demonstrating the potential benefits or risks of new technologies and policies. Using Integrated Analysis Tool, a rule-based dynamic simulation model, this study tried to improve the performance of major farming systems in the Tamil Nadu State of India. Amongst the four major farming systems viz. Black gram-based (BFS), Paddy-based (PFS), and Integrated Farming Systems (IFS) in Villupuram district and Dryland Farming System (DFS) in Virudhunagar district, IFS was found to be the most profitable and resilient based on their performance simulated for a 3-year rotation. Setting IFS as a benchmark, potential interventions were evaluated under other farming systems to improve their relative performance. The analysis allowed understanding the interactions in smallholder farming systems and the potential impact of interventions in a whole farm way considering the cash flows, cost intensity, and input-output trade-offs. While multi-bloom technology in black gram increased the net profit of BFS without much stress on input and labour, area expansion under rainfed groundnut incurred high expenditure. Trading-off paddy with maize and groundnut significantly increased the net profit of PFS but replacing sugarcane with tapioca and turmeric was not remunerative. Improved livestock management practices have substantially increased the net profit of DFS wherein crop yield could not be enhanced substantially without the prospects of good irrigation infrastructure. The irrigation endowed PFS has achieved 90% performance, whereas the water-starved BFS and DFS could achieve only 65% performance of IFS. We conclude that agricultural policy must not only focus on potential interventions that are profitable but also consider what is acceptable to the farmer, considering synergies and trade-offs between competing resources at the farm level.","container-title":"Outlook on Agriculture","DOI":"10.1177/00307270221077380","ISSN":"0030-7270","issue":"2","journalAbbreviation":"Outlook Agric","language":"en","note":"publisher: SAGE Publications Ltd","page":"197-212","source":"SAGE Journals","title":"Technology, infrastructure and enterprise trade-off: Strengthening smallholder farming systems in Tamil Nadu State of India for sustainable income and food security","title-short":"Technology, infrastructure and enterprise trade-off","volume":"51","author":[{"family":"Varadan","given":"R Jayakumara"},{"family":"Mamidanna","given":"Sravya"},{"family":"Kumar","given":"Shalander"},{"family":"Ahmed","given":"SK Zamir"},{"family":"Jaisankar","given":"I"}],"issued":{"date-parts":[["2022",6,1]]},"citation-key":"varadan_etal_2022"}},{"id":3322,"uris":["http://zotero.org/users/7734624/items/JC8P99DK"],"itemData":{"id":3322,"type":"article-journal","abstract":"Abstract\n            We explore the impact of climate change adaptation on the technical efficiency of Ethiopian farmers using panel data collected from 6820 farm plots. We employ Green's (2010) stochastic frontier approach and propensity score matching to address selection bias. Our results reveal that climate change adaptation improves the efficiency of maize, wheat and barley production. We also show that failure to account for selection bias underestimates the average efficiency level. Our findings imply that the expansion of climate change adaptation at larger scales will provide a double benefit by curbing climate‐related risks and increasing the efficiency of farmers. Moreover, increasing credit access and introducing mechanisms that allow farmers to get enough water during the main growing season will enhance the efficiency of subsistence farmers.","container-title":"Journal of Agricultural Economics","DOI":"10.1111/1477-9552.12479","ISSN":"0021-857X, 1477-9552","issue":"3","journalAbbreviation":"J Agricultural Economics","language":"en","page":"739-760","source":"DOI.org (Crossref)","title":"Climate change adaptation and productive efficiency of subsistence farming: A bias‐corrected panel data stochastic frontier approach","title-short":"Climate change adaptation and productive efficiency of subsistence farming","volume":"73","author":[{"family":"Asmare","given":"Fissha"},{"family":"Jaraitė","given":"Jūratė"},{"family":"Kažukauskas","given":"Andrius"}],"issued":{"date-parts":[["2022",9]]},"citation-key":"asmare_etal_2022"}},{"id":3261,"uris":["http://zotero.org/users/7734624/items/MIMRDVWW"],"itemData":{"id":3261,"type":"article-journal","abstract":"Groundwater irrigation is essential to sustain food production, and aquifer depletion represents a major sustainability challenge for humanity. There is a need for adequate modelling tools to assess the impacts of farming practices on groundwater resources with policy-makers and farmers in different contexts, especially in the case of smallholder farms in the tropics. We introduce the NIRAVARI model, which was designed to represent the Indian farming and water resource context. NIRAVARI is a parsimonious model integrating biophysical and decisional processes dealing with the farming system and the water table processes. A specific focus is given to how to irrigate with multiple water resources. Its formalisms include equations from well-tested published models for soil moisture and plant water stress simulations. The programming and graphic user interface is based on Excel VBA. We illustrate the ability of NIRAVARI to simulate a broad range of farmer adaptation strategies using four scenarios of cropping systems and water resources policies, and therefore, its interest for participatory scenario design and assessment with stakeholders.","container-title":"Water","DOI":"10.3390/w14203211","ISSN":"2073-4441","issue":"20","journalAbbreviation":"Water","language":"en","license":"https://creativecommons.org/licenses/by/4.0/","page":"3211","source":"DOI.org (Crossref)","title":"NIRAVARI: A Parsimonious Bio-Decisional Model for Assessing the Sustainability and Vulnerability of Rainfed or Groundwater-Irrigated Farming Systems in Indian Agriculture","title-short":"NIRAVARI","volume":"14","author":[{"family":"Bergez","given":"Jacques-Eric"},{"family":"Baccar","given":"Mariem"},{"family":"Sekhar","given":"Muddu"},{"family":"Ruiz","given":"Laurent"}],"issued":{"date-parts":[["2022",10,12]]},"citation-key":"bergez_etal_2022"}},{"id":3259,"uris":["http://zotero.org/users/7734624/items/DG63YPC4"],"itemData":{"id":3259,"type":"article-journal","abstract":"The climate change impacts of South Asia (SA) are inextricably linked with increased monsoon variability and a clearly deteriorating trend with more frequent deficit monsoons. One of the most climate-vulnerable nations in the eastern and central Indo-Gangetic Basin is Bangladesh. There have been numerous studies on the effects of climate change in Bangladesh; however, most of them tended to just look at a small fraction of the impact elements or were climatic projections without accounting for the effects on agriculture. Additionally, simulation studies using the CERES-Rice and CERES-Wheat models were conducted for rice and wheat to evaluate the effects of climate change on Bangladeshi agriculture. However, up to now, Bangladesh has not implemented farming system ideas by integrating cropping systems with other income-generating activities. This study was conducted as part of the Indo-Gangetic Basin (IGB) regional evaluations using the protocols and integrated assessment processes of the Agricultural Model Intercomparison and Improvement Project (AgMIP). It was also done to calibrate crop models (APSIM and DSSAT) using rice and wheat. To assist policymakers in creating national and regional plans for anticipated future agricultural systems, our work on the integrated evaluation of climate change impacts on agricultural systems produced realistic predictions. The outcome of this research prescribes a holistic assessment of climate change on future production systems by including all the relevant enterprises in the agriculture sector. The findings of the study suggested two major strategies to minimize the yield and increase the profitability in a rice–wheat cropping system. Using a short-term HYV (High Yielding Variety) of rice can shift the sowing time of wheat by 7 days in advance compared to the traditional sowing days of mid-November. In addition, increasing the irrigation amount by 50 mm for wheat showed a better yield by 1.5–32.2% in different scenarios. These climate change adaptation measures could increase the per capita income by as high as 3.6% on the farm level.","container-title":"International Journal of Environmental Research and Public Health","DOI":"10.3390/ijerph192315829","ISSN":"1660-4601","issue":"23","journalAbbreviation":"IJERPH","language":"en","license":"https://creativecommons.org/licenses/by/4.0/","page":"15829","source":"DOI.org (Crossref)","title":"Climate Change Impacts Assessment Using Crop Simulation Model Intercomparison Approach in Northern Indo-Gangetic Basin of Bangladesh","volume":"19","author":[{"family":"Chawdhery","given":"Md Rafique Ahasan"},{"family":"Al-Mueed","given":"Murtuza"},{"family":"Wazed","given":"Md Abdul"},{"family":"Emran","given":"Shah-Al"},{"family":"Chowdhury","given":"Md Abeed Hossain"},{"family":"Hussain","given":"Sk Ghulam"}],"issued":{"date-parts":[["2022",11,28]]},"citation-key":"chawdhery_etal_2022"}},{"id":3346,"uris":["http://zotero.org/users/7734624/items/89PSQCE6"],"itemData":{"id":3346,"type":"article-journal","container-title":"Agricultural Systems","DOI":"10.1016/j.agsy.2022.103537","ISSN":"0308521X","journalAbbreviation":"Agricultural Systems","language":"en","page":"103537","source":"DOI.org (Crossref)","title":"Adaptive capacity of farming systems to climate change in Iran: Application of composite index approach","title-short":"Adaptive capacity of farming systems to climate change in Iran","volume":"204","author":[{"family":"Abdollahzadeh","given":"Gholamhossein"},{"family":"Sharifzadeh","given":"Mohammad Sharif"},{"family":"Sklenička","given":"Petr"},{"family":"Azadi","given":"Hossein"}],"issued":{"date-parts":[["2023",1]]},"citation-key":"abdollahzadeh_etal_2023"}},{"id":3343,"uris":["http://zotero.org/users/7734624/items/JDJQPVNK"],"itemData":{"id":3343,"type":"article-journal","container-title":"Environmental Management","DOI":"10.1007/s00267-022-01604-z","ISSN":"0364-152X, 1432-1009","issue":"1","journalAbbreviation":"Environmental Management","language":"en","page":"74-86","source":"DOI.org (Crossref)","title":"Exploring farmers’ adaptation strategies to water shortage under climate change in the Tunisian semi-arid region","volume":"71","author":[{"family":"Soltani","given":"Lamia"},{"family":"Mellah","given":"Thuraya"}],"issued":{"date-parts":[["2023",1]]},"citation-key":"soltani_mellah_2023"}},{"id":3283,"uris":["http://zotero.org/users/7734624/items/8CQFRMVY"],"itemData":{"id":3283,"type":"article-journal","container-title":"Agricultural Systems","DOI":"10.1016/j.agsy.2023.103724","ISSN":"0308521X","journalAbbreviation":"Agricultural Systems","language":"en","page":"103724","source":"DOI.org (Crossref)","title":"A framework for the assessment of farm diversification options in broadacre agriculture","volume":"210","author":[{"family":"Adhikari","given":"Lipy"},{"family":"Komarek","given":"Adam M."},{"family":"De Voil","given":"Peter"},{"family":"Rodriguez","given":"Daniel"}],"issued":{"date-parts":[["2023",8]]},"citation-key":"adhikari_etal_2023"}},{"id":3311,"uris":["http://zotero.org/users/7734624/items/JQMSVRNU"],"itemData":{"id":3311,"type":"article-journal","abstract":"This study assesses the perceptions and vulnerability of the farming communities to climate change in the southwestern parts of Ethiopia. Climate change vulnerability assessment is a prerequisite to designing climate change adaptation strategies. A multistage cluster sampling technique was used to select four of the six zones from the southwestern parts of Oromia. Close-ended and open-ended questionnaires were used to assess household perceptions of climate change and the degree of vulnerability to climate change by using five household capitals: natural, social, financial, physical, and human capital. Data were collected from 442 households in 4 districts: Jimma Arjo, Bako Tibe, Chewaka, and Sekoru. The vulnerability of the farming communities was assessed using the households’ livelihood vulnerability index. A total of forty indicators from five capitals were applied to calculate household livelihood vulnerability to climate change. Household perceptions of climate change had a statistically significant relationship with changes in rainfall pattern (75.6%, p &lt; 0.001), temperature pattern (69.7%, p &lt; 0.001), drought (41.6%, p = 0.016), flood (44.1%, p = 0.000), and occurrence of early (53.2%, p &lt; 0.001) and late rain (55.9%, p &lt; 0.001). The results show that households in the Sekoru district were the most vulnerable (0.61), while households in the Jimma Arjo district were less vulnerable (0.47) to the effect of climate change. Household vulnerability to climate change is mainly related to the occurrence of drought, lack of much-needed infrastructure facilities, and weak institutional support. Links with financial organizations are also lacking in the household. The findings of this study will help policymakers to address the impact of climate change. To support disaster risk management on the one hand and increase the resilience of vulnerable societies to climate change on the other, we recommend a detailed assessment of the remaining districts of the region.","container-title":"Climate","DOI":"10.3390/cli11090183","ISSN":"2225-1154","issue":"9","journalAbbreviation":"Climate","language":"en","license":"https://creativecommons.org/licenses/by/4.0/","page":"183","source":"DOI.org (Crossref)","title":"Climate Change Perception and Vulnerability Assessment of the Farming Communities in the Southwest Parts of Ethiopia","volume":"11","author":[{"family":"Gemeda","given":"Dessalegn Obsi"},{"family":"Korecha","given":"Diriba"},{"family":"Garedew","given":"Weyessa"}],"issued":{"date-parts":[["2023",9,5]]},"citation-key":"gemeda_etal_2023"}},{"id":3269,"uris":["http://zotero.org/users/7734624/items/ZQXQBSFJ"],"itemData":{"id":3269,"type":"article-journal","container-title":"Computers and Electronics in Agriculture","DOI":"10.1016/j.compag.2023.108380","ISSN":"01681699","journalAbbreviation":"Computers and Electronics in Agriculture","language":"en","page":"108380","source":"DOI.org (Crossref)","title":"i-RAT: A discussion support system to rapidly assess economic and environmental impacts of different sugarcane irrigation practices","title-short":"i-RAT","volume":"215","author":[{"family":"Collins","given":"Brian"},{"family":"Attard","given":"Steve"},{"family":"Banhalmi-Zakar","given":"Zsuzsa"},{"family":"Everingham","given":"Yvette"}],"issued":{"date-parts":[["2023",12]]},"citation-key":"collins_etal_2023"}},{"id":3309,"uris":["http://zotero.org/users/7734624/items/TE7LJQNF"],"itemData":{"id":3309,"type":"article-journal","container-title":"Research in Globalization","DOI":"10.1016/j.resglo.2023.100138","ISSN":"2590051X","journalAbbreviation":"Research in Globalization","language":"en","page":"100138","source":"DOI.org (Crossref)","title":"Vulnerability of family farming systems to climate change: The case of the forest-savannah transition zone, Centre Region of Cameroon","title-short":"Vulnerability of family farming systems to climate change","volume":"7","author":[{"family":"Marie Chimi","given":"Pierre"},{"family":"Armand Mala","given":"William"},{"family":"Ngamsou Abdel","given":"Karimou"},{"family":"Louis Fobane","given":"Jean"},{"family":"Manga Essouma","given":"François"},{"family":"Hermann Matick","given":"John"},{"family":"Yldephonse Nyonce Pokam","given":"Eusebe"},{"family":"Tcheferi","given":"Imma"},{"family":"Martin Bell","given":"Joseph"}],"issued":{"date-parts":[["2023",12]]},"citation-key":"mariechimi_etal_2023"}},{"id":3310,"uris":["http://zotero.org/users/7734624/items/UKZILLQ9"],"itemData":{"id":3310,"type":"article-journal","container-title":"Mitigation and Adaptation Strategies for Global Change","DOI":"10.1007/s11027-023-10097-y","ISSN":"1381-2386, 1573-1596","issue":"1","journalAbbreviation":"Mitig Adapt Strateg Glob Change","language":"en","page":"7","source":"DOI.org (Crossref)","title":"Differentiated socio-ecological system approach for vulnerability and adaptation assessment in the Central Himalaya","volume":"29","author":[{"family":"Kumar","given":"Praveen"},{"family":"Fürst","given":"Christine"},{"family":"Joshi","given":"P. K."}],"issued":{"date-parts":[["2024",1]]},"citation-key":"kumar_etal_2024"}},{"id":3286,"uris":["http://zotero.org/users/7734624/items/XNDAQFCC"],"itemData":{"id":3286,"type":"article-journal","abstract":"Agriculture is vital to the Saudi Arabian economy since it provides food and other necessities to people living in rural areas, as well as those living in adjacent cities. Notwithstanding its considerable economic importance, the agricultural sector is confronted with formidable obstacles due to climate change, such as elevated temperatures, floods, extreme droughts, and decreased agricultural yields. Building a farming system capable of being climate resilient requires the comprehension of the vulnerabilities of farm households and related systems. This paper deals with the potential agricultural risks resulting from climate change in Saudi Arabia. In addition to concentrating on precipitation and temperature, the present research incorporates the three main components of the Climate Change Vulnerability Index (CCVI): sensitivity, exposure, and adaptive capability. The results of this research reveal a notable challenge that farmers in Saudi Arabia encounter, as they are very susceptible to the impacts of climate change. The Climate Change Vulnerability Index (CCVI) has a score of 0.730, signifying a substantial degree of vulnerability. The farmers in this region are very susceptible to uncertainties caused by climate change, as indicated by the significant exposure score of 0.725. This exposure comprises a wide range of concerns resulting from fluctuations in temperature, patterns of rainfall, and occurrences of severe weather, all of which have an immediate and negative effect on agriculture. Farmers in</w:instrText>
            </w:r>
            <w:r w:rsidR="00E75E02" w:rsidRPr="00E75E02">
              <w:rPr>
                <w:rFonts w:ascii="Times New Roman" w:eastAsia="Times New Roman" w:hAnsi="Times New Roman" w:cs="Times New Roman"/>
                <w:color w:val="000000"/>
                <w:lang w:val="fr-FR" w:eastAsia="en-GB"/>
              </w:rPr>
              <w:instrText xml:space="preserve"> that region are more susceptible to the effects of climate change, which could jeopardize their livelihoods and agricultural operations, as shown by the susceptibility component (SVI) of 0.559. Moreover, the adaptive capacity (AVI) score of 0.567 highlights the fact that farmers have limited access to resources, skills, and experience, hindering their ability to tackle the challenges that have been caused by climate change in this region successfully. The results emphasize the immediate necessity for specific policies and assistance to enhance the resilience of agricultural communities in the area, as well as to mitigate the potential adverse effects of climate change on their livelihoods.","container-title":"Sustainability","DOI":"10.3390/su16104245","ISSN":"2071-1050","issue":"10","journalAbbreviation":"Sustainability","language":"en","license":"https://creativecommons.org/licenses/by/4.0/","page":"4245","source":"DOI.org (Crossref)","title":"Exploring Climate-Induced Agricultural Risk in Saudi Arabia: Evidence from Farming Communities of Medina Region","title-short":"Exploring Climate-Induced Agricultural Risk in Saudi Arabia","volume":"16","author":[{"family":"Alotaibi","given":"Bader Alhafi"},{"family":"Xu","given":"Weizhou"},{"family":"Shah","given":"Ashfaq Ahmad"},{"family":"Ullah","given":"Wahid"}],"issued":{"date-parts":[["2024",5,17]]},"citation-key":"alotaibi_etal_2024"}}],"schema":"https://github.com/citation-style-language/schema/raw/master/csl-citation.json"}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E75E02" w:rsidRPr="00E75E02">
              <w:rPr>
                <w:rFonts w:ascii="Times New Roman" w:hAnsi="Times New Roman" w:cs="Times New Roman"/>
                <w:lang w:val="fr-FR"/>
              </w:rPr>
              <w:t>(Schaap et al. 2013; Rodriguez et al. 2014; Mutabazi et al. 2015; Poulton et al. 2016; Hochman et al. 2017; Tibesigwa et al. 2017; Lopez-Ridaura et al. 2018; Souissi et al. 2018; Dobkowitz et al. 2020; Omerkhil et al. 2020; Singh et al. 2020; Williams et al. 2020a; Ben Nasr et al. 2021; Hossard et al. 2021; Jamil et al. 2021; Mishra et al. 2021; Khan et al. 2021, 2022; Dardonville et al. 2022; Varadan et al. 2022; Asmare et al. 2022; Bergez et al. 2022; Chawdhery et al. 2022; Abdollahzadeh et al. 2023; Soltani and Mellah 2023; Adhikari et al. 2023; Gemeda et al. 2023; Collins et al. 2023; Marie Chimi et al. 2023; Kumar et al. 2024; Alotaibi et al. 2024)</w:t>
            </w:r>
            <w:r w:rsidRPr="00FF4B56">
              <w:rPr>
                <w:rFonts w:ascii="Times New Roman" w:eastAsia="Times New Roman" w:hAnsi="Times New Roman" w:cs="Times New Roman"/>
                <w:color w:val="000000"/>
                <w:lang w:eastAsia="en-GB"/>
              </w:rPr>
              <w:fldChar w:fldCharType="end"/>
            </w:r>
          </w:p>
        </w:tc>
      </w:tr>
      <w:tr w:rsidR="00482CE2" w:rsidRPr="00AF6801" w14:paraId="13058D3D" w14:textId="6D74342B" w:rsidTr="00406364">
        <w:trPr>
          <w:trHeight w:val="288"/>
        </w:trPr>
        <w:tc>
          <w:tcPr>
            <w:tcW w:w="0" w:type="auto"/>
            <w:tcBorders>
              <w:top w:val="nil"/>
              <w:left w:val="nil"/>
              <w:bottom w:val="nil"/>
              <w:right w:val="nil"/>
            </w:tcBorders>
            <w:shd w:val="clear" w:color="000000" w:fill="FFFFFF"/>
          </w:tcPr>
          <w:p w14:paraId="1A9A59AD" w14:textId="77777777" w:rsidR="00482CE2" w:rsidRPr="00FF4B56" w:rsidRDefault="00482CE2" w:rsidP="00406364">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hideMark/>
          </w:tcPr>
          <w:p w14:paraId="436B6850" w14:textId="58218FE6" w:rsidR="00482CE2" w:rsidRPr="00FF4B56" w:rsidRDefault="00482CE2" w:rsidP="00406364">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val="fr-FR" w:eastAsia="en-GB"/>
              </w:rPr>
              <w:t> </w:t>
            </w:r>
          </w:p>
        </w:tc>
        <w:tc>
          <w:tcPr>
            <w:tcW w:w="5310" w:type="dxa"/>
            <w:tcBorders>
              <w:top w:val="nil"/>
              <w:left w:val="nil"/>
              <w:bottom w:val="nil"/>
              <w:right w:val="nil"/>
            </w:tcBorders>
            <w:shd w:val="clear" w:color="000000" w:fill="FFFFFF"/>
            <w:noWrap/>
            <w:hideMark/>
          </w:tcPr>
          <w:p w14:paraId="0A8DAC9E" w14:textId="146BB08C" w:rsidR="00482CE2" w:rsidRPr="00FF4B56" w:rsidRDefault="00482CE2" w:rsidP="00406364">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val="fr-FR" w:eastAsia="en-GB"/>
              </w:rPr>
              <w:t xml:space="preserve">Access to information and </w:t>
            </w:r>
            <w:proofErr w:type="spellStart"/>
            <w:r w:rsidRPr="00FF4B56">
              <w:rPr>
                <w:rFonts w:ascii="Times New Roman" w:eastAsia="Times New Roman" w:hAnsi="Times New Roman" w:cs="Times New Roman"/>
                <w:color w:val="000000"/>
                <w:lang w:val="fr-FR" w:eastAsia="en-GB"/>
              </w:rPr>
              <w:t>advice</w:t>
            </w:r>
            <w:proofErr w:type="spellEnd"/>
          </w:p>
        </w:tc>
        <w:tc>
          <w:tcPr>
            <w:tcW w:w="1350" w:type="dxa"/>
            <w:tcBorders>
              <w:top w:val="nil"/>
              <w:left w:val="nil"/>
              <w:bottom w:val="nil"/>
              <w:right w:val="nil"/>
            </w:tcBorders>
            <w:shd w:val="clear" w:color="000000" w:fill="FFFFFF"/>
            <w:noWrap/>
            <w:hideMark/>
          </w:tcPr>
          <w:p w14:paraId="7823DDEC" w14:textId="2D220DC0" w:rsidR="00482CE2" w:rsidRPr="00FF4B56" w:rsidRDefault="00EF7700" w:rsidP="00406364">
            <w:pPr>
              <w:spacing w:after="0" w:line="360" w:lineRule="auto"/>
              <w:rPr>
                <w:rFonts w:ascii="Times New Roman" w:eastAsia="Times New Roman" w:hAnsi="Times New Roman" w:cs="Times New Roman"/>
                <w:color w:val="000000"/>
                <w:lang w:val="fr-FR" w:eastAsia="en-GB"/>
              </w:rPr>
            </w:pPr>
            <w:r>
              <w:rPr>
                <w:rFonts w:ascii="Times New Roman" w:eastAsia="Times New Roman" w:hAnsi="Times New Roman" w:cs="Times New Roman"/>
                <w:color w:val="000000"/>
                <w:lang w:val="fr-FR" w:eastAsia="en-GB"/>
              </w:rPr>
              <w:t>26</w:t>
            </w:r>
          </w:p>
        </w:tc>
        <w:tc>
          <w:tcPr>
            <w:tcW w:w="5274" w:type="dxa"/>
            <w:tcBorders>
              <w:left w:val="nil"/>
              <w:right w:val="nil"/>
            </w:tcBorders>
            <w:shd w:val="clear" w:color="000000" w:fill="FFFFFF"/>
          </w:tcPr>
          <w:p w14:paraId="1E024C16" w14:textId="355B154C" w:rsidR="00482CE2" w:rsidRPr="00FF4B56" w:rsidRDefault="000D2AF8" w:rsidP="00406364">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AB1EE8">
              <w:rPr>
                <w:rFonts w:ascii="Times New Roman" w:eastAsia="Times New Roman" w:hAnsi="Times New Roman" w:cs="Times New Roman"/>
                <w:color w:val="000000"/>
                <w:lang w:val="fr-FR" w:eastAsia="en-GB"/>
              </w:rPr>
              <w:instrText xml:space="preserve"> ADDIN ZOTERO_ITEM CSL_CITATION {"citationID":"aK1EDRsV","properties":{"formattedCitation":"(Jacobi et al. 2015; Mutabazi et al. 2015; Jiri et al. 2017; Tibesigwa et al. 2017; Dobkowitz et al. 2020; Omerkhil et al. 2020; Williams et al. 2020a, b; Panta et al. 2020; Ben Nasr et al. 2021; Mohammed et al. 2021; Naz and Saqib 2021; Khan et al. 2021; Chukwuone and Amaechina 2021; Rai et al. 2022; Gugissa et al. 2022; Koch et al. 2022; Asrari et al. 2022; Mugandani et al. 2022; Abdollahzadeh et al. 2023; Gemeda et al. 2023; Haydari et al. 2023; Marie Chimi et al. 2023; Amarnath et al. 2023; Postigo et al. 2024; Alotaibi et al. 2024)","plainCitation":"(Jacobi et al. 2015; Mutabazi et al. 2015; Jiri et al. 2017; Tibesigwa et al. 2017; Dobkowitz et al. 2020; Omerkhil et al. 2020; Williams et al. 2020a, b; Panta et al. 2020; Ben Nasr et al. 2021; Mohammed et al. 2021; Naz and Saqib 2021; Khan et al. 2021; Chukwuone and Amaechina 2021; Rai et al. 2022; Gugissa et al. 2022; Koch et al. 2022; Asrari et al. 2022; Mugandani et al. 2022; Abdollahzadeh et al. 2023; Gemeda et al. 2023; Haydari et al. 2023; Marie Chimi et al. 2023; Amarnath et al. 2023; Postigo et al. 2024; Alotaibi et al. 2024)","noteIndex":0},"citationItems":[{"id":683,"uris":["http://zotero.org/users/7734624/items/8N5L7UIX"],"itemData":{"id":683,"type":"article-journal","abstract":"Cocoa production in Alto Beni, Bolivia, is a major source of income and is severely affected by climate change impacts and other stress factors. Resilient farming systems are, thus, important for local families. This study compares indicators for social–ecological resilience in 30 organic and 22 nonorganic cocoa farms of Alto Beni. Organic farms had a higher tree and crop diversity, higher yields and incomes, more social connectedness, and participated in more courses on cocoa cultivation. Resilience was enhanced by local farmers’ organizations, providing organic certification and supporting diversified agroforestry with seedlings and extension, going beyond basic organic certification requirements. Copyright © Taylor &amp; Francis Group, LLC.","container-title":"Agroecology and Sustainable Food Systems","DOI":"10.1080/21683565.2015.1039158","ISSN":"21683565","issue":"7","language":"English","note":"publisher: Bellwether Publishing, Ltd.","page":"798-823","title":"Farm Resilience in Organic and Nonorganic Cocoa Farming Systems in Alto Beni, Bolivia","volume":"39","author":[{"family":"Jacobi","given":"J."},{"family":"Schneider","given":"M."},{"family":"Pillco Mariscal","given":"M."},{"family":"Huber","given":"S."},{"family":"Weidmann","given":"S."},{"family":"Bottazzi","given":"P."},{"family":"Rist","given":"S."}],"issued":{"date-parts":[["2015"]]},"citation-key":"jacobi_etal_2015"}},{"id":684,"uris":["http://zotero.org/users/7734624/items/IIGIISUT"],"itemData":{"id":684,"type":"article-journal","abstract":"Given the projected climatic changes, building resilient agricultural systems is of vital significance in protecting vulnerable agrarian communities in sub-Saharan Africa. Under this scenario, the article attempts to identify a set of resilience-building adaptive strategies (intensification, diversification, alteration, migration, etc.) among farmers in Morogoro, Tanzania, and crafts a composite index of these strategies using a principal component analysis-based weighting scheme. The analysis also reveals the latent structure and internal correlations of actions intended to build resilience of the farming systems. Subsequently, the linkages of livelihood resources (natural, human, social and financial capitals) to the resilience-building strategies are examined. A multiple regression analysis is employed to link the composite index to variables representing the four capitals. The results bring quantitative evidence to the linkages and highlight the need of enhancing livelihood resources to enhance the ability to undertake adaptive strategies that denotes the ability to withstand stresses and shocks from climatic changes. Actions to improve human capital (awareness campaigns on climate change impacts as well as possible adaptive strategies), social capital (strengthening social networks, improving tenure security), financial capital (increasing credit availability) and natural capital (measures to enhance agricultural potential, support for adaptive action in areas with low agricultural potential) are needed in order to impart resilience to the farming systems against the changing climate. © 2015, Springer-Verlag Berlin Heidelberg.","container-title":"Regional Environmental Change","DOI":"10.1007/s10113-015-0800-7","ISSN":"14363798","issue":"7","language":"English","note":"publisher: Springer Verlag","page":"1259-1268","title":"Influence of livelihood resources on adaptive strategies to enhance climatic resilience of farm households in Morogoro, Tanzania: an indicator-based analysis","volume":"15","author":[{"family":"Mutabazi","given":"K.D."},{"family":"Amjath-Babu","given":"T.S."},{"family":"Sieber","given":"S."}],"issued":{"date-parts":[["2015"]]},"citation-key":"mutabazi_etal_2015"}},{"id":1132,"uris":["http://zotero.org/users/7734624/items/ACR7434B"],"itemData":{"id":1132,"type":"article-journal","abstract":"Purpose: This study aimed to determine factors that increase resilience and cause smallholder farmers to adapt better to climate change and vulnerability. Design/methodology/approach: In this study, the authors used the vulnerability to resilience model and binary logit model to analyse the factors influencing household decisions to adapt. Findings: Households with increased access to climate information through extension services were likely to have better adaptation abilities. It was also shown that younger farmers were likely to adapt to climate change given their flexibility to adopt new techniques and their access and use of modern information and technology. Larger households were found to have higher probability of adapting as most adaptation strategies are labour intensive. Household’s possession of livestock and access to credit significantly enhanced adaptation. However, households with higher farm income have lesser incentives to adapt to because their current farming practices might already be optimum. Research limitations/implications: Given that most of the smallholder farmers are vulnerable, such as women-headed households and the elderly, who are labour constrained, there is need for research and development of labour saving technologies to increase resilience to climate change and vulnerability. Originality/value: These findings underscore the importance of enabling farmer access to information and better technologies which enable them to increase adaptive capacity and resilience. © 2017, © Emerald Publishing Limited.","container-title":"International Journal of Climate Change Strategies and Management","DOI":"10.1108/IJCCSM-07-2016-0092","ISSN":"17568692","issue":"2","language":"English","note":"publisher: Emerald Group Publishing Ltd.","page":"151-165","title":"Building climate change resilience through adaptation in smallholder farming systems in semi-arid Zimbabwe","volume":"9","author":[{"family":"Jiri","given":"O."},{"family":"Mafongoya","given":"P.L."},{"family":"Chivenge","given":"P."}],"issued":{"date-parts":[["2017"]]},"citation-key":"jiri_etal_2017"}},{"id":709,"uris":["http://zotero.org/users/7734624/items/MF6LYQRZ"],"itemData":{"id":709,"type":"article-journal","abstract":"South Africa, a main food exporter in SADC, is characterised by a dual agricultural economy consisting of a well-developed commercial sector and smallholder, often subsistence, farming. Using the Ricardian cross-sectional framework, we examine the impact of climate change on a nationwide sample of crop, horticulture, livestock and mixed commercial farming systems. We find that a simultaneous decrease in precipitation and an increase in temperature will reduce productivity; and that an increase in temperature alone negatively affects farm output more than a decrease in precipitation. One of the most robust findings is the difference in the extent to which different commercial production systems will be impacted. That is, the results indicate that the strongest impact will be amongst specialised commercial crop farming system. In contrast, mixed farming systems appear to be the least vulnerable. This finding is consistent with studies on small-holder farms in sub-Saharan Africa. Hence, it appears that despite the likely benefits derived from economies of scale, commercial farms are, somewhat, equally vulnerable to climate change. Further, a province-wise assessment revealed that areas that already face disadvantageous climatic conditions will become even less productive. Overall, the findings suggest that practicing mixed farming methods will strengthen the resilience of commercial farms to climate change and that access to extensions-insurance and irrigation-is likely to reduce the risks.","container-title":"ENVIRONMENT DEVELOPMENT AND SUSTAINABILITY","DOI":"10.1007/s10668-015-9755-6","ISSN":"1387-585X","issue":"2","language":"English","note":"publisher-place: VAN GODEWIJCKSTRAAT 30, 3311 GZ DORDRECHT, NETHERLANDS\npublisher: SPRINGER\ntype: Article","page":"607-636","title":"Climate change and South Africa's commercial farms: an assessment of impacts on specialised horticulture, crop, livestock and mixed farming systems","volume":"19","author":[{"family":"Tibesigwa","given":"Byela"},{"family":"Visser","given":"Martine"},{"family":"Turpie","given":"Jane"}],"issued":{"date-parts":[["2017",4]]},"citation-key":"tibesigwa_etal_2017"}},{"id":700,"uris":["http://zotero.org/users/7734624/items/PY55PIZ2"],"itemData":{"id":700,"type":"article-journal","abstract":"Climate change heavily impacts smallholder farming worldwide. Cross-scale vulnerability assessment has a high potential to identify nested measures for reducing vulnerability of smallholder farmers. Despite their high practical value, there are currently only limited examples of cross-scale assessments. The presented study aims at assessing the vulnerability of smallholder farmers in the Northeast of Brazil across three scales: regional, farm and field scale. In doing so, it builds on existing vulnerability indices and compares results between indices at the same scale and across scales. In total, six independent indices are tested, two at each scale. The calculated indices include social, economic and ecological indicators, based on municipal statistics, meteorological data, farm interviews and soil analyses. Subsequently, indices and overlapping indicators are normalized for intra-and cross-scale comparison. The results show considerable differences between indices across and within scales. They indicate different activities to reduce vulnerability of smallholder farmers. Major shortcomings arise from the conceptual differences between the indices. We therefore recommend the development of hierarchical indices, which are adapted to local conditions and contain more overlapping indicators for a better understanding of the nested vulnerabilities of smallholder farmers. © 2020 by the authors.","container-title":"Sustainability (Switzerland)","DOI":"10.3390/su12093787","ISSN":"20711050","issue":"9","language":"English","note":"publisher: MDPI","title":"Cross-scale vulnerability assessment for smallholder farming: A case study from the northeast of Brazil","URL":"https://www.scopus.com/inward/record.uri?eid=2-s2.0-85085964908&amp;doi=10.3390%2fsu12093787&amp;partnerID=40&amp;md5=1b75293eec4b8771c893cebceaa1b88e","volume":"12","author":[{"family":"Dobkowitz","given":"S."},{"family":"Walz","given":"A."},{"family":"Baroni","given":"G."},{"family":"Pérez-Marin","given":"A.M."}],"issued":{"date-parts":[["2020"]]},"citation-key":"dobkowitz_etal_2020"}},{"id":884,"uris":["http://zotero.org/users/7734624/items/EW86LG9V"],"itemData":{"id":884,"type":"article-journal","abstract":"Smallholder farmers in Afghanistan are already facing various risks in agricultural production due to past continuous insurgencies. Climate change is likely to amplify the risk and make them even more vulnerable. The present study attempted to evaluate the vulnerability profiles of smallholder farmers due to climate change using the IPCC Framework. Primary data on relevant parameters for assessing climate change-led social vulnerability in the region were collected by classifying study region into two zones: the plain and the hills of Yangi Qala District in Takhar province, Afghanistan. Thirteen villages from each zone were selected at random, and face-to-face interviews were conducted with ten randomly selected households in each of the selected villages in both zones based on a pre-tested questionnaire. The questionnaire contained indicators for all three dimensions of vulnerability: exposure, sensitivity and adaptive capacity. The collected data were subjected to a proposed vulnerability index, after estimating the indices of the three dimensions of vulnerability. The Iyenger and Sudershan weighting method was used to assess the contribution of each vulnerability dimension. Vulnerability was classified according to different categories based on beta distribution to evaluate the villages’ vulnerability status. The results showed that about 23% of all 26 sampled villages in both zones had low exposure, 26% moderate exposure and 51% high exposure to climate-change hazards and extreme weather events. High sensitivity was observed in 51%, moderate sensitivity in 7%, and low sensitivity in 42% of villages. High adaptive capacity to climate change was observed in 38% of villages, 19% were moderately adaptive and 42% showed a low adaptive capacity. High vulnerability was observed in 50% of villages, 4% were moderately vulnerable, and 46% had low vulnerability. A high proportion of smallholder farmers in the hilly zone in the sampled district were highly vulnerable, exposed and sensitive with a low adaptive capacity to climate change compared to the plain zone. The high vulnerability in the hilly zone was attributed to limited resources with a low adjustment capability to counter the disturbances, especially in crop cultivation, in response to climate change. A handful of low-cost and local approaches such as improving farmer extension services, introducing small-scale local infrastructure projects, reinforcing informal safety nets and protecting natural ecosystems could be viable cost-effective options that would also be sustainable given their low recurring costs and the limited maintenance required. © 2019 Elsevier Ltd","container-title":"Ecological Indicators","DOI":"10.1016/j.ecolind.2019.105863","ISSN":"1470160X","language":"English","note":"publisher: Elsevier B.V.","title":"Climate change vulnerability and adaptation strategies for smallholder farmers in Yangi Qala District, Takhar, Afghanistan","URL":"https://www.scopus.com/inward/record.uri?eid=2-s2.0-85074213101&amp;doi=10.1016%2fj.ecolind.2019.105863&amp;partnerID=40&amp;md5=f5d3dc5880670f5df717e2c3344acd81","volume":"110","author":[{"family":"Omerkhil","given":"N."},{"family":"Chand","given":"T."},{"family":"Valente","given":"D."},{"family":"Alatalo","given":"J.M."},{"family":"Pandey","given":"R."}],"issued":{"date-parts":[["2020"]]},"citation-key":"omerkhil_etal_2020"}},{"id":953,"uris":["http://zotero.org/users/7734624/items/JP6DPILY"],"itemData":{"id":953,"type":"article-journal","abstract":"Changing climate is posing considerable threats to agriculture, the most vulnerable sector, and to smallholder farming systems, the predominant agricultural livelihood activity in Africa. Study of specific systems enables clearer and more effective responses to be directly targeted for enhanced adaptation, but there is limited knowledge guiding specific subsector vulnerability assessments. We applied the Livelihood Vulnerability Index to understand and identify the nature and sources of vulnerability among smallholder horticultural farming households to climate variability in two districts in Ghana. A total of 480 households engaging in fruit and vegetable crop production were surveyed in Keta and Nsawam districts of Ghana. Data were collected on indicators for Livelihood Vulnerability Index components such as socio-demographic profiles, livelihood strategies, social networking, health, food, production, water, natural disasters, and climate variability. The vulnerability-contributing factors were aggregated in a composite index and differences were compared. The results indicate that smallholder horticultural farmers in Keta are more vulnerable in relation to high exposure and high sensitivity to climate variability, while smallholders in Nsawam are more vulnerable in terms of low capacity to adapt to climate variability. As it is the case for smallholder horticultural farming communities, the study suggests that Livelihood Vulnerability Index can be broadly applied to highlight potential areas for intervention and reduce the vulnerability of sector-specific farming communities within local and national levels. © 2018, Springer Nature B.V.","container-title":"Environment, Development and Sustainability","DOI":"10.1007/s10668-018-0292-y","ISSN":"1387585X","issue":"3","language":"English","note":"publisher: Springer","page":"2321-2342","title":"Assessing vulnerability of horticultural smallholders’ to climate variability in Ghana: applying the livelihood vulnerability approach","volume":"22","author":[{"family":"Williams","given":"P.A."},{"family":"Crespo","given":"O."},{"family":"Abu","given":"M."}],"issued":{"date-parts":[["2020"]]},"citation-key":"williams_etal_2020"}},{"id":946,"uris":["http://zotero.org/users/7734624/items/Z8RR7FML"],"itemData":{"id":946,"type":"article-journal","abstract":"Strategies aiming to increase the climate resilience of smallholder agricultural systems may not equally benefit all groups of the smallholder population. To reduce the potential for aggravating existing vulnerabilities, quantitative resilience analyses therefore need to acknowledge the possibility for inequities in the effects of proposed resilience-enhancing strategies (RESs). In this study, we develop, validate, and apply a household-level agent-based model to explore the equity of climate RESs in an Ethiopian smallholder farming system. Specifically, we study the potential effects of two RESs, involving access to seasonal climate forecasts and increases in non-farm job availability, on household food security under climate variability. We measure these effects in two distinct ways: “poverty-reduction,” which describes food security improvements relative to existing conditions; and “shock-absorption,” which isolates the strategies' effects on food security during and following a drought. Our results reveal that the different measures of resilience lead to divergent assessments of equity in policy effects. Relative to baseline levels of food security (poverty-reduction), both strategies disproportionately favor the most vulnerable households—i.e., they are equity-enhancing. Under this assessment, increases in job availability provide slightly stronger benefits to the most vulnerable households than climate forecasts. However, when isolating the effect of a drought (shock-absorption), both RESs benefit the moderately vulnerable households at the expense of the more vulnerable households—i.e., they are inequitable. These results demonstrate that a pure focus on poverty reduction may be insufficient to promote equitable development. Given the prevalence of climate shocks in smallholder systems, future studies of resilience should therefore jointly consider both poverty reduction and shock recovery, as well as the potential for inequity in the effects of RESs.","container-title":"Agricultural Systems","DOI":"10.1016/j.agsy.2020.102832","ISSN":"0308-521X","journalAbbreviation":"Agricultural Systems","language":"en","page":"102832","source":"ScienceDirect","title":"Resilience and equity: Quantifying the distributional effects of resilience-enhancing strategies in a smallholder agricultural system","title-short":"Resilience and equity","volume":"182","author":[{"family":"Williams","given":"T. G."},{"family":"Guikema","given":"S. D."},{"family":"Brown","given":"D. G."},{"family":"Agrawal","given":"A."}],"issued":{"date-parts":[["2020"]]},"citation-key":"williams_etal_2020a"}},{"id":926,"uris":["http://zotero.org/users/7734624/items/98Y7UZEG"],"itemData":{"id":926,"type":"article-journal","abstract":"Erosion is a major concern of hill maize farming system. Watersheds with steep slope and fragile land are more prone to erosion. A perception based semi structured questionnaire survey was carried out in Thakani and Sindhukot of Melamchi municipality in Sindhupalchowk district to study relationships of erosion in maize field along with assessment of vulnerability and factors affecting adoption of prevention measures. Index ranking method and descriptive statistics were used to rank the perception of farmers pertaining to occurrence, causes and available control measures of erosion. Logit regression further assessed the determinants of adoption of erosion prevention measures where as vulnerability was assessed using integrated vulnerability assessment approach following Intergovernmental Panel on Climate Change (IPCC) guideline. Most of the surveyed farmers responded heavy rainfall as major cause of the erosion followed by weak geography whereas the intensity of erosion was moderately increasing. Majority of the respondents (72.5%) have not adopted any erosion prevention measures mainly due to no support from government and low income. Among various adaptation measures, most of the farmers have shifted cultivation time, improved drainage system and decreased weeding frequency. The logit regression showed that among the independent variables, income, education, gender, access to extension services and involvement in organizations are positively significant to the adoption decision. This implies farmers in prone area need support from government to adopt prevention measures. Low income household dependent on agriculture and marginal farmers were more vulnerable to erosion as they have low adaptive capacity and resilience power.","container-title":"SN APPLIED SCIENCES","DOI":"10.1007/s42452-020-03747-2","ISSN":"2523-3963","issue":"12","language":"English","note":"publisher-place: GEWERBESTRASSE 11, CHAM, CH-6330, SWITZERLAND\npublisher: SPRINGER INTERNATIONAL PUBLISHING AG\ntype: Article","title":"Soil erosion vulnerability and adaptation strategies in maize field of Sindhukhola sub-watershed region, Nepal","volume":"2","author":[{"family":"Panta","given":"Bibek"},{"family":"Bhandari","given":"Thaneshwar"},{"family":"Paudel","given":"Basanta"}],"issued":{"date-parts":[["2020",11,3]]},"citation-key":"panta_etal_2020"}},{"id":698,"uris":["http://zotero.org/users/7734624/items/X9APIH2K"],"itemData":{"id":698,"type":"article-journal","abstract":"The agricultural sector plays a strategic role in the Tunisian economy, particularly in rural areas. Resilience and adaptation to climate change are the main challenges facing this sector. This paper aims to analyze climate change resilience of agricultural production systems in Tunisian semi-arid areas and to propose options for policy interventions. A path Structural Equation Model (SEM) was used to predict the resilience of these systems using the partial least squares method (PLS). Results show that farming systems in Tunisian semi-arid areas remain threatened against negative impact of climate change since 80% of farms in the sample have shown low resilience levels. The most important determinants of agricultural systems’ resilience are farmers’ income and access to food, adaptive capacity, and access to productive and non-productive assets. Results indicate also that integrated systems, income diversification, along with cooperation and collective action are the key options to enhance resilience of rural households and farming systems. It is recommended to raise awareness of stakeholders and decision-makers about climate change challenges and to develop integrated approaches to better engaging with local stakeholders and institutions in adaptation programs and strategies development. © 2021, The Author(s), under exclusive licence to Springer-Verlag GmbH, DE part of Springer Nature.","container-title":"Environmental Science and Pollution Research","DOI":"10.1007/s11356-021-13089-0","ISSN":"09441344","issue":"34","language":"English","note":"publisher: Springer Science and Business Media Deutschland GmbH","page":"46797-46808","title":"Assessing and building climate change resilience of farming systems in Tunisian semi-arid areas","volume":"28","author":[{"family":"Ben Nasr","given":"J."},{"family":"Chaar","given":"H."},{"family":"Bouchiba","given":"F."},{"family":"Zaibet","given":"L."}],"issued":{"date-parts":[["2021"]]},"citation-key":"bennasr_etal_2021"}},{"id":898,"uris":["http://zotero.org/users/7734624/items/QIC727NG"],"itemData":{"id":898,"type":"article-journal","abstract":"Climate change threatens the livelihoods of smallholder farmers in the Global South. In semi-arid northern Ghana, where over 73% of the population is engaged in smallholder agriculture, climate-induced food insecurity is of major concern. Livelihood diversification is acknowledged to have the potential to improve climate resilience in smallholder farming systems through risk spreading. That notwithstanding, little is known about the links between livelihood diversification strategies and climate resilience in such vulnerable settings. Drawing data from a cross-sectional survey with 1100 smallholder households in semi-arid northern Ghana, this study contributes to the literature by examining the association between livelihood diversification and climate change resilience. Findings from logistic regression analysis revealed that smallholder farming households that practiced only farm diversification (OR = 4.66; p ≤ 0.001) and a combination of both farm and nonfarm diversification (OR = 6.28; p ≤ 0.001) had significantly higher odds of reporting stronger resilience to climate change compared to those who did not employ any diversification strategy. The study further revealed that land preparation techniques, source of climate information, and religion were significantly associated with smallholder farmers’ perceived climate change resilience. These findings point to the need for agricultural policy to promote both farm and nonfarm livelihoods as complementary risk-spreading strategies. Exploring the synergies between farm and nonfarm livelihoods may prove beneficial in semi-arid agrarian contexts. In doing so, critical contextual dynamics such as source of farm power and sources of climate information must not be overlooked. © 2021, The Author(s), under exclusive licence to Springer Nature B.V. part of Springer Nature.","container-title":"Climatic Change","DOI":"10.1007/s10584-021-03034-y","ISSN":"01650009","issue":"3-4","language":"English","note":"publisher: Springer Science and Business Media B.V.","title":"Livelihood diversification strategies and resilience to climate change in semi-arid northern Ghana","URL":"https://www.scopus.com/inward/record.uri?eid=2-s2.0-85101542820&amp;doi=10.1007%2fs10584-021-03034-y&amp;partnerID=40&amp;md5=704671630e15cee5760b492459f91982","volume":"164","author":[{"family":"Mohammed","given":"K."},{"family":"Batung","given":"E."},{"family":"Kansanga","given":"M."},{"family":"Nyantakyi-Frimpong","given":"H."},{"family":"Luginaah","given":"I."}],"issued":{"date-parts":[["2021"]]},"citation-key":"mohammed_etal_2021"}},{"id":899,"uris":["http://zotero.org/users/7734624/items/YI6CCDC8"],"itemData":{"id":899,"type":"article-journal","abstract":"Gender and vulnerability are important issues to examine in the context of flooding caused by climate change. Men and women around the world adapt differently to climate change effects and natural disasters. Therefore, this study examines men and women’s level of vulnerabilities and their choices of livelihood practices in char farming households in Zanjira, Bangladesh. The study used primary and secondary data. Both qualitative and quantitative were collected. Quantitative data were collected from a household survey of 115 men and 114 women using a questionnaire. Qualitative data were collected through 15 key informant interviews, 30 focus group discussions, and 18 in-depth interviews. Quantitative and qualitative methods were used to assess men and women’s vulnerabilities, including three indices of vulnerability measuring access to livelihood assets were used. A hierarchical regression model was used to perform a gender-based analysis. The percentile score for men was 0.430 units higher than for women, revealing that male respondents were less vulnerable than female respondents in the study area. The results of the regression model showed that the use of gender as an explanatory variable increased the explanatory power of the model and was highly significant. The overall findings of quantitative and qualitative data analysis revealed that floods’ impacts were different for men and women and that women were more vulnerable overall, in part because of gender-related sociocultural norms. These differentials in vulnerabilities affected men and women’s ability to respond and recover from floods and adapt to new opportunities when disaster strikes. © 2021, The Author(s), under exclusive licence to Springer Nature B.V. part of Springer Nature.","container-title":"Natural Hazards","DOI":"10.1007/s11069-020-04482-y","ISSN":"0921030X","issue":"1","language":"English","note":"publisher: Springer Science and Business Media B.V.","page":"655-677","title":"Gender-based differences in flood vulnerability among men and women in the char farming households of Bangladesh","volume":"106","author":[{"family":"Naz","given":"F."},{"family":"Saqib","given":"S.E."}],"issued":{"date-parts":[["2021"]]},"citation-key":"naz_saqib_2021"}},{"id":925,"uris":["http://zotero.org/users/7734624/items/9WJDHG8S"],"itemData":{"id":925,"type":"article-journal","abstract":"In developing countries like Pakistan, agriculture constitutes the primary source of support for the majority of rural and the adjacent urban population. Despite the large part it plays in the economy, it faces significant challenges caused by climate change, such as rising temperatures, floods, droughts, and yield losses. In Pakistan, rice, which is the second most essential food crop and livelihood source for the millions of farm households, is facing significant yield reduction due to climate change. It is pertinent to consider the vulnerabilities of farm households and related factors to create a climatic-resilient farming system. The current study is aimed at mapping the vulnerability of rice-growing communities of Punjab province while considering climatic challenges beyond temperatures and rainfall changes. The Climate Change Vulnerability Index (CCVI) was calculated for four rice-growing districts of Punjab province using the Intergovernmental Panel on Climate Change's three-indicator approach (sensitivity, exposition, and adaptive capacity). According to the results, farmers in the study area are highly vulnerable to climate change (CCVI 0.81). Specifically, the indices of vulnerability components showed that farmers have a high level of exposure (EVI 0.72) and susceptibility (SVI 0.59) to the climatic uncertainties with the least adaptive capacity (AVI 0.50). Further, the vulnerability analysis across different rice-growing regions showed that farmers, particularly in the low-yield region, are more vulnerable (EVI 0.73, SVI 0.61, AVI 0.49, CCVI 0.85) than the farmers in the high-yield region (EVI 0.71, SVI 0.58, AVI 0.51, CCVI 0.78). These findings imply that regional priority must be given despite the difference in farm performance to reduce production losses. Besides, climate-smart adaptation initiatives should be facilitated at the farm and regional levels through the implementation of appropriate policies and investment plans.","container-title":"ENVIRONMENTAL SCIENCE AND POLLUTION RESEARCH","DOI":"10.1007/s11356-020-10758-4","ISSN":"0944-1344","issue":"4, SI","language":"English","note":"publisher-place: TIERGARTENSTRASSE 17, D-69121 HEIDELBERG, GERMANY\npublisher: SPRINGER HEIDELBERG\ntype: Article","page":"4229-4244","title":"Mapping farmers' vulnerability to climate change and its induced hazards: evidence from the rice-growing zones of Punjab, Pakistan","volume":"28","author":[{"family":"Khan","given":"Nasir Abbas"},{"family":"Gao","given":"Qijie"},{"family":"Abid","given":"Muhammad"},{"family":"Shah","given":"Ashfaq Ahmad"}],"issued":{"date-parts":[["2021",1]]},"citation-key":"khan_etal_2021"}},{"id":3388,"uris":["http://zotero.org/users/7734624/items/USA8HP4B"],"itemData":{"id":3388,"type":"article-journal","container-title":"Environmental Development","DOI":"10.1016/j.envdev.2021.100627","ISSN":"22114645","journalAbbreviation":"Environmental Development","language":"en","page":"100627","source":"DOI.org (Crossref)","title":"Factors affecting climate change coping strategies used by smallholder farmers under root crop farming systems in derived savannah ecology zone of Nigeria","volume":"39","author":[{"family":"Chukwuone","given":"Nnaemeka Andegbe"},{"family":"Amaechina","given":"Ebele Chinelo"}],"issued":{"date-parts":[["2021",9]]},"citation-key":"chukwuone_amaechina_2021"}},{"id":3341,"uris":["http://zotero.org/users/7734624/items/XPPADBAG"],"itemData":{"id":3341,"type":"article-journal","abstract":"Potato (Solanum tuberosum) is an indispensable commodity, mainly cultivated by high-altitude mountain households, that sustains and supports the livelihood of an overwhelming 51% of the Bhutanese population. The popularity of potato cultivation among Bhutanese farmers can be attributed to the crop’s adaptability to a wide range of agroclimatic conditions such as a rainfed crop, high productivity, an assured market, and a reliable source of income for the farming families. We hypothesize that the changing climate would make the livelihood associated with potato cultivation in Bhutan more vulnerable. We tested this hypothesis to identify the sources of vulnerability of smallholder farming households using the Livelihood Vulnerability Index (LVI) and LVI-IPCC (Intergovernmental Panel on Climate Change) approaches in six potato growing districts of Bhutan: Bumthang, Chukha, Gasa, Mongar, Tashigang, and Wangdue. Primary data were generated through a semi structured sample survey of 240 households on the seven major livelihood components of sociodemographic profiles, livelihood strategies, social networks, health, food, water, natural disasters, and climate variability. The results showed that the LVI (range 0.302 to 0.375) and LVI-IPCC (range −0.005 to 0.030) differed significantly (p &lt; 0.001) across the districts. The districts of Tashigang and Mongar were less vulnerable than the other four districts by the LVI approach, whereas Bumthang was also revealed to be less vulnerable using the LVI-IPCC approach. The degree of vulnerability in a district differed according to their level of exposure and adaptive capacity to the climate change impacts of the potato farming household. The results are expected to serve as empirical evidence for designing a future course of actions to mitigate the negative impacts.","container-title":"Sustainability","DOI":"10.3390/su14042339","ISSN":"2071-1050","issue":"4","journalAbbreviation":"Sustainability","language":"en","license":"https://creativecommons.org/licenses/by/4.0/","page":"2339","source":"DOI.org (Crossref)","title":"Empirical Evidence of the Livelihood Vulnerability to Climate Change Impacts: A Case of Potato-Based Mountain Farming Systems in Bhutan","title-short":"Empirical Evidence of the Livelihood Vulnerability to Climate Change Impacts","volume":"14","author":[{"family":"Rai","given":"Pradeep"},{"family":"Bajgai","given":"Yadunath"},{"family":"Rabgyal","given":"Jimba"},{"family":"Katwal","given":"Tirtha Bdr"},{"family":"Delmond","given":"Anthony Ryan"}],"issued":{"date-parts":[["2022",2,18]]},"citation-key":"rai_etal_2022"}},{"id":3347,"uris":["http://zotero.org/users/7734624/items/HYTQRHCW"],"itemData":{"id":3347,"type":"article-journal","abstract":"Building climate-resilient farming systems is important to promote the sustainability of agriculture at the global level. Scaling-up agroecological approaches in main staple crops, such as maize, is particularly important in enhancing the climate resilience of millions of smallholder farmers in developing countries. In this regard, push–pull technology (PPT) is an ecological approach to a farming system that aims to improve the climate resilience of maize producers in a smallholder mixed farming system. PPT is primarily designed to control pests and weeds in an ecofriendly approach, to improve soil fertility, to improve livestock feed, and to increase farmers’ incomes. In this study, we compared the level of climate resilience between PPT maize farming systems and non-PPT maize farming systems in southern Ethiopia. Using the Food and Agriculture Organization of the United Nations (FAO) Self-Evaluation and Holistic Assessment of Climate Resilience of Farmers and Pastoralists (SHARP), we measured 13 agroecosystem indicators of climate resilience and compared the degree to which the two farming systems differ in their level of resilience to climate change. The results indicate that PPT farming systems are more climate-resilient than their non-PPT counterparts. PPT maize farming systems had a significant impact on 8 out of the 13 agroecosystem indicators of climate resilience. To harness the full benefits of PPT, governmental extension agents, NGOs, and agricultural researchers should promote PPT-based maize farming systems. The promotion of PPT needs concerted efforts and strong national coordination in solving PPT implementation barriers, such as improving access to input and output markets and animal health services.","container-title":"Sustainability","DOI":"10.3390/su14052648","ISSN":"2071-1050","issue":"5","journalAbbreviation":"Sustainability","language":"en","license":"https://creativecommons.org/licenses/by/4.0/","page":"2648","source":"DOI.org (Crossref)","title":"Achieving a Climate-Change Resilient Farming System through Push–Pull Technology: Evidence from Maize Farming Systems in Ethiopia","title-short":"Achieving a Climate-Change Resilient Farming System through Push–Pull Technology","volume":"14","author":[{"family":"Gugissa","given":"Desalegn A."},{"family":"Abro","given":"Zewdu"},{"family":"Tefera","given":"Tadele"}],"issued":{"date-parts":[["2022",2,24]]},"citation-key":"gugissa_etal_2022"}},{"id":3384,"uris":["http://zotero.org/users/7734624/items/TF3JUWPA"],"itemData":{"id":3384,"type":"article-journal","container-title":"Agroecology and Sustainable Food Systems","DOI":"10.1080/21683565.2022.2067930","ISSN":"2168-3565, 2168-3573","issue":"5","journalAbbreviation":"Agroecology and Sustainable Food Systems","language":"en","page":"672-711","source":"DOI.org (Crossref)","title":"Climate change and shifting land-use: Consequences for smallholder agroforestry systems and rural livelihoods in the southwest Ethiopian Highlands","title-short":"Climate change and shifting land-use","volume":"46","author":[{"family":"Koch","given":"Olef"},{"family":"Ibisch","given":"Pierre L."},{"family":"Bloch","given":"Ralf"}],"issued":{"date-parts":[["2022",5,28]]},"citation-key":"koch_etal_2022"}},{"id":3385,"uris":["http://zotero.org/users/7734624/items/DD4RVZRY"],"itemData":{"id":3385,"type":"article-journal","container-title":"Journal of Environmental Studies and Sciences","DOI":"10.1007/s13412-022-00763-z","ISSN":"2190-6483, 2190-6491","issue":"3","journalAbbreviation":"J Environ Stud Sci","language":"en","page":"547-565","source":"DOI.org (Crossref)","title":"Modeling resilience behavior against climate change with food security approach","volume":"12","author":[{"family":"Asrari","given":"Amirreza"},{"family":"Omidi Najafabadi","given":"Maryam"},{"family":"Farajollah Hosseini","given":"Jamal"}],"issued":{"date-parts":[["2022",9]]},"citation-key":"asrari_etal_2022"}},{"id":3335,"uris":["http://zotero.org/users/7734624/items/77NJ6K3P"],"itemData":{"id":3335,"type":"article-journal","abstract":"The assessment of the vulnerability to drought hazards in smallholder farming systems dependent on rain-fed agriculture has recently gained global popularity, given the need to identify and prioritize climate hotspots for climate adaptation. Over the past decade, numerous studies have focused on vulnerability assessments with respect to drought and other meteorological hazards. Nonetheless, less research has focused on applying common measurement frameworks to compare vulnerability in different communities and the sources of such vulnerability. Yet, the crucial question remains: who is more vulnerable and what contributes to this vulnerability? This article is a case study for assessing the vulnerability to drought of smallholder farmers in two wards in Chivi district, Masvingo Province, Zimbabwe. This study is timely, as climate change is increasingly affecting populations dependent on rainfed agriculture. This assessment has been conducted by calculating the Livelihood Vulnerability Index (LVI) and Livelihood Vulnerability Index of the Intergovernmental Panel on Climate Change (LVI-IPCC). This empirical study used data from 258 households from the two wards and triangulated it through Key Informant Interviews and Focus Group Discussions. To calculate the LVI, twenty-six subcomponents made up of seven major components, including socio-demographic variables; livelihood strategies; social capital; access to food, health, and water; and exposure to drought, were considered. To calculate the LVI-IPCC, we combined the three contributing factors of vulnerability (exposure, sensitivity, and adaptive capacity). Our results indicate that the LVI forward 14 is statistically higher than for ward 19 (F = 21.960; p ≤ 0.01) due to high exposure to drought, food insecurity, and compromised social networks. Concerning the LVI-IPCC, ward 14 was significantly more vulnerable to the impacts of drought than ward 19 (F = 7.718; p ≤ 0.01). Thus, reducing exposure to drought through early warning systems, building diversified agricultural systems, and social networks are of high priority to reduce the vulnerability of the farmers.","container-title":"Climate","DOI":"10.3390/cli10120189","ISSN":"2225-1154","issue":"12","journalAbbreviation":"Climate","language":"en","license":"https://creativecommons.org/licenses/by/4.0/","page":"189","source":"DOI.org (Crossref)","title":"Mapping and Managing Livelihoods Vulnerability to Drought: A Case Study of Chivi District in Zimbabwe","title-short":"Mapping and Managing Livelihoods Vulnerability to Drought","volume":"10","author":[{"family":"Mugandani","given":"Raymond"},{"family":"Muziri","given":"Tavagwisa"},{"family":"Murewi","given":"Cyril Tapiwa Farai"},{"family":"Mugadza","given":"Amanda"},{"family":"Chitata","given":"Tavengwa"},{"family":"Sungirai","given":"Marvelous"},{"family":"Zirebwa","given":"Farai Solomon"},{"family":"Manhondo","given":"Petronella"},{"family":"Mupfiga","given":"Elvis Tawanda"},{"family":"Nyamutowa","given":"Charles"},{"family":"Mudereri","given":"Bester Tawona"},{"family":"Mugari","given":"Zvenyika Eckson"},{"family":"Mwadzingeni","given":"Liboster"},{"family":"Mafongoya","given":"Paramu"}],"issued":{"date-parts":[["2022",11,29]]},"citation-key":"mugandani_etal_2022"}},{"id":3346,"uris":["http://zotero.org/users/7734624/items/89PSQCE6"],"itemData":{"id":3346,"type":"article-journal","container-title":"Agricultural Systems","DOI":"10.1016/j.agsy.2022.103537","ISSN":"0308521X","journalAbbreviation":"Agricultural Systems","language":"en","page":"103537","source":"DOI.org (Crossref)","title":"Adaptive capacity of farming systems to climate change in Iran: Application of composite index approach","title-short":"Adaptive capacity of farming systems to climate change in Iran","volume":"204","author":[{"family":"Abdollahzadeh","given":"Gholamhossein"},{"family":"Sharifzadeh","given":"Mohammad Sharif"},{"family":"Sklenička","given":"Petr"},{"family":"Azadi","given":"Hossein"}],"issued":{"date-parts":[["2023",1]]},"citation-key":"abdollahzadeh_etal_2023"}},{"id":3311,"uris":["http://zotero.org/users/7734624/items/JQMSVRNU"],"itemData":{"id":3311,"type":"article-journal","abstract":"This study assesses the perceptions and vulnerability of the farming communities to climate change in the southwestern parts of Ethiopia. Climate change vulnerability assessment is a prerequisite to designing climate change adaptation strategies. A multistage cluster sampling technique was used to select four of the six zones from the southwestern parts of Oromia. Close-ended and open-ended questionnaires were used to assess household perceptions of climate change and the degree of vulnerability to climate change by using five household capitals: natural, social, financial, physical, and human capital. Data were collected from 442 households in 4 districts: Jimma Arjo, Bako Tibe, Chewaka, and Sekoru. The vulnerability of the farming communities was assessed using the households’ livelihood vulnerability index. A total of forty indicators from five capitals were applied to calculate household livelihood vulnerability to climate change. Household perceptions of climate change had a statistically significant relationship with changes in rainfall pattern (75.6%, p &lt; 0.001), temperature pattern (69.7%, p &lt; 0.001), drought (41.6%, p = 0.016), flood (44.1%, p = 0.000), and occurrence of early (53.2%, p &lt; 0.001) and late rain (55.9%, p &lt; 0.001). The results show that households in the Sekoru district were the most vulnerable (0.61), while households in the Jimma Arjo district were less vulnerable (0.47) to the effect of climate change. Household vulnerability to climate change is mainly related to the occurrence of drought, lack of much-needed infrastructure facilities, and weak institutional support. Links with financial organizations are also lacking in the household. The findings of this study will help policymakers to address the impact of climate change. To support disaster risk management on the one hand and increase the resilience of vulnerable societies to climate change on the other, we recommend a detailed assessment of the remaining districts of the region.","container-title":"Climate","DOI":"10.3390/cli11090183","ISSN":"2225-1154","issue":"9","journalAbbreviation":"Climate","language":"en","license":"https://creativecommons.org/licenses/by/4.0/","page":"183","source":"DOI.org (Crossref)","title":"Climate Change Perception and Vulnerability Assessment of the Farming Communities in the Southwest Parts of Ethiopia","volume":"11","author":[{"family":"Gemeda","given":"Dessalegn Obsi"},{"family":"Korecha","given":"Diriba"},{"family":"Garedew","given":"Weyessa"}],"issued":{"date-parts":[["2023",9,5]]},"citation-key":"gemeda_etal_2023"}},{"id":2658,"uris":["http://zotero.org/users/7734624/items/I8XE2GNT"],"itemData":{"id":2658,"type":"article-journal","abstract":"This research focuses on assessing the social resilience of potato farmers in Iran, specifically their ability to tackle the challenges associated with climate change. A quantitative approach was employed using a descriptive survey and cross-sectional design to investigate potato farmers in Kermanshah City, Iran. The study selected a sample of 277 participants through cluster random sampling with proportional allocation. Data was collected using a researcher-made questionnaire based on the S5 model, which was validated by experts from Razi University and Jahad Keshavarzi Organization. Reliability of the data was assessed using Cronbach’s alpha, and the analysis was conducted using SPSS. The findings highlight the influence of social structure, social equity and beliefs, social mechanism and social capital on social resilience in the family farming system and rental farming system. Non-indigenous rental farmers prioritize these dimensions as crucial for resilience, with the non-indigenous rental farming system demonstrating the highest social resilience score (18.89), followed by the indigenous rental farming system (15.59), and the family farming system (14.36). Factors contributing to the higher social resilience of non-indigenous rental farmers include better education, transportation access, a capable workforce, higher revenue, job diversity, larger farms, financial stability, a favourable cost-to-income ratio and familiarity with climate changes. On the other hand, the family farming system shows relatively higher resilience (score: 2.19) despite facing limitations due to an ageing population. Previous studies have established a negative relationship between age and resilience, as younger individuals with greater physical capabilities tend to exhibit more flexibility and adaptability. In conclusion, non-indigenous rental farmers demonstrate the highest overall social resilience, while the family farming system exhibits the lowest resilience. To enhance social resilience in diverse farming systems, the study suggests the establishment of small-scale processing industries, promotion of social participation, provision of support during emergencies and implementation of income improvement programmes. These recommendations are crucial for strengthening the adaptive capacity and long-term sustainability of agrarian systems, enabling them to effectively tackle challenges arising from climate change and other factors. The implications of this study offer valuable insights for researchers, policy-makers and practitioners, emphasizing the significance of tailored strategies, community-based initiatives and collaborative approaches in fostering resilient farming communities.","container-title":"Potato Research","DOI":"10.1007/s11540-023-09649-1","ISSN":"1871-4528","journalAbbreviation":"Potato Res.","language":"en","source":"Springer Link","title":"Social Resilience of Iranian Potato Farmers Against Climate Changes","URL":"https://doi.org/10.1007/s11540-023-09649-1","author":[{"family":"Haydari","given":"Hadis"},{"family":"Agahi","given":"Hossein"},{"family":"Geravandi","given":"Shahpar"}],"accessed":{"date-parts":[["2024",4,16]]},"issued":{"date-parts":[["2023",10,26]]},"citation-key":"haydari_etal_2023"}},{"id":3309,"uris":["http://zotero.org/users/7734624/items/TE7LJQNF"],"itemData":{"id":3309,"type":"article-journal","container-title":"Research in Globalization","DOI":"10.1016/j.resglo.2023.100138","ISSN":"2590051X","journalAbbreviation":"Research in Globalization","language":"en","page":"100138","source":"DOI.org (Crossref)","title":"Vulnerability of family farming systems to climate change: The case of the forest-savannah transition zone, Centre Region of Cameroon","title-short":"Vulnerability of family farming systems to climate change","volume":"7","author":[{"family":"Marie Chimi","given":"Pierre"},{"family":"Armand Mala","given":"William"},{"family":"Ngamsou Abdel","given":"Karimou"},{"family":"Louis Fobane","given":"Jean"},{"family":"Manga Essouma","given":"François"},{"family":"Hermann Matick","given":"John"},{"family":"Yldephonse Nyonce Pokam","given":"Eusebe"},{"family":"Tcheferi","given":"Imma"},{"family":"Martin Bell","given":"Joseph"}],"issued":{"date-parts":[["2023",12]]},"citation-key":"mariechimi_etal_2023"}},{"id":3356,"uris":["http://zotero.org/users/7734624/items/2C2L9DNA"],"itemData":{"id":3356,"type":"article-journal","abstract":"Smallholder farmers are among the most vulnerable to climate shocks in Sri Lanka. Lack of education and technical skills, poverty, risks inherent to agricultural investments, limited assets, and financial capital are major reasons for low investments in enhancing adaptive capacity. The study explores the use of agricultural technologies in improving smallholder resilience to water-related disasters and their opportunities for recovery. We tested four bundled services to promote climate-smart agriculture practices namely weather index insurance (WII), agronomic advisories dissemination via SMS, weather services, and climate-resilient seeds of maize and rice. The integrated solutions are referred to as Bundled Solutions of Index Insurance with Climate Information and Seed Systems (BICSA) to manage agricultural risks in Sri Lanka. The study conducted the bundled solutions in three agroecological regions spread over five districts and covering more than 2,500 farmers in three cropping periods of\n              Maha\n              and\n              Yala\n              seasons. The results demonstrate that providing bundled solutions significantly protects smallholders against moderate drought events. The satellite-based weather index insurance can offset the long-term consequences of severe yield losses and mitigate the long-term drop in farm productivity. Our findings demonstrate the importance of bundled insurance to mitigate financial risks associated with extreme weather events and enhance resilience to climate change among vulnerable smallholders. It is evident from the study promoting a viable business model among seed companies, insurance companies, and technological partners, along with public institutions such as agricultural extension services can help production-level improvements and develop strategies at both the farm and policy levels that will support a transition to a more resilient farming system.","container-title":"Frontiers in Sustainable Food Systems","DOI":"10.3389/fsufs.2023.1145147","ISSN":"2571-581X","journalAbbreviation":"Front. Sustain. Food Syst.","page":"1145147","source":"DOI.org (Crossref)","title":"Bundled climate-smart agricultural solutions for smallholder farmers in Sri Lanka","volume":"7","author":[{"family":"Amarnath","given":"Giriraj"},{"family":"Taron","given":"Avinandan"},{"family":"Alahacoon","given":"Niranga"},{"family":"Ghosh","given":"Surajit"}],"issued":{"date-parts":[["2023",12,1]]},"citation-key":"amarnath_etal_2023"}},{"id":3277,"uris":["http://zotero.org/users/7734624/items/H7L2VTQR"],"itemData":{"id":3277,"type":"article-journal","abstract":"Enhanced anthropogenic climatic variability challenges small farmers. In the Sumapaz páramo (Colombia), higher irregularity in precipitation and temperature reduces the quality of pasture and cattle health. Data from surveys, semi-structured interviews, and focus groups were analyzed to understand livestock farmers’ responses to the impacts of climatic variability. To estimate the communities’ resilience in the páramo, we used the capitals framework, the Baseline Resilience Indicator for Communities (BRIC), and cluster analysis. The responses of most households aim to reduce the impacts of climatic variability on the production system, chiefly intensifying practices such as the rotation of paddocks, livelihood diversification, purchase of grass, and buying and selling livestock. Interestingly, farmers did not recognize the value of the types of capital for responding to climatic variability. Results showed that the use of available physical, social, and economic capitals render the farming system resilient. Our probit model estimated that economic and human capitals are the largest and most significant contributors to communities’ capacity to respond to climatic variability. However, pre-existing non-climatic vulnerabilities are also important. For example, poverty hinders farmers from using their income in response to climatic variability. The place-based measurements used in this research are easily understood and applicable by local policy makers to address increasing climate variability.","container-title":"Land","DOI":"10.3390/land13040499","ISSN":"2073-445X","issue":"4","journalAbbreviation":"Land","language":"en","license":"https://creativecommons.org/licenses/by/4.0/","page":"499","source":"DOI.org (Crossref)","title":"Adaptive Responses and Resilience of Small Livestock Producers to Climate Variability in the Cruz Verde-Sumapaz Páramo, Colombia","volume":"13","author":[{"family":"Postigo","given":"Julio C."},{"family":"Guáqueta-Solórzano","given":"Victoria-Eugenia"},{"family":"Castañeda","given":"Edna"},{"family":"Ortiz-Guerrero","given":"Cesar Enrique"}],"issued":{"date-parts":[["2024",4,11]]},"citation-key":"postigo_etal_2024"}},{"id":3286,"uris":["http://zotero.org/users/7734624/items/XNDAQFCC"],"itemData":{"id":3286,"type":"article-journal","abstract":"Agriculture is vital to the Saudi Arabian economy since it provides food and other necessities to people living in rural areas, as well as those living in adjacent cities. Notwithstanding its considerable economic importance, the agricultural sector is confronted with formidable obstacles due to climate change, such as elevated temperatures, floods, extreme droughts, and decreased agricultural yields. Building a farming system capable of being climate resilient requires the comprehension of the vulnerabilities of farm households and related systems. This paper deals with the potential agricultural risks resulting from climate change in Saudi Arabia. In addition to concentrating on precipitation and temperature, the present research incorporates the three main components of the Climate Change Vulnerability Index (CCVI): sensitivity, exposure, and adaptive capability. The results of this research reveal a notable challenge that farmers in Saudi Arabia encounter, as they are very susceptible to the impacts of climate change. The Climate Change Vulnerability Index (CCVI) has a score of 0.730, signifying a substantial degree of vulnerability. The farmers in this region are very susceptible to uncertainties caused by climate change, as indicated by the significant exposure score of 0.725. This exposure comprises a wide range of concerns resulting from fluctuations in temperature, patterns of rainfall, and occurrences of severe weather, all of which have an immediate and negative effect on agriculture. Farmers in that region are more susceptible to the effects of climate change, which could jeopardize their livelihoods and agricultural operations, as shown by the susceptibility component (SVI) of 0.559. Moreover, the adaptive capacity (AVI) score of 0.567 highlights the fact that farmers have limited access to resources, skills, and experience, hindering their ability to tackle the challenges that have been caused by climate change in this region successfully. The results emphasize the immediate necessity for specific policies and assistance to enhance the resilience of agricultural communities in the area, as well as to mitigate the potential adverse effects of climate change on their livelihoods.","container-title":"Sustainability","DOI":"10.3390/su16104245","ISSN":"2071-1050","issue":"10","journalAbbreviation":"Sustainability","language":"en","license":"https://creativecommons.org/licenses/by/4.0/","page":"4245","source":"DOI.org (Crossref)","title":"Exploring Climate-Induced Agricultural Risk in Saudi Arabia: Evidence from Farming Communities of Medina Region","title-short":"Exploring Climate-Induced Agricultural Risk in Saudi Arabia","volume":"16","author":[{"family":"Alotaibi","given":"Bader Alhafi"},{"family":"Xu","given":"Weizhou"},{"family":"Shah","given":"Ashfaq Ahmad"},{"family":"Ullah","given":"Wahid"}],"issued":{"date-parts":[["2024",5,17]]},"citation-key":"alotaibi_etal_2024"}}],"schema":"https://github.com/citation-style-language/schema/raw/master/csl-citation.json"}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AB1EE8" w:rsidRPr="00AB1EE8">
              <w:rPr>
                <w:rFonts w:ascii="Times New Roman" w:hAnsi="Times New Roman" w:cs="Times New Roman"/>
                <w:lang w:val="fr-FR"/>
              </w:rPr>
              <w:t>(Jacobi et al. 2015; Mutabazi et al. 2015; Jiri et al. 2017; Tibesigwa et al. 2017; Dobkowitz et al. 2020; Omerkhil et al. 2020; Williams et al. 2020a, b; Panta et al. 2020; Ben Nasr et al. 2021; Mohammed et al. 2021; Naz and Saqib 2021; Khan et al. 2021; Chukwuone and Amaechina 2021; Rai et al. 2022; Gugissa et al. 2022; Koch et al. 2022; Asrari et al. 2022; Mugandani et al. 2022; Abdollahzadeh et al. 2023; Gemeda et al. 2023; Haydari et al. 2023; Marie Chimi et al. 2023; Amarnath et al. 2023; Postigo et al. 2024; Alotaibi et al. 2024)</w:t>
            </w:r>
            <w:r w:rsidRPr="00FF4B56">
              <w:rPr>
                <w:rFonts w:ascii="Times New Roman" w:eastAsia="Times New Roman" w:hAnsi="Times New Roman" w:cs="Times New Roman"/>
                <w:color w:val="000000"/>
                <w:lang w:eastAsia="en-GB"/>
              </w:rPr>
              <w:fldChar w:fldCharType="end"/>
            </w:r>
          </w:p>
        </w:tc>
      </w:tr>
      <w:tr w:rsidR="00482CE2" w:rsidRPr="00AF6801" w14:paraId="629B9925" w14:textId="21B47041" w:rsidTr="00406364">
        <w:trPr>
          <w:trHeight w:val="288"/>
        </w:trPr>
        <w:tc>
          <w:tcPr>
            <w:tcW w:w="0" w:type="auto"/>
            <w:tcBorders>
              <w:top w:val="nil"/>
              <w:left w:val="nil"/>
              <w:bottom w:val="nil"/>
              <w:right w:val="nil"/>
            </w:tcBorders>
            <w:shd w:val="clear" w:color="000000" w:fill="FFFFFF"/>
          </w:tcPr>
          <w:p w14:paraId="7B59B4F2" w14:textId="77777777" w:rsidR="00482CE2" w:rsidRPr="00FF4B56" w:rsidRDefault="00482CE2" w:rsidP="00406364">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hideMark/>
          </w:tcPr>
          <w:p w14:paraId="57082338" w14:textId="24877329" w:rsidR="00482CE2" w:rsidRPr="00FF4B56" w:rsidRDefault="00482CE2" w:rsidP="00406364">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val="fr-FR" w:eastAsia="en-GB"/>
              </w:rPr>
              <w:t> </w:t>
            </w:r>
          </w:p>
        </w:tc>
        <w:tc>
          <w:tcPr>
            <w:tcW w:w="5310" w:type="dxa"/>
            <w:tcBorders>
              <w:top w:val="nil"/>
              <w:left w:val="nil"/>
              <w:bottom w:val="nil"/>
              <w:right w:val="nil"/>
            </w:tcBorders>
            <w:shd w:val="clear" w:color="000000" w:fill="FFFFFF"/>
            <w:noWrap/>
            <w:hideMark/>
          </w:tcPr>
          <w:p w14:paraId="6E3BEED0" w14:textId="501A15BE" w:rsidR="00482CE2" w:rsidRPr="00FF4B56" w:rsidRDefault="00482CE2" w:rsidP="00406364">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val="fr-FR" w:eastAsia="en-GB"/>
              </w:rPr>
              <w:t xml:space="preserve">Access to </w:t>
            </w:r>
            <w:proofErr w:type="spellStart"/>
            <w:r w:rsidRPr="00FF4B56">
              <w:rPr>
                <w:rFonts w:ascii="Times New Roman" w:eastAsia="Times New Roman" w:hAnsi="Times New Roman" w:cs="Times New Roman"/>
                <w:color w:val="000000"/>
                <w:lang w:val="fr-FR" w:eastAsia="en-GB"/>
              </w:rPr>
              <w:t>credit</w:t>
            </w:r>
            <w:proofErr w:type="spellEnd"/>
            <w:r w:rsidRPr="00FF4B56">
              <w:rPr>
                <w:rFonts w:ascii="Times New Roman" w:eastAsia="Times New Roman" w:hAnsi="Times New Roman" w:cs="Times New Roman"/>
                <w:color w:val="000000"/>
                <w:lang w:val="fr-FR" w:eastAsia="en-GB"/>
              </w:rPr>
              <w:t xml:space="preserve"> and </w:t>
            </w:r>
            <w:proofErr w:type="spellStart"/>
            <w:r w:rsidRPr="00FF4B56">
              <w:rPr>
                <w:rFonts w:ascii="Times New Roman" w:eastAsia="Times New Roman" w:hAnsi="Times New Roman" w:cs="Times New Roman"/>
                <w:color w:val="000000"/>
                <w:lang w:val="fr-FR" w:eastAsia="en-GB"/>
              </w:rPr>
              <w:t>insurance</w:t>
            </w:r>
            <w:proofErr w:type="spellEnd"/>
          </w:p>
        </w:tc>
        <w:tc>
          <w:tcPr>
            <w:tcW w:w="1350" w:type="dxa"/>
            <w:tcBorders>
              <w:top w:val="nil"/>
              <w:left w:val="nil"/>
              <w:bottom w:val="nil"/>
              <w:right w:val="nil"/>
            </w:tcBorders>
            <w:shd w:val="clear" w:color="000000" w:fill="FFFFFF"/>
            <w:noWrap/>
            <w:hideMark/>
          </w:tcPr>
          <w:p w14:paraId="0C4588BE" w14:textId="7D868C76" w:rsidR="00482CE2" w:rsidRPr="00FF4B56" w:rsidRDefault="00EF7700" w:rsidP="00406364">
            <w:pPr>
              <w:spacing w:after="0" w:line="360" w:lineRule="auto"/>
              <w:rPr>
                <w:rFonts w:ascii="Times New Roman" w:eastAsia="Times New Roman" w:hAnsi="Times New Roman" w:cs="Times New Roman"/>
                <w:color w:val="000000"/>
                <w:lang w:val="fr-FR" w:eastAsia="en-GB"/>
              </w:rPr>
            </w:pPr>
            <w:r>
              <w:rPr>
                <w:rFonts w:ascii="Times New Roman" w:eastAsia="Times New Roman" w:hAnsi="Times New Roman" w:cs="Times New Roman"/>
                <w:color w:val="000000"/>
                <w:lang w:val="fr-FR" w:eastAsia="en-GB"/>
              </w:rPr>
              <w:t>21</w:t>
            </w:r>
          </w:p>
        </w:tc>
        <w:tc>
          <w:tcPr>
            <w:tcW w:w="5274" w:type="dxa"/>
            <w:tcBorders>
              <w:left w:val="nil"/>
              <w:right w:val="nil"/>
            </w:tcBorders>
            <w:shd w:val="clear" w:color="000000" w:fill="FFFFFF"/>
          </w:tcPr>
          <w:p w14:paraId="22433732" w14:textId="2CDF307B" w:rsidR="00482CE2" w:rsidRPr="00E75E02" w:rsidRDefault="000D2AF8" w:rsidP="00406364">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E75E02">
              <w:rPr>
                <w:rFonts w:ascii="Times New Roman" w:eastAsia="Times New Roman" w:hAnsi="Times New Roman" w:cs="Times New Roman"/>
                <w:color w:val="000000"/>
                <w:lang w:val="fr-FR" w:eastAsia="en-GB"/>
              </w:rPr>
              <w:instrText xml:space="preserve"> ADDIN ZOTERO_ITEM CSL_CITATION {"citationID":"cZsPkNMe","properties":{"formattedCitation":"(Mutabazi et al. 2015; Jiri et al. 2017; Tibesigwa et al. 2017; Kath et al. 2018; Vigani and Kathage 2019; Dobkowitz et al. 2020; Omerkhil et al. 2020; Williams et al. 2020a; Panta et al. 2020; Hossard et al. 2021; Mohammed et al. 2021; Khan et al. 2021; Rai et al. 2022; Asrari et al. 2022; Abdollahzadeh et al. 2023; Soltani and Mellah 2023; Gemeda et al. 2023; Marie Chimi et al. 2023; Amarnath et al. 2023; Postigo et al. 2024; Alotaibi et al. 2024)","plainCitation":"(Mutabazi et al. 2015; Jiri et al. 2017; Tibesigwa et al. 2017; Kath et al. 2018; Vigani and Kathage 2019; Dobkowitz et al. 2020; Omerkhil et al. 2020; Williams et al. 2020a; Panta et al. 2020; Hossard et al. 2021; Mohammed et al. 2021; Khan et al. 2021; Rai et al. 2022; Asrari et al. 2022; Abdollahzadeh et al. 2023; Soltani and Mellah 2023; Gemeda et al. 2023; Marie Chimi et al. 2023; Amarnath et al. 2023; Postigo et al. 2024; Alotaibi et al. 2024)","noteIndex":0},"citationItems":[{"id":684,"uris":["http://zotero.org/users/7734624/items/IIGIISUT"],"itemData":{"id":684,"type":"article-journal","abstract":"Given the projected climatic changes, building resilient agricultural systems is of vital significance in protecting vulnerable agrarian communities in sub-Saharan Africa. Under this scenario, the article attempts to identify a set of resilience-building adaptive strategies (intensification, diversification, alteration, migration, etc.) among farmers in Morogoro, Tanzania, and crafts a composite index of these strategies using a principal component analysis-based weighting scheme. The analysis also reveals the latent structure and internal correlations of actions intended to build resilience of the farming systems. Subsequently, the linkages of livelihood resources (natural, human, social and financial capitals) to the resilience-building strategies are examined. A multiple regression analysis is employed to link the composite index to variables representing the four capitals. The results bring quantitative evidence to the linkages and highlight the need of enhancing livelihood resources to enhance the ability to undertake adaptive strategies that denotes the ability to withstand stresses and shocks from climatic changes. Actions to improve human capital (awareness campaigns on climate change impacts as well as possible adaptive strategies), social capital (strengthening social networks, improving tenure security), financial capital (increasing credit availability) and natural capital (measures to enhance agricultural potential, support for adaptive action in areas with low agricultural potential) are needed in order to impart resilience to the farming systems against the changing climate. © 2015, Springer-Verlag Berlin Heidelberg.","container-title":"Regional Environmental Change","DOI":"10.1007/s10113-015-0800-7","ISSN":"14363798","issue":"7","language":"English","note":"publisher: Springer Verlag","page":"1259-1268","title":"Influence of livelihood resources on adaptive strategies to enhance climatic resilience of farm households in Morogoro, Tanzania: an indicator-based analysis","volume":"15","author":[{"family":"Mutabazi","given":"K.D."},{"family":"Amjath-Babu","given":"T.S."},{"family":"Sieber","given":"S."}],"issued":{"date-parts":[["2015"]]},"citation-key":"mutabazi_etal_2015"}},{"id":1132,"uris":["http://zotero.org/users/7734624/items/ACR7434B"],"itemData":{"id":1132,"type":"article-journal","abstract":"Purpose: This study aimed to determine factors that increase resilience and cause smallholder farmers to adapt better to climate change and vulnerability. Design/methodology/approach: In this study, the authors used the vulnerability to resilience model and binary logit model to analyse the factors influencing household decisions to adapt. Findings: Households with increased access to climate information through extension services were likely to have better adaptation abilities. It was also shown that younger farmers were likely to adapt to climate change given their flexibility to adopt new techniques and their access and use of modern information and technology. Larger households were found to have higher probability of adapting as most adaptation strategies are labour intensive. Household’s possession of livestock and access to credit significantly enhanced adaptation. However, households with higher farm income have lesser incentives to adapt to because their current farming practices might already be optimum. Research limitations/implications: Given that most of the smallholder farmers are vulnerable, such as women-headed households and the elderly, who are labour constrained, there is need for research and development of labour saving technologies to increase resilience to climate change and vulnerability. Originality/value: These findings underscore the importance of enabling farmer access to information and better technologies which enable them to increase adaptive capacity and resilience. © 2017, © Emerald Publishing Limited.","container-title":"International Journal of Climate Change Strategies and Management","DOI":"10.1108/IJCCSM-07-2016-0092","ISSN":"17568692","issue":"2","language":"English","note":"publisher: Emerald Group Publishing Ltd.","page":"151-165","title":"Building climate change resilience through adaptation in smallholder farming systems in semi-arid Zimbabwe","volume":"9","author":[{"family":"Jiri","given":"O."},{"family":"Mafongoya","given":"P.L."},{"family":"Chivenge","given":"P."}],"issued":{"date-parts":[["2017"]]},"citation-key":"jiri_etal_2017"}},{"id":709,"uris":["http://zotero.org/users/7734624/items/MF6LYQRZ"],"itemData":{"id":709,"type":"article-journal","abstract":"South Africa, a main food exporter in SADC, is characterised by a dual agricultural economy consisting of a well-developed commercial sector and smallholder, often subsistence, farming. Using the Ricardian cross-sectional framework, we examine the impact of climate change on a nationwide sample of crop, horticulture, livestock and mixed commercial farming systems. We find that a simultaneous decrease in precipitation and an increase in temperature will reduce productivity; and that an increase in temperature alone negatively affects farm output more than a decrease in precipitation. One of the most robust findings is the difference in the extent to which different commercial production systems will be impacted. That is, the results indicate that the strongest impact will be amongst specialised commercial crop farming system. In contrast, mixed farming systems appear to be the least vulnerable. This finding is consistent with studies on small-holder farms in sub-Saharan Africa. Hence, it appears that despite the likely benefits derived from economies of scale, commercial farms are, somewhat, equally vulnerable to climate change. Further, a province-wise assessment revealed that areas that already face disadvantageous climatic conditions will become even less productive. Overall, the findings suggest that practicing mixed farming methods will strengthen the resilience of commercial farms to climate change and that access to extensions-insurance and irrigation-is likely to reduce the risks.","container-title":"ENVIRONMENT DEVELOPMENT AND SUSTAINABILITY","DOI":"10.1007/s10668-015-9755-6","ISSN":"1387-585X","issue":"2","language":"English","note":"publisher-place: VAN GODEWIJCKSTRAAT 30, 3311 GZ DORDRECHT, NETHERLANDS\npublisher: SPRINGER\ntype: Article","page":"607-636","title":"Climate change and South Africa's commercial farms: an assessment of impacts on specialised horticulture, crop, livestock and mixed farming systems","volume":"19","author":[{"family":"Tibesigwa","given":"Byela"},{"family":"Visser","given":"Martine"},{"family":"Turpie","given":"Jane"}],"issued":{"date-parts":[["2017",4]]},"citation-key":"tibesigwa_etal_2017"}},{"id":945,"uris":["http://zotero.org/users/7734624/items/5CH86AT6"],"itemData":{"id":945,"type":"article-journal","abstract":"Managing the risks of climate variability on crop production is central to ensuring financially viable farming systems and sustainable food production. Insurance provides a mechanism to manage and transfer climate risks. However, traditional multi-peril crop insurance (MCPI) is often too expensive and so other methods, such as index insurance, are being explored as a cheaper way to insure farmers against climate induced crop losses. Here we investigate the potential financial benefits of index insurance (protecting against excessive rainfall) for agricultural producers, namely sugar cane farmers in Tully, northern Australia. We used 80 years of historical climate and yield data to develop an excessive rainfall index. The index was developed and tested using generalized additive regression models (allowing for non-linear effects) and quantile regression, which allows relationships with lower quantiles (i.e. low yield events) to be assessed. From the regression models we derived relationships between the excessive rainfall index and sugar cane yield losses that were converted to insurance fair premiums (i.e. premiums that cover expected losses). Finally, we used efficiency analysis, based on Conditional Tail Expectation (CTE), Certainty Equivalence of Revenue (CER) and Mean Root Square Loss (MRSL), to quantify financial benefits to farmers if they purchased excessive rainfall index insurance. The regression model predicted sugar cane yields well (cross-validated R2 of 0.65). The efficiency analysis indicated there could be financial benefit to sugar cane farmers if they were to use excessive rainfall index insurance. Index insurance (based on the assumption of a fair premium) could make farmers better off by $269.85 AUD/ha on average in years with excessive rainfall (i.e. years with rainfall over the 95th percentile). Index insurance could offer a viable method for managing the financial risks posed by excessive rainfall for sugar cane producers in northern Australia. We are not aware of any other study demonstrating the potential benefits of excessive rainfall index insurance in the literature, but our results suggest this type of insurance may be viable for sugar cane producers, and other crops, in parts of the world where extreme rainfall poses a risk to the financial sustainability of production.","container-title":"Weather and Climate Extremes","DOI":"10.1016/j.wace.2018.10.003","ISSN":"2212-0947","journalAbbreviation":"Weather and Climate Extremes","language":"en","page":"1-9","source":"ScienceDirect","title":"Index insurance benefits agricultural producers exposed to excessive rainfall risk","volume":"22","author":[{"family":"Kath","given":"Jarrod"},{"family":"Mushtaq","given":"Shahbaz"},{"family":"Henry","given":"Ross"},{"family":"Adeyinka","given":"Adewuyi"},{"family":"Stone","given":"Roger"}],"issued":{"date-parts":[["2018",12,1]]},"citation-key":"kath_etal_2018"}},{"id":921,"uris":["http://zotero.org/users/7734624/items/68EN98Y2"],"itemData":{"id":921,"type":"article-journal","abstract":"The impact of risk management on farm productivity is still being debated. Using survey data from French and Hungarian farms, we estimate the impacts of different risk management strategies and portfolios under varying levels of risk on total factor productivity. Results from a multinomial endogenous switching regression model show that the impacts can be positive or negative, depending on the risk management strategies adopted, the structure of the farming system, and the probability of risks. The choice of risk management strategies influences the farm's production costs and the allocation of resources. More complex risk management portfolios tend to have larger negative productivity impacts due to higher costs and the larger amount of resources subtracted from the production activity. Our results have important implications for risk management policies.","container-title":"American Journal of Agricultural Economics","DOI":"10.1093/ajae/aaz020","ISSN":"1467-8276","issue":"5","language":"en","note":"_eprint: https://onlinelibrary.wiley.com/doi/pdf/10.1093/ajae/aaz020","page":"1432-1454","source":"Wiley Online Library","title":"To Risk or Not to Risk? Risk Management and Farm Productivity","title-short":"To Risk or Not to Risk?","volume":"101","author":[{"family":"Vigani","given":"Mauro"},{"family":"Kathage","given":"Jonas"}],"issued":{"date-parts":[["2019"]]},"citation-key":"vigani_kathage_2019"}},{"id":700,"uris":["http://zotero.org/users/7734624/items/PY55PIZ2"],"itemData":{"id":700,"type":"article-journal","abstract":"Climate change heavily impacts smallholder farming worldwide. Cross-scale vulnerability assessment has a high potential to identify nested measures for reducing vulnerability of smallholder farmers. Despite their high practical value, there are currently only limited examples of cross-scale assessments. The presented study aims at assessing the vulnerability of smallholder farmers in the Northeast of Brazil across three scales: regional, farm and field scale. In doing so, it builds on existing vulnerability indices and compares results between indices at the same scale and across scales. In total, six independent indices are tested, two at each scale. The calculated indices include social, economic and ecological indicators, based on municipal statistics, meteorological data, farm interviews and soil analyses. Subsequently, indices and overlapping indicators are normalized for intra-and cross-scale comparison. The results show considerable differences between indices across and within scales. They indicate different activities to reduce vulnerability of smallholder farmers. Major shortcomings arise from the conceptual differences between the indices. We therefore recommend the development of hierarchical indices, which are adapted to local conditions and contain more overlapping indicators for a better understanding of the nested vulnerabilities of smallholder farmers. © 2020 by the authors.","container-title":"Sustainability (Switzerland)","DOI":"10.3390/su12093787","ISSN":"20711050","issue":"9","language":"English","note":"publisher: MDPI","title":"Cross-scale vulnerability assessment for smallholder farming: A case study from the northeast of Brazil","URL":"https://www.scopus.com/inward/record.uri?eid=2-s2.0-85085964908&amp;doi=10.3390%2fsu12093787&amp;partnerID=40&amp;md5=1b75293eec4b8771c893cebceaa1b88e","volume":"12","author":[{"family":"Dobkowitz","given":"S."},{"family":"Walz","given":"A."},{"family":"Baroni","given":"G."},{"family":"Pérez-Marin","given":"A.M."}],"issued":{"date-parts":[["2020"]]},"citation-key":"dobkowitz_etal_2020"}},{"id":884,"uris":["http://zotero.org/users/7734624/items/EW86LG9V"],"itemData":{"id":884,"type":"article-journal","abstract":"Smallholder farmers in Afghanistan are already facing various risks in agricultural production due to past continuous insurgencies. Climate change is likely to amplify the risk and make them even more vulnerable. The present study attempted to evaluate the vulnerability profiles of smallholder farmers due to climate change using the IPCC Framework. Primary data on relevant parameters for assessing climate change-led social vulnerability in the region were collected by classifying study region into two zones: the plain and the hills of Yangi Qala District in Takhar province, Afghanistan. Thirteen villages from each zone were selected at random, and face-to-face interviews were conducted with ten randomly selected households in each of the selected villages in both zones based on a pre-tested questionnaire. The questionnaire contained indicators for all three dimensions of vulnerability: exposure, sensitivity and adaptive capacity. The collected data were subjected to a proposed vulnerability index, after estimating the indices of the three dimensions of vulnerability. The Iyenger and Sudershan weighting method was used to assess the contribution of each vulnerability dimension. Vulnerability was classified according to different categories based on beta distribution to evaluate the villages’ vulnerability status. The results showed that about 23% of all 26 sampled villages in both zones had low exposure, 26% moderate exposure and 51% high exposure to climate-change hazards and extreme weather events. High sensitivity was observed in 51%, moderate sensitivity in 7%, and low sensitivity in 42% of villages. High adaptive capacity to climate change was observed in 38% of villages, 19% were moderately adaptive and 42% showed a low adaptive capacity. High vulnerability was observed in 50% of villages, 4% were moderately vulnerable, and 46% had low vulnerability. A high proportion of smallholder farmers in the hilly zone in the sampled district were highly vulnerable, exposed and sensitive with a low adaptive capacity to climate change compared to the plain zone. The high vulnerability in the hilly zone was attributed to limited resources with a low adjustment capability to counter the disturbances, especially in crop cultivation, in response to climate change. A handful of low-cost and local approaches such as improving farmer extension services, introducing small-scale local infrastructure projects, reinforcing informal safety nets and protecting natural ecosystems could be viable cost-effective options that would also be sustainable given their low recurring costs and the limited maintenance required. © 2019 Elsevier Ltd","container-title":"Ecological Indicators","DOI":"10.1016/j.ecolind.2019.105863","ISSN":"1470160X","language":"English","note":"publisher: Elsevier B.V.","title":"Climate change vulnerability and adaptation strategies for smallholder farmers in Yangi Qala District, Takhar, Afghanistan","URL":"https://www.scopus.com/inward/record.uri?eid=2-s2.0-85074213101&amp;doi=10.1016%2fj.ecolind.2019.105863&amp;partnerID=40&amp;md5=f5d3dc5880670f5df717e2c3344acd81","volume":"110","author":[{"family":"Omerkhil","given":"N."},{"family":"Chand","given":"T."},{"family":"Valente","given":"D."},{"family":"Alatalo","given":"J.M."},{"family":"Pandey","given":"R."}],"issued":{"date-parts":[["2020"]]},"citation-key":"omerkhil_etal_2020"}},{"id":953,"uris":["http://zotero.org/users/7734624/items/JP6DPILY"],"itemData":{"id":953,"type":"article-journal","abstract":"Changing climate is posing considerable threats to agriculture, the most vulnerable sector, and to smallholder farming systems, the predominant agricultural livelihood activity in Africa. Study of specific systems enables clearer and more effective responses to be directly targeted for enhanced adaptation, but there is limited knowledge guiding specific subsector vulnerability assessments. We applied the Livelihood Vulnerability Index to understand and identify the nature and sources of vulnerability among smallholder horticultural farming households to climate variability in two districts in Ghana. A total of 480 households engaging in fruit and vegetable crop production were surveyed in Keta and Nsawam districts of Ghana. Data were collected on indicators for Livelihood Vulnerability Index components such as socio-demographic profiles, livelihood strategies, social networking, health, food, production, water, natural disasters, and climate variability. The vulnerability-contributing factors were aggregated in a composite index and differences were compared. The results indicate that smallholder horticultural farmers in Keta are more vulnerable in relation to high exposure and high sensitivity to climate variability, while smallholders in Nsawam are more vulnerable in terms of low capacity to adapt to climate variability. As it is the case for smallholder horticultural farming communities, the study suggests that Livelihood Vulnerability Index can be broadly applied to highlight potential areas for intervention and reduce the vulnerability of sector-specific farming communities within local and national levels. © 2018, Springer Nature B.V.","container-title":"Environment, Development and Sustainability","DOI":"10.1007/s10668-018-0292-y","ISSN":"1387585X","issue":"3","language":"English","note":"publisher: Springer","page":"2321-2342","title":"Assessing vulnerability of horticultural smallholders’ to climate variability in Ghana: applying the livelihood vulnerability approach","volume":"22","author":[{"family":"Williams","given":"P.A."},{"family":"Crespo","given":"O."},{"family":"Abu","given":"M."}],"issued":{"date-parts":[["2020"]]},"citation-key":"williams_etal_2020"}},{"id":926,"uris":["http://zotero.org/users/7734624/items/98Y7UZEG"],"itemData":{"id":926,"type":"article-journal","abstract":"Erosion is a major concern of hill maize farming system. Watersheds with steep slope and fragile land are more prone to erosion. A perception based semi structured questionnaire survey was carried out in Thakani and Sindhukot of Melamchi municipality in Sindhupalchowk district to study relationships of erosion in maize field along with assessment of vulnerability and factors affecting adoption of prevention measures. Index ranking method and descriptive statistics were used to rank the perception of farmers pertaining to occurrence, causes and available control measures of erosion. Logit regression further assessed the determinants of adoption of erosion prevention measures where as vulnerability was assessed using integrated vulnerability assessment approach following Intergovernmental Panel on Climate Change (IPCC) guideline. Most of the surveyed farmers responded heavy rainfall as major cause of the erosion followed by weak geography whereas the intensity of erosion was moderately increasing. Majority of the respondents (72.5%) have not adopted any erosion prevention measures mainly due to no support from government and low income. Among various adaptation measures, most of the farmers have shifted cultivation time, improved drainage system and decreased weeding frequency. The logit regression showed that among the independent variables, income, education, gender, access to extension services and involvement in organizations are positively significant to the adoption decision. This implies farmers in prone area need support from government to adopt prevention measures. Low income household dependent on agriculture and marginal farmers were more vulnerable to erosion as they have low adaptive capacity and resilience power.","container-title":"SN APPLIED SCIENCES","DOI":"10.1007/s42452-020-03747-2","ISSN":"2523-3963","issue":"12","language":"English","note":"publisher-place: GEWERBESTRASSE 11, CHAM, CH-6330, SWITZERLAND\npublisher: SPRINGER INTERNATIONAL PUBLISHING AG\ntype: Article","title":"Soil erosion vulnerability and adaptation strategies in maize field of Sindhukhola sub-watershed region, Nepal","volume":"2","author":[{"family":"Panta","given":"Bibek"},{"family":"Bhandari","given":"Thaneshwar"},{"family":"Paudel","given":"Basanta"}],"issued":{"date-parts":[["2020",11,3]]},"citation-key":"panta_etal_2020"}},{"id":900,"uris":["http://zotero.org/users/7734624/items/ESZ3PZ8X"],"itemData":{"id":900,"type":"article-journal","abstract":"The Mediterranean region is expected to be a hotspot for climate change, making the resilience of farming systems a major challenge. Some studies have used quantitative models at the farm scale to analyze the resilience of farming systems but with little involvement of stakeholders. We used a participatory approach with local actors on the Saïs plain of Morocco to design possible future states and qualitatively assess the resilience of typical farm types (FTs) experiencing major change. Our approach combined individual interviews of farmers and local actors, mainly public, with participatory collective meetings to identify representative FTs and their performance, project their evolutions and future performance in the face of change, and evaluate their resilience. Performance, defined according to literature, interviews and meetings, included different types of capital, income, yields, markets, support of public policies, and water access. Four FTs were considered: highly irrigated horticulture (FT1), rainfed cereals (FT2), partly irrigated cereal-legumes (FT3), and mostly irrigated fruit-tree/horticulture (FT4). The primary driver for FT2 and FT3 was climate change; for FT1 and FT4, it was limiting access to water resources. Participants designed more diversified systems for all FTs in relation to those changes. Rankings of FT performance did not change between current and future states. Performance did not evolve significantly, but FT4 was seen as the most resilient and FT2 the least. These qualitative results differ somewhat from other studies mobilizing quantitative approaches, but they highlight the potential of local adaptation to limit the impacts of global change on vulnerable agriculture. © 2021, The Author(s), under exclusive licence to Springer-Verlag GmbH Germany, part of Springer Nature.","container-title":"Regional Environmental Change","DOI":"10.1007/s10113-021-01764-4","ISSN":"14363798","issue":"2","language":"English","note":"publisher: Springer Science and Business Media Deutschland GmbH","title":"Assessing the resilience of farming systems on the Saïs plain, Morocco","URL":"https://www.scopus.com/inward/record.uri?eid=2-s2.0-85103359646&amp;doi=10.1007%2fs10113-021-01764-4&amp;partnerID=40&amp;md5=924a3e87533f83436132d881f83b85fc","volume":"21","author":[{"family":"Hossard","given":"L."},{"family":"Fadlaoui","given":"A."},{"family":"Ricote","given":"E."},{"family":"Belhouchette","given":"H."}],"issued":{"date-parts":[["2021"]]},"citation-key":"hossard_etal_2021"}},{"id":898,"uris":["http://zotero.org/users/7734624/items/QIC727NG"],"itemData":{"id":898,"type":"article-journal","abstract":"Climate change threatens the livelihoods of smallholder farmers in the Global South. In semi-arid northern Ghana, where over 73% of the population is engaged in smallholder agriculture, climate-induced food insecurity is of major concern. Livelihood diversification is acknowledged to have the potential to improve climate resilience in smallholder farming systems through risk spreading. That notwithstanding, little is known about the links between livelihood diversification strategies and climate resilience in such vulnerable settings. Drawing data from a cross-sectional survey with 1100 smallholder households in semi-arid northern Ghana, this study contributes to the literature by examining the association between livelihood diversification and climate change resilience. Findings from logistic regression analysis revealed that smallholder farming households that practiced only farm diversification (OR = 4.66; p ≤ 0.001) and a combination of both farm and nonfarm diversification (OR = 6.28; p ≤ 0.001) had significantly higher odds of reporting stronger resilience to climate change compared to those who did not employ any diversification strategy. The study further revealed that land preparation techniques, source of climate information, and religion were significantly associated with smallholder farmers’ perceived climate change resilience. These findings point to the need for agricultural policy to promote both farm and nonfarm livelihoods as complementary risk-spreading strategies. Exploring the synergies between farm and nonfarm livelihoods may prove beneficial in semi-arid agrarian contexts. In doing so, critical contextual dynamics such as source of farm power and sources of climate information must not be overlooked. © 2021, The Author(s), under exclusive licence to Springer Nature B.V. part of Springer Nature.","container-title":"Climatic Change","DOI":"10.1007/s10584-021-03034-y","ISSN":"01650009","issue":"3-4","language":"English","note":"publisher: Springer Science and Business Media B.V.","title":"Livelihood diversification strategies and resilience to climate change in semi-arid northern Ghana","URL":"https://www.scopus.com/inward/record.uri?eid=2-s2.0-85101542820&amp;doi=10.1007%2fs10584-021-03034-y&amp;partnerID=40&amp;md5=704671630e15cee5760b492459f91982","volume":"164","author":[{"family":"Mohammed","given":"K."},{"family":"Batung","given":"E."},{"family":"Kansanga","given":"M."},{"family":"Nyantakyi-Frimpong","given":"H."},{"family":"Luginaah","given":"I."}],"issued":{"date-parts":[["2021"]]},"citation-key":"mohammed_etal_2021"}},{"id":925,"uris":["http://zotero.org/users/7734624/items/9WJDHG8S"],"itemData":{"id":925,"type":"article-journal","abstract":"In developing countries like Pakistan, agriculture constitutes the primary source of support for the majority of rural and the adjacent urban population. Despite the large part it plays in the economy, it faces significant challenges caused by climate change, such as rising temperatures, floods, droughts, and yield losses. In Pakistan, rice, which is the second most essential food crop and livelihood source for the millions of farm households, is facing significant yield reduction due to climate change. It is pertinent to consider the vulnerabilities of farm households and related factors to create a climatic-resilient farming system. The current study is aimed at mapping the vulnerability of rice-growing communities of Punjab province while considering climatic challenges beyond temperatures and rainfall changes. The Climate Change Vulnerability Index (CCVI) was calculated for four rice-growing districts of Punjab province using the Intergovernmental Panel on Climate Change's three-indicator approach (sensitivity, exposition, and adaptive capacity). According to the results, farmers in the study area are highly vulnerable to climate change (CCVI 0.81). Specifically, the indices of vulnerability components showed that farmers have a high level of exposure (EVI 0.72) and susceptibility (SVI 0.59) to the climatic uncertainties with the least adaptive capacity (AVI 0.50). Further, the vulnerability analysis across different rice-growing regions showed that farmers, particularly in the low-yield region, are more vulnerable (EVI 0.73, SVI 0.61, AVI 0.49, CCVI 0.85) than the farmers in the high-yield region (EVI 0.71, SVI 0.58, AVI 0.51, CCVI 0.78). These findings imply that regional priority must be given despite the difference in farm performance to reduce production losses. Besides, climate-smart adaptation initiatives should be facilitated at the farm and regional levels through the implementation of appropriate policies and investment plans.","container-title":"ENVIRONMENTAL SCIENCE AND POLLUTION RESEARCH","DOI":"10.1007/s11356-020-10758-4","ISSN":"0944-1344","issue":"4, SI","language":"English","note":"publisher-place: TIERGARTENSTRASSE 17, D-69121 HEIDELBERG, GERMANY\npublisher: SPRINGER HEIDELBERG\ntype: Article","page":"4229-4244","title":"Mapping farmers' vulnerability to climate change and its induced hazards: evidence from the rice-growing zones of Punjab, Pakistan","volume":"28","author":[{"family":"Khan","given":"Nasir Abbas"},{"family":"Gao","given":"Qijie"},{"family":"Abid","given":"Muhammad"},{"family":"Shah","given":"Ashfaq Ahmad"}],"issued":{"date-parts":[["2021",1]]},"citation-key":"khan_etal_2021"}},{"id":3341,"uris":["http://zotero.org/users/7734624/items/XPPADBAG"],"itemData":{"id":3341,"type":"article-journal","abstract":"Potato (Solanum tuberosum) is an indispensable commodity, mainly cultivated by high-altitude mountain households, that sustains and supports the livelihood of an overwhelming 51% of the Bhutanese population. The popularity of potato cultivation among Bhutanese farmers can be attributed to the crop’s adaptability to a wide range of agroclimatic conditions such as a rainfed crop, high productivity, an assured market, and a reliable source of income for the farming families. We hypothesize that the changing climate would make the livelihood associated with potato cultivation in Bhutan more vulnerable. We tested this hypothesis to identify the sources of vulnerability of smallholder farming households using the Livelihood Vulnerability Index (LVI) and LVI-IPCC (Intergovernmental Panel on Climate Change) approaches in six potato growing districts of Bhutan: Bumthang, Chukha, Gasa, Mongar, Tashigang, and Wangdue. Primary data were generated through a semi structured sample survey of 240 households on the seven major livelihood components of sociodemographic profiles, livelihood strategies, social networks, health, food, water, natural disasters, and climate variability. The results showed that the LVI (range 0.302 to 0.375) and LVI-IPCC (range −0.005 to 0.030) differed significantly (p &lt; 0.001) across the districts. The districts of Tashigang and Mongar were less vulnerable than the other four districts by the LVI approach, whereas Bumthang was also revealed to be less vulnerable using the LVI-IPCC approach. The degree of vulnerability in a district differed according to their level of exposure and adaptive capacity to the climate change impacts of the potato farming household. The results are expected to serve as empirical evidence for designing a future course of actions to mitigate the negative impacts.","container-title":"Sustainability","DOI":"10.3390/su14042339","ISSN":"2071-1050","issue":"4","journalAbbreviation":"Sustainability","language":"en","license":"https://creativecommons.org/licenses/by/4.0/","page":"2339","source":"DOI.org (Crossref)","title":"Empirical Evidence of the Livelihood Vulnerability to Climate Change Impacts: A Case of Potato-Based Mountain Farming Systems in Bhutan","title-short":"Empirical Evidence of the Livelihood Vulnerability to Climate Change Impacts","volume":"14","author":[{"family":"Rai","given":"Pradeep"},{"family":"Bajgai","given":"Yadunath"},{"family":"Rabgyal","given":"Jimba"},{"family":"Katwal","given":"Tirtha Bdr"},{"family":"Delmond","given":"Anthony Ryan"}],"issued":{"date-parts":[["2022",2,18]]},"citation-key":"rai_etal_2022"}},{"id":3385,"uris":["http://zotero.org/users/7734624/items/DD4RVZRY"],"itemData":{"id":3385,"type":"article-journal","container-title":"Journal of Environmental Studies and Sciences","DOI":"10.1007/s13412-022-00763-z","ISSN":"2190-6483, 2190-6491","issue":"3","journalAbbreviation":"J Environ Stud Sci","language":"en","page":"547-565","source":"DOI.org (Crossref)","title":"Modeling resilience behavior against climate change with food security approach","volume":"12","author":[{"family":"Asrari","given":"Amirreza"},{"family":"Omidi Najafabadi","given":"Maryam"},{"family":"Farajollah Hosseini","given":"Jamal"}],"issued":{"date-parts":[["2022",9]]},"citation-key":"asrari_etal_2022"}},{"id":3346,"uris":["http://zotero.org/users/7734624/items/89PSQCE6"],"itemData":{"id":3346,"type":"article-journal","container-title":"Agricultural Systems","DOI":"10.1016/j.agsy.2022.103537","ISSN":"0308521X","journalAbbreviation":"Agricultural Systems","language":"en","page":"103537","source":"DOI.org (Crossref)","title":"Adaptive capacity of farming systems to climate change in Iran: Application of composite index approach","title-short":"Adaptive capacity of farming systems to climate change in Iran","volume":"204","author":[{"family":"Abdollahzadeh","given":"Gholamhossein"},{"family":"Sharifzadeh","given":"Mohammad Sharif"},{"family":"Sklenička","given":"Petr"},{"family":"Azadi","given":"Hossein"}],"issued":{"date-parts":[["2023",1]]},"citation-key":"abdollahzadeh_etal_2023"}},{"id":3343,"uris":["http://zotero.org/users/7734624/items/JDJQPVNK"],"itemData":{"id":3343,"type":"article-journal","container-title":"Environmental Management","DOI":"10.1007/s00267-022-01604-z","ISSN":"0364-152X, 1432-1009","issue":"1","journalAbbreviation":"Environmental Management","language":"en","page":"74-86","source":"DOI.org (Crossref)","title":"Exploring farmers’ adaptation strategies to water shortage under climate change in the Tunisian semi-arid region","volume":"71","author":[{"family":"Soltani","given":"Lamia"},{"family":"Mellah","given":"Thuraya"}],"issued":{"date-parts":[["2023",1]]},"citation-key":"soltani_mellah_2023"}},{"id":3311,"uris":["http://zotero.org/users/7734624/items/JQMSVRNU"],"itemData":{"id":3311,"type":"article-journal","abstract":"This study assesses the perceptions and vulnerability of the farming communities to climate change in the southwestern parts of Ethiopia. Climate change vulnerability assessment is a prerequisite to designing climate change adaptation strategies. A multistage cluster sampling technique was used to select four of the six zones from the southwestern parts of Oromia. Close-ended and open-ended questionnaires were used to assess household perceptions of climate change and the degree of vulnerability to climate change by using five household capitals: natural, social, financial, physical, and human capital. Data were collected from 442 households in 4 districts: Jimma Arjo, Bako Tibe, Chewaka, and Sekoru. The vulnerability of the farming communities was assessed using the households’ livelihood vulnerability index. A total of forty indicators from five capitals were applied to calculate household livelihood vulnerability to climate change. Household perceptions of climate change had a statistically significant relationship with changes in rainfall pattern (75.6%, p &lt; 0.001), temperature pattern (69.7%, p &lt; 0.001), drought (41.6%, p = 0.016), flood (44.1%, p = 0.000), and occurrence of early (53.2%, p &lt; 0.001) and late rain (55.9%, p &lt; 0.001). The results show that households in the Sekoru district were the most vulnerable (0.61), while households in the Jimma Arjo district were less vulnerable (0.47) to the effect of climate change. Household vulnerability to climate change is mainly related to the occurrence of drought, lack of much-needed infrastructure facilities, and weak institutional support. Links with financial organizations are also lacking in the household. The findings of this study will help policymakers to address the impact of climate change. To support disaster risk management on the one hand and increase the resilience of vulnerable societies to climate change on the other, we recommend a detailed assessment of the remaining districts of the region.","container-title":"Climate","DOI":"10.3390/cli11090183","ISSN":"2225-1154","issue":"9","journalAbbreviation":"Climate","language":"en","license":"https://creativecommons.org/licenses/by/4.0/","page":"183","source":"DOI.org (Crossref)","title":"Climate Change Perception and Vulnerability Assessment of the Farming Communities in the Southwest Parts of Ethiopia","volume":"11","author":[{"family":"Gemeda","given":"Dessalegn Obsi"},{"family":"Korecha","given":"Diriba"},{"family":"Garedew","given":"Weyessa"}],"issued":{"date-parts":[["2023",9,5]]},"citation-key":"gemeda_etal_2023"}},{"id":3309,"uris":["http://zotero.org/users/7734624/items/TE7LJQNF"],"itemData":{"id":3309,"type":"article-journal","container-title":"Research in Globalization","DOI":"10.1016/j.resglo.2023.100138","ISSN":"2590051X","journalAbbreviation":"Research in Globalization","language":"en","page":"100138","source":"DOI.org (Crossref)","title":"Vulnerability of family farming systems to climate change: The case of the forest-savannah transition zone, Centre Region of Cameroon","title-short":"Vulnerability of family farming systems to climate change","volume":"7","author":[{"family":"Marie Chimi","given":"Pierre"},{"family":"Armand Mala","given":"William"},{"family":"Ngamsou Abdel","given":"Karimou"},{"family":"Louis Fobane","given":"Jean"},{"family":"Manga Essouma","given":"François"},{"family":"Hermann Matick","given":"John"},{"family":"Yldephonse Nyonce Pokam","given":"Eusebe"},{"family":"Tcheferi","given":"Imma"},{"family":"Martin Bell","given":"Joseph"}],"issued":{"date-parts":[["2023",12]]},"citation-key":"mariechimi_etal_2023"}},{"id":3356,"uris":["http://zotero.org/users/7734624/items/2C2L9DNA"],"itemData":{"id":3356,"type":"article-journal","abstract":"Smallholder farmers are among the most vulnerable to climate shocks in Sri Lanka. Lack of education and technical skills, poverty, risks inherent to agricultural investments, limited assets, and financial capital are major reasons for low investments in enhancing adaptive capacity. The study explores the use of agricultural technologies in improving smallholder resilience to water-related disasters and their opportunities for recovery. We tested four bundled services to promote climate-smart agriculture practices namely weather index insurance (WII), agronomic advisories dissemination via SMS, weather services, and climate-resilient seeds of maize and rice. The integrated solutions are referred to as Bundled Solutions of Index Insurance with Climate Information and Seed Systems (BICSA) to manage agricultural risks in Sri Lanka. The study conducted the bundled solutions in three agroecological regions spread over five districts and covering more than 2,500 farmers in three cropping periods of\n              Maha\n              and\n              Yala\n              seasons. The results demonstrate that providing bundled solutions significantly protects smallholders against moderate drought events. The satellite-based weather index insurance can offset the long-term consequences of severe yield losses and mitigate the long-term drop in farm productivity. Our findings demonstrate the importance of bundled insurance to mitigate financial risks associated with extreme weather events and enhance resilience to climate change among vulnerable smallholders. It is evident from the study promoting a viable business model among seed companies, insurance companies, and technological partners, along with public institutions such as agricultural extension services can help production-level improvements and develop strategies at both the farm and policy levels that will support a transition to a more resilient farming system.","container-title":"Frontiers in Sustainable Food Systems","DOI":"10.3389/fsufs.2023.1145147","ISSN":"2571-581X","journalAbbreviation":"Front. Sustain. Food Syst.","page":"1145147","source":"DOI.org (Crossref)","title":"Bundled climate-smart agricultural solutions for smallholder farmers in Sri Lanka","volume":"7","author":[{"family":"Amarnath","given":"Giriraj"},{"family":"Taron","given":"Avinandan"},{"family":"Alahacoon","given":"Niranga"},{"family":"Ghosh","given":"Surajit"}],"issued":{"date-parts":[["2023",12,1]]},"citation-key":"amarnath_etal_2023"}},{"id":3277,"uris":["http://zotero.org/users/7734624/items/H7L2VTQR"],"itemData":{"id":3277,"type":"article-journal","abstract":"Enhanced anthropogenic climatic variability challenges small farmers. In the Sumapaz páramo (Colombia), higher irregularity in precipitation and temperature reduces the quality of pasture and cattle health. Data from surveys, semi-structured interviews, and focus groups were analyzed to understand livestock farmers’ responses to the impacts of climatic variability. To estimate the communities’ resilience in the páramo, we used the capitals framework, the Baseline Resilience Indicator for Communities (BRIC), and cluster analysis. The responses of most households aim to reduce the impacts of climatic variability on the production system, chiefly intensifying practices such as the rotation of paddocks, livelihood diversification, purchase of grass, and buying and selling livestock. Interestingly, farmers did not recognize the value of the types of capital for responding to climatic variability. Results showed that the use of available physical, social, and economic capitals render the farming system resilient. Our probit model estimated that economic and human capitals are the largest and most significant contributors to communities’ capacity to respond to climatic variability. However, pre-existing non-climatic vulnerabilities are also important. For example, poverty hinders farmers from using their income in response to climatic variability. The place-based measurements used in this research are easily understood and applicable by local policy makers to address increasing climate variability.","container-title":"Land","DOI":"10.3390/land13040499","ISSN":"2073-445X","issue":"4","journalAbbreviation":"Land","language":"en","license":"https://creativecommons.org/licenses/by/4.0/","page":"499","source":"DOI.org (Crossref)","title":"Adaptive Responses and Resilience of Small Livestock Producers to Climate Variability in the Cruz Verde-Sumapaz Páramo, Colombia","volume":"13","author":[{"family":"Postigo","given":"Julio C."},{"family":"Guáqueta-Solórzano","given":"Victoria-Eugenia"},{"family":"Castañeda","given":"Edna"},{"family":"Ortiz-Guerrero","given":"Cesar Enrique"}],"issued":{"date-parts":[["2024",4,11]]},"citation-key":"postigo_etal_2024"}},{"id":3286,"uris":["http://zotero.org/users/7734624/items/XNDAQFCC"],"itemData":{"id":3286,"type":"article-journal","abstract":"Agriculture is vital to the Saudi Arabian economy since it provides food and other necessities to people living in rural areas, as well as those living in adjacent cities. Notwithstanding its considerable economic importance, the agricultural sector is confronted with formidable obstacles due to climate change, such as elevated temperatures, floods, extreme droughts, and decreased agricultural yields. Building a farming system capable of being climate resilient requires the comprehension of the vulnerabilities of farm households and related systems. This paper deals with the potential agricultural risks resulting from climate change in Saudi Arabia. In addition to concentrating on precipitation and temperature, the present research incorporates the three main components of the Climate Change Vulnerability Index (CCVI): sensitivity, exposure, and adaptive capability. The results of this research reveal a notable challenge that farmers in Saudi Arabia encounter, as they are very susceptible to the impacts of climate change. The Climate Change Vulnerability Index (CCVI) has a score of 0.730, signifying a substantial degree of vulnerability. The farmers in this region are very susceptible to uncertainties caused by climate change, as indicated by the significant exposure score of 0.725. This exposure comprises a wide range of concerns resulting from fluctuations in temperature, patterns of rainfall, and occurrences of severe weather, all of which have an immediate and negative effect on agriculture. Farmers in that region are more susceptible to the effects of climate change, which could jeopardize their livelihoods and agricultural operations, as shown by the susceptibility component (SVI) of 0.559. Moreover, the adaptive capacity (AVI) score of 0.567 highlights the fact that farmers have limited access to resources, skills, and experience, hindering their ability to tackle the challenges that have been caused by climate change in this region successfully. The results emphasize the immediate necessity for specific policies and assistance to enhance the resilience of agricultural communities in the area, as well as to mitigate the potential adverse effects of climate change on their livelihoods.","container-title":"Sustainability","DOI":"10.3390/su16104245","ISSN":"2071-1050","issue":"10","journalAbbreviation":"Sustainability","language":"en","license":"https://creativecommons.org/licenses/by/4.0/","page":"4245","source":"DOI.org (Crossref)","title":"Exploring Climate-Induced Agricultural Risk in Saudi Arabia: Evidence from Farming Communities of Medina Region","title-short":"Exploring Climate-Induced Agricultural Risk in Saudi Arabia","volume":"16","author":[{"family":"Alotaibi","given":"Bader Alhafi"},{"family":"Xu","given":"Weizhou"},{"family":"Shah","given":"Ashfaq Ahmad"},{"family":"Ullah","given":"Wahid"}],"issued":{"date-parts":[["2024",5,17]]},"citation-key":"alotaibi_etal_2024"}}],"schema":"https://github.com/citation-style-language/schema/raw/master/csl-citation.json"}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E75E02" w:rsidRPr="00E75E02">
              <w:rPr>
                <w:rFonts w:ascii="Times New Roman" w:hAnsi="Times New Roman" w:cs="Times New Roman"/>
                <w:lang w:val="fr-FR"/>
              </w:rPr>
              <w:t>(Mutabazi et al. 2015; Jiri et al. 2017; Tibesigwa et al. 2017; Kath et al. 2018; Vigani and Kathage 2019; Dobkowitz et al. 2020; Omerkhil et al. 2020; Williams et al. 2020a; Panta et al. 2020; Hossard et al. 2021; Mohammed et al. 2021; Khan et al. 2021; Rai et al. 2022; Asrari et al. 2022; Abdollahzadeh et al. 2023; Soltani and Mellah 2023; Gemeda et al. 2023; Marie Chimi et al. 2023; Amarnath et al. 2023; Postigo et al. 2024; Alotaibi et al. 2024)</w:t>
            </w:r>
            <w:r w:rsidRPr="00FF4B56">
              <w:rPr>
                <w:rFonts w:ascii="Times New Roman" w:eastAsia="Times New Roman" w:hAnsi="Times New Roman" w:cs="Times New Roman"/>
                <w:color w:val="000000"/>
                <w:lang w:eastAsia="en-GB"/>
              </w:rPr>
              <w:fldChar w:fldCharType="end"/>
            </w:r>
          </w:p>
        </w:tc>
      </w:tr>
      <w:tr w:rsidR="00482CE2" w:rsidRPr="00AF6801" w14:paraId="250C3414" w14:textId="1A3C44DE" w:rsidTr="00406364">
        <w:trPr>
          <w:trHeight w:val="288"/>
        </w:trPr>
        <w:tc>
          <w:tcPr>
            <w:tcW w:w="0" w:type="auto"/>
            <w:tcBorders>
              <w:top w:val="nil"/>
              <w:left w:val="nil"/>
              <w:bottom w:val="nil"/>
              <w:right w:val="nil"/>
            </w:tcBorders>
            <w:shd w:val="clear" w:color="000000" w:fill="FFFFFF"/>
          </w:tcPr>
          <w:p w14:paraId="387DC24F" w14:textId="77777777" w:rsidR="00482CE2" w:rsidRPr="00E75E02" w:rsidRDefault="00482CE2" w:rsidP="00406364">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hideMark/>
          </w:tcPr>
          <w:p w14:paraId="064EFC28" w14:textId="489C8A98" w:rsidR="00482CE2" w:rsidRPr="00E75E02" w:rsidRDefault="00482CE2" w:rsidP="00406364">
            <w:pPr>
              <w:spacing w:after="0" w:line="360" w:lineRule="auto"/>
              <w:rPr>
                <w:rFonts w:ascii="Times New Roman" w:eastAsia="Times New Roman" w:hAnsi="Times New Roman" w:cs="Times New Roman"/>
                <w:color w:val="000000"/>
                <w:lang w:val="fr-FR" w:eastAsia="en-GB"/>
              </w:rPr>
            </w:pPr>
            <w:r w:rsidRPr="00E75E02">
              <w:rPr>
                <w:rFonts w:ascii="Times New Roman" w:eastAsia="Times New Roman" w:hAnsi="Times New Roman" w:cs="Times New Roman"/>
                <w:color w:val="000000"/>
                <w:lang w:val="fr-FR" w:eastAsia="en-GB"/>
              </w:rPr>
              <w:t> </w:t>
            </w:r>
          </w:p>
        </w:tc>
        <w:tc>
          <w:tcPr>
            <w:tcW w:w="5310" w:type="dxa"/>
            <w:tcBorders>
              <w:top w:val="nil"/>
              <w:left w:val="nil"/>
              <w:bottom w:val="nil"/>
              <w:right w:val="nil"/>
            </w:tcBorders>
            <w:shd w:val="clear" w:color="000000" w:fill="FFFFFF"/>
            <w:noWrap/>
            <w:hideMark/>
          </w:tcPr>
          <w:p w14:paraId="1F2C4A99" w14:textId="033E4BF8" w:rsidR="00482CE2" w:rsidRPr="00E75E02" w:rsidRDefault="00482CE2" w:rsidP="00406364">
            <w:pPr>
              <w:spacing w:after="0" w:line="360" w:lineRule="auto"/>
              <w:rPr>
                <w:rFonts w:ascii="Times New Roman" w:eastAsia="Times New Roman" w:hAnsi="Times New Roman" w:cs="Times New Roman"/>
                <w:color w:val="000000"/>
                <w:lang w:val="fr-FR" w:eastAsia="en-GB"/>
              </w:rPr>
            </w:pPr>
            <w:proofErr w:type="spellStart"/>
            <w:r w:rsidRPr="00E75E02">
              <w:rPr>
                <w:rFonts w:ascii="Times New Roman" w:eastAsia="Times New Roman" w:hAnsi="Times New Roman" w:cs="Times New Roman"/>
                <w:color w:val="000000"/>
                <w:lang w:val="fr-FR" w:eastAsia="en-GB"/>
              </w:rPr>
              <w:t>Amount</w:t>
            </w:r>
            <w:proofErr w:type="spellEnd"/>
            <w:r w:rsidRPr="00E75E02">
              <w:rPr>
                <w:rFonts w:ascii="Times New Roman" w:eastAsia="Times New Roman" w:hAnsi="Times New Roman" w:cs="Times New Roman"/>
                <w:color w:val="000000"/>
                <w:lang w:val="fr-FR" w:eastAsia="en-GB"/>
              </w:rPr>
              <w:t xml:space="preserve"> of </w:t>
            </w:r>
            <w:proofErr w:type="spellStart"/>
            <w:r w:rsidRPr="00E75E02">
              <w:rPr>
                <w:rFonts w:ascii="Times New Roman" w:eastAsia="Times New Roman" w:hAnsi="Times New Roman" w:cs="Times New Roman"/>
                <w:color w:val="000000"/>
                <w:lang w:val="fr-FR" w:eastAsia="en-GB"/>
              </w:rPr>
              <w:t>mineral</w:t>
            </w:r>
            <w:proofErr w:type="spellEnd"/>
            <w:r w:rsidRPr="00E75E02">
              <w:rPr>
                <w:rFonts w:ascii="Times New Roman" w:eastAsia="Times New Roman" w:hAnsi="Times New Roman" w:cs="Times New Roman"/>
                <w:color w:val="000000"/>
                <w:lang w:val="fr-FR" w:eastAsia="en-GB"/>
              </w:rPr>
              <w:t xml:space="preserve"> </w:t>
            </w:r>
            <w:proofErr w:type="spellStart"/>
            <w:r w:rsidRPr="00E75E02">
              <w:rPr>
                <w:rFonts w:ascii="Times New Roman" w:eastAsia="Times New Roman" w:hAnsi="Times New Roman" w:cs="Times New Roman"/>
                <w:color w:val="000000"/>
                <w:lang w:val="fr-FR" w:eastAsia="en-GB"/>
              </w:rPr>
              <w:t>fertilizer</w:t>
            </w:r>
            <w:proofErr w:type="spellEnd"/>
          </w:p>
        </w:tc>
        <w:tc>
          <w:tcPr>
            <w:tcW w:w="1350" w:type="dxa"/>
            <w:tcBorders>
              <w:top w:val="nil"/>
              <w:left w:val="nil"/>
              <w:bottom w:val="nil"/>
              <w:right w:val="nil"/>
            </w:tcBorders>
            <w:shd w:val="clear" w:color="000000" w:fill="FFFFFF"/>
            <w:noWrap/>
            <w:hideMark/>
          </w:tcPr>
          <w:p w14:paraId="01368EAD" w14:textId="5CF24EE8" w:rsidR="00482CE2" w:rsidRPr="00E75E02" w:rsidRDefault="00482CE2" w:rsidP="00406364">
            <w:pPr>
              <w:spacing w:after="0" w:line="360" w:lineRule="auto"/>
              <w:rPr>
                <w:rFonts w:ascii="Times New Roman" w:eastAsia="Times New Roman" w:hAnsi="Times New Roman" w:cs="Times New Roman"/>
                <w:color w:val="000000"/>
                <w:lang w:val="fr-FR" w:eastAsia="en-GB"/>
              </w:rPr>
            </w:pPr>
            <w:r w:rsidRPr="00E75E02">
              <w:rPr>
                <w:rFonts w:ascii="Times New Roman" w:eastAsia="Times New Roman" w:hAnsi="Times New Roman" w:cs="Times New Roman"/>
                <w:color w:val="000000"/>
                <w:lang w:val="fr-FR" w:eastAsia="en-GB"/>
              </w:rPr>
              <w:t>1</w:t>
            </w:r>
            <w:r w:rsidR="00EF7700" w:rsidRPr="00E75E02">
              <w:rPr>
                <w:rFonts w:ascii="Times New Roman" w:eastAsia="Times New Roman" w:hAnsi="Times New Roman" w:cs="Times New Roman"/>
                <w:color w:val="000000"/>
                <w:lang w:val="fr-FR" w:eastAsia="en-GB"/>
              </w:rPr>
              <w:t>9</w:t>
            </w:r>
          </w:p>
        </w:tc>
        <w:tc>
          <w:tcPr>
            <w:tcW w:w="5274" w:type="dxa"/>
            <w:tcBorders>
              <w:left w:val="nil"/>
              <w:right w:val="nil"/>
            </w:tcBorders>
            <w:shd w:val="clear" w:color="000000" w:fill="FFFFFF"/>
          </w:tcPr>
          <w:p w14:paraId="152AC156" w14:textId="7F28F351" w:rsidR="00482CE2" w:rsidRPr="00E75E02" w:rsidRDefault="000D2AF8" w:rsidP="00406364">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E75E02">
              <w:rPr>
                <w:rFonts w:ascii="Times New Roman" w:eastAsia="Times New Roman" w:hAnsi="Times New Roman" w:cs="Times New Roman"/>
                <w:color w:val="000000"/>
                <w:lang w:val="fr-FR" w:eastAsia="en-GB"/>
              </w:rPr>
              <w:instrText xml:space="preserve"> ADDIN ZOTERO_ITEM CSL_CITATION {"citationID":"jFSgdTId","properties":{"formattedCitation":"(Keil et al. 2009; Bobojonov and Aw-Hassan 2014; Mwinuka et al. 2016; Ghahramani and Moore 2016; Poulton et al. 2016; Rigolot et al. 2017; Descheemaeker et al. 2018; Kabir et al. 2018; Kadigi et al. 2020; Monjardino et al. 2021; Homann-Kee Tui et al. 2021; Maggio et al. 2022; Dardonville et al. 2022; Varadan et al. 2022; Chaudhary et al. 2022; Abdollahzadeh et al. 2023; Pinsard et al. 2023; Kumar et al. 2024)","plainCitation":"(Keil et al. 2009; Bobojonov and Aw-Hassan 2014; Mwinuka et al. 2016; Ghahramani and Moore 2016; Poulton et al. 2016; Rigolot et al. 2017; Descheemaeker et al. 2018; Kabir et al. 2018; Kadigi et al. 2020; Monjardino et al. 2021; Homann-Kee Tui et al. 2021; Maggio et al. 2022; Dardonville et al. 2022; Varadan et al. 2022; Chaudhary et al. 2022; Abdollahzadeh et al. 2023; Pinsard et al. 2023; Kumar et al. 2024)","noteIndex":0},"citationItems":[{"id":930,"uris":["http://zotero.org/users/7734624/items/KBCYEHLF"],"itemData":{"id":930,"type":"article-journal","abstract":"Crop production in Southeast Asia is subject to considerable climate variability caused by the El Nino-Southern Oscillation phenomenon. El Nino causes comparatively dry conditions leading to substantial declines in crop yields, with severe consequences for the welfare of local farm households. Using an interdisciplinary modelling approach that combines regression analysis with linear programming (LP) and stochastic simulation, and integrates climatic and hydrologic modelling results, the objective of the present study is to assess the impact of El Nino on agricultural incomes of smallholder farmers in Central Sulawesi, Indonesia, and to derive suitable crop management strategies to mitigate income reductions. We identify 5 farm classes by cluster analysis. Our LP model maximises their cash balance at the end of the time period most severely affected by El Nino. Main activities are the cultivation of rice, maize and cocoa. Accounting for water supply, external Cobb-Douglas production functions generate output according to level of production intensity and predicted weather patterns. Stochastic Simulation accounts for variations in crop yields due to factors not captured by the production functions. Iterative model runs produce probability distributions of the model outcomes for each household class, whereby the downside risk of failing to achieve a specified minimum level of income is particularly policy relevant. The results illustrate that drought-related crop management recommendations must be tailored to farm households according to their location, farming system and resource endowment. Furthermore, Our findings demonstrate the importance of policy measures aimed at an ex post alleviation of drought impacts.","container-title":"Climate Research","DOI":"10.3354/cr00778","ISSN":"0936-577X","issue":"2","page":"155–169","title":"Vulnerability of smallholder farmers to ENSO-related drought in Indonesia UR -://WOS:000270149600006","title-short":"Vulnerability of smallholder farmers to ENSO-related drought in Indonesia","volume":"38","author":[{"family":"Keil","given":"A."},{"family":"Teufel","given":"N."},{"family":"Gunawan","given":"D."},{"family":"Leemhuis","given":"C."}],"issued":{"date-parts":[["2009",2]]},"citation-key":"keil_etal_2009"}},{"id":664,"uris":["http://zotero.org/users/7734624/items/24ZACXT8"],"itemData":{"id":664,"type":"article-journal","abstract":"Increased risk due to global warming has already become embedded in agricultural decision making in Central Asia and uncertainties are projected to increase even further. Agro-ecology and economies of Central Asia are heterogenous and very little is known about the impact of climate change at the sub-national levels. The bio-economic farm model (BEFM) is used for ex ante assessment of climate change impacts at sub-national levels in Central Asia. The BEFM is calibrated to 10 farming systems in Central Asia based on the household survey and crop growth experiment data. The production uncertainties and the adaptation options of agricultural producers to changing environments are considered paramount in the simulations.Very large differences in climate change impacts across the studied farming systems are found. The positive income gains in large-scale commercial farms in the northern regions of Kazakhstan and negative impact in small-scale farms in arid zones of Tajikistan are likely to happen. Producers in Kyrgyzstan may expect higher revenues but also higher income volatilities in the future. Agricultural producers in Uzbekistan may benefit in the near future but may lose their income in the distant future. The negative impacts could be further aggravated in arid zones of Central Asia if irrigation water availability decline due to climate change and water demand increase in upstream regions. The scenario simulations show that market liberalization and improved commodity exchange between the countries have very good potential to cope with the negative consequences of climate change. © 2014 The Authors.","container-title":"Agriculture, Ecosystems and Environment","DOI":"10.1016/j.agee.2014.02.033","ISSN":"01678809","language":"English","page":"245-255","title":"Impacts of climate change on farm income security in Central Asia: An integrated modeling approach","volume":"188","author":[{"family":"Bobojonov","given":"I."},{"family":"Aw-Hassan","given":"A."}],"issued":{"date-parts":[["2014"]]},"citation-key":"bobojonov_aw-hassan_2014"}},{"id":706,"uris":["http://zotero.org/users/7734624/items/HT6YSZ7V"],"itemData":{"id":706,"type":"article-journal","abstract":"Smallholder farmers are reluctant to risk investing in fertilizers. To understand how risk is perceived and how economic returns are distributed before the decision to invest in fertilizer use is made, needs a systematic approach using localized applications. This study assesses the profitability and net return variability of fertilizer micro-dosing (MD) in the sub-humid rain-fed maize (Zea mays L.) farming system in Tanzania. Useful data was gathered from a household baseline survey, water and nutrient limited calibrated yields, marginal costs and yields from farmers' field trials, along with other information from expert and historical data. Crop yields, crop prices and prices for key production inputs (mainly fertilizer) were simulated for the net economic return distributions for maize under different fertilizer MD rates using the Economic and Nutritional Impact Assessment Model (FARMSIM), which is supported by Simulation and Econometrics to Analyse Risk (SIMETAR). The results show relative differences in stochastic returns between water and nutrient limited (without fertilizer MD) and with fertilizer MD scenarios. Farmers are likely to adopt fertilization technologies if best agronomic practices are promoted through farmer groups and field schools, fertilizers are repackaged into small quantities for ease of purchase and access, and the coverage of subsidized fertilizers is increased.","container-title":"AFRICAN JOURNAL OF SCIENCE TECHNOLOGY INNOVATION &amp; DEVELOPMENT","DOI":"10.1080/20421338.2016.1257537","ISSN":"2042-1338","issue":"5-6","language":"English","note":"publisher-place: 2-4 PARK SQUARE, MILTON PARK, ABINGDON OX14 4RN, OXON, ENGLAND\npublisher: ROUTLEDGE JOURNALS, TAYLOR &amp; FRANCIS LTD\ntype: Article","page":"497-508","title":"Reckoning the risks and rewards of fertilizer micro-dosing in a sub-humid farming system in Tanzania","volume":"8","author":[{"family":"Mwinuka","given":"Lutengano"},{"family":"Mutabazi","given":"Khamaldin Daud"},{"family":"Makindara","given":"Jeremia"},{"family":"Sieber","given":"Stefan"}],"issued":{"date-parts":[["2016"]]},"citation-key":"mwinuka_etal_2016"}},{"id":935,"uris":["http://zotero.org/users/7734624/items/5GFN64NW"],"itemData":{"id":935,"type":"article-journal","abstract":"The state of Western Australia is a major producer and exporter of crops and livestock. Mixed farming systems are typical agricultural enterprises in the Western Australian wheatbelt where climate drives the productivity and profitability of these farms and therefore the effects of likely climate change on their performance need to be understood. Here the effects of climate change projected at 2030 were evaluated compared to a baseline period (1980–1999) on mixed farming systems at paddock, enterprise and whole farm scales using the coupled APSIM and GRAZPLAN biophysical simulation models. The yield of different crops, livestock production and gross margins were assessed under current and projected climates using current farming technology and management practices. Representative mixed-farm systems were selected along a climate transect. Modelling analysis suggests that current production levels and gross margins of mixed farm systems in Western Australia will not be sustained in 2030 climate conditions except in areas of moderately high-rainfall. Whole farm gross margin declined at all site×potential climate scenarios between 1% and 22% except in moderately high rainfall where gross margin increased by up to 4% under a ‘hot and moderate change in rainfall’ climate. Projected crop yields declined for most of the crop×site×potential climate combinations, with greatest declines under a hot and dry climate (at driest margin of transect) in which wheat, barley, canola, and lupin yield declined up to 16%, 15%, 21%, and 27%, respectively. Increase in yield was predicted for wheat and barley at some of the site×potential climate s. Wheat yield increased only under moderately high rainfall region by 6% while barley increased by 1%. Simulated cropping gross margin was also shown to decline by between &gt;1% and 23%, except for the moderately high-rainfall site where cropping gross margins were projected to increase by up to 3%. Changes in simulated livestock production were smaller and less variable than for crop production. The change in weight of livestock sold across sites×potential climate combinations ranged between −3% and +3%. Livestock gross margin varied between −11% and +6%. Modelling results indicated a greater fertilisation effect of the elevated CO2 on pasture production than on crop yield and biomass particularly in drier sites. But however, this could not offset negative impact of climate change under hot potential climates. The main negative environmental impacts from the projected climate change were declines in annual net primary production (ANPP), ground cover and water use efficiency mostly at drier sites. Whole farm N2O emission declined significantly for the majority of site×potential climate combinations, while smaller decreases in ruminant CH4 emission were predicted. In 2030, returns from livestock enterprises are predicted to be smaller, but less variable than from cropping and with increasing probability of success in drier regions. Reduced variability in financial return is important from the perspective of whole farm risk management. Shifts in enterprise mix in dryland mixed-farming systems towards increased livestock may be a helpful strategy in adapting to climate change and managing the associated financial risks.","container-title":"Agricultural Systems","DOI":"10.1016/j.agsy.2016.05.011","ISSN":"0308-521X","journalAbbreviation":"Agricultural Systems","language":"en","page":"142-155","source":"ScienceDirect","title":"Impact of climate changes on existing crop-livestock farming systems","volume":"146","author":[{"family":"Ghahramani","given":"Afshin"},{"family":"Moore","given":"Andrew D."}],"issued":{"date-parts":[["2016",7,1]]},"citation-key":"ghahramani_moore_2016"}},{"id":936,"uris":["http://zotero.org/users/7734624/items/X7GXSQWU"],"itemData":{"id":936,"type":"article-journal","abstract":"Rice production is the major source of food security in Cambodia where 85% of the total arable land is cultivated to rice with traditional transplanted medium and later maturity varieties accounting for \\textgreater70% of the plantings during the monsoon period. Climate change poses risks and opportunities to the sustained productivity of rice based farming systems in Cambodia. The objective of this study is to evaluate adaptation strategies that support the replacement of traditional low input systems with a 'response' farming approach for better temporal utilisation of available labour, land and water resources. Options include replacing a traditional transplanted crop with short duration varieties, more efficient crop establishment methods and better agronomic and fertiliser management that responds to timing, intensity and longevity of the monsoon and has potential to mitigate effects of current and future climate variability. To achieve this, we apply the APSIM farming systems model to evaluate how adaptation options for smallholder farmers can increase or maintain overall productivity within present day climate variability and future climates, using downscaled GCM baseline and 2030 climate scenarios. To extend beyond the 2030 climate change scenarios, we also assess production risk from an increase in ambient air temperature of 1.4-4.3 degrees C, atmospheric CO2 concentration of 545-885 ppm and variation in rainfall, for rainfed and irrigated systems to 2090. Modelled scenarios indicate a yield response to elevated CO2 of 17.5% at a concentration of 680 ppm for current temperature and rainfall and are consistent with established physiological effects of CO2 on crop yields. In response to temperature, yields decreased by 4% per degree increase from an average annual baseline temperature of 28 degrees C. Adaptation strategies involving deployment of short duration rice varieties, in conjunction with direct seeding and better N management, indicate comparable and improved production can be achieved to 2030 under likely future climate projections. However, beyond 2030, the distribution and timing of rainfall has a significant influence on rainfed lowland rice in Cambodia. In this case a more transformational approach involving widespread provision of irrigation water will be required to offset climate change impacts. (C) 2016 Elsevier B.V. All rights reserved.","container-title":"Field Crops Research","DOI":"10.1016/j.fcr.2016.09.008","ISSN":"0378-4290","page":"160–170","title":"Resilience of Cambodian lowland rice farming systems to future climate uncertainty UR -://WOS:000386409300017","title-short":"Resilience of Cambodian lowland rice farming systems to future climate uncertainty","volume":"198","author":[{"family":"Poulton","given":"P. L."},{"family":"Dalgliesh","given":"N. P."},{"family":"Vang","given":"S."},{"family":"Roth","given":"C. H."}],"issued":{"date-parts":[["2016",11]]},"citation-key":"poulton_etal_2016"}},{"id":938,"uris":["http://zotero.org/users/7734624/items/6NDCKPE2"],"itemData":{"id":938,"type":"article-journal","abstract":"Smallholder crop–livestock farming systems have an important role to play for food security in Sub-Saharan Africa, but they have to cope with the effects of climate variability and change. In this study, we test the impacts of different interventions in two contrasting mixed farms in Northern Burkina Faso against the background of plausible current and future climate scenarios. For this purpose, we developed a dynamic farm-household modeling framework around existing tools: crop and animal production models APSIM and LivSim, the household model IAT and the climate generator Marksim. The two farms (a small and a larger) were selected and parameterized based on information collected in a household survey. Tested interventions included different crop fertilization and animal supplementation levels, mulching with crop residues and an alternative livestock feeding strategy. Baseline (2013) and a 2050 projection based on IPCC RCP 8.5 describe two climate scenarios (90years) for comparison. The maximum level of inputs increases farm energy production by +90% and +76% compared to the baseline for the small and the larger farm, respectively. Input levels maximizing net incomes are moderate, though higher than those currently used in both farms. The inter-annual distributions of net income show that the use of external inputs increases both upside and downside risks, i.e. the probability of getting both very high and very low results. This is because the interventions are more effective at increasing the highest yields in good years than at preventing the low production levels of some years. The 2050 climate scenario has a negative impact on energy production and potential income, especially for the scenarios with high input levels. Downside risks could partly explain why farmers do not currently use optimal input levels, and the results suggest that these constraints could intensify with climate change.","container-title":"Agricultural Systems","DOI":"10.1016/j.agsy.2015.12.017","ISSN":"0308-521X","journalAbbreviation":"Agricultural Systems","language":"en","page":"217-224","source":"ScienceDirect","title":"Interactions between intervention packages, climatic risk, climate change and food security in mixed crop–livestock systems in Burkina Faso","volume":"151","author":[{"family":"Rigolot","given":"C."},{"family":"Voil","given":"P.","non-dropping-particle":"de"},{"family":"Douxchamps","given":"S."},{"family":"Prestwidge","given":"D."},{"family":"Van Wijk","given":"M."},{"family":"Thornton","given":"P. K."},{"family":"Rodriguez","given":"D."},{"family":"Henderson","given":"B."},{"family":"Medina","given":"D."},{"family":"Herrero","given":"M."}],"issued":{"date-parts":[["2017",2,1]]},"citation-key":"rigolot_etal_2017"}},{"id":1058,"uris":["http://zotero.org/users/7734624/items/6SWCRLFE"],"itemData":{"id":1058,"type":"article-journal","abstract":"Large uncertainties about the impacts of climate change and adaptation options on the livestock component of heterogeneous African farming systems hamper tailored decision making towards climate-smart agriculture. This study addressed this knowledge gap through the development and use of a dynamic modelling framework integrating climate, crop, pasture and livestock models. The framework was applied to a population of 91 farms located in semi-arid Zimbabwe to assess effects on livestock production resulting from climate change and management interventions. Climate scenarios representing relative “cool-wet”, “hot-dry” and “middle” conditions by mid-century (2040–2070) for two representative concentration pathways were compared with the baseline climate. On-farm fodder resources and rangeland grass production were simulated with the crop model APSIM and the pasture model GRASP respectively. The simulated fodder availability was used in the livestock model LIVSIM to generate various production indicators including milk, offtake, mortality, manure, and net revenue. We investigated the effects of two adaptation packages targeting soil fertility management and crop diversification and quantified the sensitivity to climate change of both current and improved systems. Livestock productivity was constrained by dry-season feed gaps, which were particularly severe for crude protein and caused by the reliance on rangeland grazing and crop residues, both of low quality in the dry season. Effects on grass and stover production depended on the climate scenario and the crop, but year-to-year variation generally increased. Relative changes in livestock net revenue compared to the baseline climate varied from a 6% increase to a 43% decrease, and the proportion of farmers negatively affected varied from 20% to 100%, depending on the climate scenario. Adverse effects of climate change on average livestock production usually coincided with increased year-to-year variability and risk. Farms with larger stocking density faced more severe feed gaps and were more sensitive to climate change than less densely stocked farms. The first adaptation package resulted in increased stover production and a small increase in livestock productivity. The inclusion of grain and forage legumes with the second package increased milk productivity and net revenues more profoundly by 30%. This was attributed to the alleviation of dry-season feed gaps, which also reduced the sensitivity to climate change compared to the current system. Clearly, individual farms were affected differently by climate change and by improved farm management, illustrating that disaggregated impact assessments are needed to effectively inform decision making towards climate change adaptation.","container-title":"Agricultural Systems","DOI":"10.1016/j.agsy.2017.05.004","ISSN":"0308-521X","journalAbbreviation":"Agricultural Systems","language":"en","page":"282-295","source":"ScienceDirect","title":"Effects of climate change and adaptation on the livestock component of mixed farming systems: A modelling study from semi-arid Zimbabwe","title-short":"Effects of climate change and adaptation on the livestock component of mixed farming systems","volume":"159","author":[{"family":"Descheemaeker","given":"Katrien"},{"family":"Zijlstra","given":"Mink"},{"family":"Masikati","given":"Patricia"},{"family":"Crespo","given":"Olivier"},{"family":"Homann-Kee Tui","given":"Sabine"}],"issued":{"date-parts":[["2018",1,1]]},"citation-key":"descheemaeker_etal_2018"}},{"id":944,"uris":["http://zotero.org/users/7734624/items/FCGIV7HY"],"itemData":{"id":944,"type":"article-journal","abstract":"Climate change and salinisation present substantial challenges to the sustainability of cropping systems in south-west coastal Bangladesh. This is the third paper in a series reporting a study to assess the impacts of climate change and salinity on the productivity and economic viability of ten current and potential rice-based cropping systems in two coastal villages in Khulna District. In this paper, possible adaptations are assessed, including novel dry-season crops, changed fertilizer use, and changed sowing dates, across five climate and three salinity scenarios. Farmers' estimated, APSIM-simulated, and extrapolated yield distributions were incorporated in budgets for the ten cropping systems, using current and projected salinity levels. Current and projected future prices and costs were used to estimate different measures of profitability. Estimated variability in yields and prices was used to generate probability distributions for these profitability measures, permitting comparison of cropping systems based on profitability and risk. Adaptation through changed fertilizer use (higher or lower, depending on the crop) was projected to give higher returns for some cropping systems. However, larger improvements were obtainable with changes in sowing dates to avoid the worst stresses imposed by climate change and salinity. The loss of production of all crops except watermelon and pumpkin due to salinity was more than offset with changed sowing dates for 2030 and 2060 conditions, irrespective of season. With such adaptations, and allowing for risk, the rice/shrimp system maintained the top ranking in terms of net income per hectare in 2030 and 2060 and the rice/sunflower system maintained the second ranking. The rice/pumpkin/rice system ranked third for 2030 and fourth in 2060 while the rice/maize system moved up to third in 2060.","container-title":"Agricultural Systems","DOI":"10.1016/j.agsy.2017.12.006","ISSN":"0308-521X","journalAbbreviation":"Agricultural Systems","language":"en","page":"28-41","source":"ScienceDirect","title":"Bio-economic evaluation of cropping systems for saline coastal Bangladesh: III Benefits of adaptation in current and future environments","title-short":"Bio-economic evaluation of cropping systems for saline coastal Bangladesh","volume":"161","author":[{"family":"Kabir","given":"Md. Jahangir"},{"family":"Cramb","given":"Rob"},{"family":"Gaydon","given":"Donald S."},{"family":"Roth","given":"Christian H."}],"issued":{"date-parts":[["2018",3,1]]},"citation-key":"kabir_etal_2018"}},{"id":668,"uris":["http://zotero.org/users/7734624/items/Y2N9K86K"],"itemData":{"id":668,"type":"article-journal","abstract":"Tanzania is the second-largest producer of rice (Oryza sativa) in Eastern, Central, and Southern Africa after Madagascar. Unfortunately, the sector has been performing poorly due to many constraints, including poor agricultural practices and climate variability. In addressing the challenge, the government is making substantial investments to speed the agriculture transformation into a more modernized, commercial, and highly productive and profitable sector. Our objective was to apply a Monte Carlo simulation approach to assess the economic feasibility of alternative rice farming systems operating in Tanzania while considering risk analysis for decision-makers with different risk preferences to make better management decisions. The rice farming systems in this study comprise rice farms using traditional practices and those using some or all of the recommended system of rice intensification (SRI) practices. The overall results show 2% and zero probability of net cash income (NCI) being negative for partial and full SRI adopters, respectively. Meanwhile, farmers using local and improved seeds have 66% and 60% probability of NCI being negative, correspondingly. Rice farms which applied fertilizers in addition to improved seeds have a 21% probability of negative returns. Additionally, net income for rice farms using local seeds was slightly worthwhile when the transaction made during the harvesting period compared to farms applied improved varieties due to a relatively high price for local seeds. These results help to inform policymakers and agencies promoting food security and eradication of poverty on the benefits of encouraging improved rice farming practices in the country. Despite climate variability, in Tanzania, it is still possible for rice farmers to increase food production and income through the application of improved technologies, particularly SRI management practices, which have shown a promising future.","container-title":"Sustainability","DOI":"10.3390/su12166528","ISSN":"2071-1050","issue":"16","language":"en","license":"http://creativecommons.org/licenses/by/3.0/","note":"number: 16\npublisher: Multidisciplinary Digital Publishing Institute","page":"6528","source":"www.mdpi.com","title":"An Economic Comparison between Alternative Rice Farming Systems in Tanzania Using a Monte Carlo Simulation Approach","volume":"12","author":[{"family":"Kadigi","given":"Ibrahim L."},{"family":"Mutabazi","given":"Khamaldin D."},{"family":"Philip","given":"Damas"},{"family":"Richardson","given":"James W."},{"family":"Bizimana","given":"Jean-Claude"},{"family":"Mbungu","given":"Winfred"},{"family":"Mahoo","given":"Henry F."},{"family":"Sieber","given":"Stefan"}],"issued":{"date-parts":[["2020",1]]},"citation-key":"kadigi_etal_2020"}},{"id":697,"uris":["http://zotero.org/users/7734624/items/IM6WSCSJ"],"itemData":{"id":697,"type":"article-journal","abstract":"Conservation Agriculture (CA) is promoted by research and development (R&amp;D) agencies to sustainably intensify agricultural systems with the goals of improving food security and livelihoods and adapting food systems to global climate change. Despite the many benefits of CA, there are few farmers around the world that have simultaneously implemented all facets of the strategy. In part, this reflects the challenges in applying, adapting, and understanding this complex and multi-dimensional agricultural innovation in the context of diverse farming systems. In this paper, we applied an integrated framework that combines bioeconomic simulation, risk analysis, adoption theory, and impact assessment to investigate how various combinations of CA components (no-tillage, soil cover, crop diversification, plus growing a new crop or variety) performed over a 10-year period in representative farms in a central Mexican case study. We found significant differences in profit, net value, downside risk, and risk-aversion cost between double-component scenarios (and improved CA to a lesser extent) and all other scenarios, which suggested that disaggregating CA into smaller component packages could increase farmer adoption in risky contexts. Our findings provided valuable insights on CA feasibility and could help establish policy and reporting metrics. The study highlighted the need for employing a range of research tools to understand the relative value of agricultural innovations and to identify and reduce trade-offs and uncertainty in farming systems. © 2021 by the authors. Licensee MDPI, Basel, Switzerland.","container-title":"Agronomy","DOI":"10.3390/agronomy11061214","ISSN":"20734395","issue":"6","language":"English","note":"publisher: MDPI AG","title":"Disaggregating the value of conservation agriculture to inform smallholder transition to sustainable farming: A mexican case study","URL":"https://www.scopus.com/inward/record.uri?eid=2-s2.0-85108835109&amp;doi=10.3390%2fagronomy11061214&amp;partnerID=40&amp;md5=05911882b0621e212e1959d79f5cb1f7","volume":"11","author":[{"family":"Monjardino","given":"M."},{"family":"Ridaura","given":"S.L."},{"family":"Van Loon","given":"J."},{"family":"Mottaleb","given":"K."},{"family":"Kruseman","given":"G."},{"family":"Zepeda","given":"A."},{"family":"Hernández","given":"E.O."},{"family":"Burgueño","given":"J."},{"family":"Singh","given":"R.G."},{"family":"Govaerts","given":"B."},{"family":"Erenstein","given":"O."}],"issued":{"date-parts":[["2021"]]},"citation-key":"monjardino_etal_2021"}},{"id":1057,"uris":["http://zotero.org/users/7734624/items/GBHGFLYH"],"itemData":{"id":1057,"type":"article-journal","abstract":"Decision makers need accurate information to address climate variability and change and accelerate transformation to sustainability. A stakeholder-driven, science-based multi-model approach has been developed and used by the Agricultural Model Intercomparison and Improvement Project (AgMIP) to generate actionable information for adaptation planning processes. For a range of mid-century climate projections—likely to be hotter, drier, and more variable—contrasting future socio-economic scenarios (Representative Agricultural Pathways, RAPs) were co-developed with stakeholders to portray a sustainable development scenario and a rapid economic growth pathway. The unique characteristic of this application is the integration of a multi-modeling approach with stakeholder engagement to co-develop scenarios and adaptation strategies. Distribution of outcomes were simulated with climate, crop, livestock, and economic impact assessment models for smallholder crop livestock farmers in a typical dryland agro-ecological zone in Zimbabwe, characterized by low and erratic rainfall and nutrient depleted soils. Results showed that in Nkayi District, Western Zimbabwe, climate change would threaten most of the farms, and, in particular, those with large cattle herds due to feed shortages. Adaptation strategies that showed the most promise included diversification using legume production, soil fertility improvement, and investment in conducive market environments. The switch to more legumes in the farming systems reduced the vulnerability of the very poor as well as the more resourced farmers. Overall, the sustainable development scenario consistently addressed institutional failures and motivated productivity-enhancing, environmentally sound technologies and inclusive development approaches. This yielded more favorable outcomes than investment in quick economic wins from commercializing agriculture.","container-title":"Climatic Change","DOI":"10.1007/s10584-021-03151-8","ISSN":"1573-1480","issue":"1","journalAbbreviation":"Climatic Change","language":"en","page":"10","source":"Springer Link","title":"Climate change impacts and adaptation for dryland farming systems in Zimbabwe: a stakeholder-driven integrated multi-model assessment","title-short":"Climate change impacts and adaptation for dryland farming systems in Zimbabwe","volume":"168","author":[{"family":"Homann-Kee Tui","given":"Sabine"},{"family":"Descheemaeker","given":"Katrien"},{"family":"Valdivia","given":"Roberto O."},{"family":"Masikati","given":"Patricia"},{"family":"Sisito","given":"Gevious"},{"family":"Moyo","given":"Elisha N."},{"family":"Crespo","given":"Olivier"},{"family":"Ruane","given":"Alex C."},{"family":"Rosenzweig","given":"Cynthia"}],"issued":{"date-parts":[["2021",9,25]]},"citation-key":"homann-keetui_etal_2021"}},{"id":3361,"uris":["http://zotero.org/users/7734624/items/RH6ZIHNH"],"itemData":{"id":3361,"type":"article-journal","abstract":"In this article, we use spatially granular climate data merged with four waves of household survey data in Uganda to examine empirically the relationships among high temperatures, total value of crop production, and the adoption and adoption duration of two sustainable agricultural practices (organic fertilizer adoption and maize–legume intercropping). We do this using a fixed‐effect model with instrumental variables to address potential endogeneity issues. Our findings indicate that the adoption of these practices has a positive effect on the total value of crop production, and such effect increases monotonically as temperatures increase from long‐term averages. Moreover, the number of years a farmer uses the practice is associated with higher total value of crop production, and this relationship holds across the full distribution of high temperature deviations. Taken together, the results suggest that promoting the adoption, and particularly the sustained adoption, of these practices can help to address the risks posed by rising temperatures to Ugandan agriculture and the livelihoods of farmers who depend on it.","container-title":"American Journal of Agricultural Economics","DOI":"10.1111/ajae.12229","ISSN":"0002-9092, 1467-8276","issue":"1","journalAbbreviation":"American J Agri Economics","language":"en","page":"385-403","source":"DOI.org (Crossref)","title":"Adapting to High Temperatures: Effect of Farm Practices and Their Adoption Duration on Total Value of Crop Production in Uganda","title-short":"Adapting to High Temperatures","volume":"104","author":[{"family":"Maggio","given":"Giuseppe"},{"family":"Mastrorillo","given":"Marina"},{"family":"Sitko","given":"Nicholas J."}],"issued":{"date-parts":[["2022",1]]},"citation-key":"maggio_etal_2022"}},{"id":811,"uris":["http://zotero.org/users/7734624/items/QTWS7QU2"],"itemData":{"id":811,"type":"article-journal","abstract":"CONTEXT\nNew types of farming systems have emerged in response to societal demands to reduce environmental impacts and dependence on non-renewable resources. These agriculture models can be classified according to their relative use of anthropic inputs or biodiversity and associated ecosystem services as agricultural production factors. All these models are exposed to climate change, price volatility and other disturbances. However, little is known about their resilience levels and the factors that drive them.\nOBJECTIVE\nWe assessed the resilience of 30 highly contrasted cropping agroecosystems in north-eastern France which covered a broad gradient from simplified and intensified to complex and biodiversity-based agroecosystems.\nMETHODS\nWe applied a quantitative analysis of the dynamics of three key performances over eight years: yield, gross margin and workload. An original combined set of adapted criteria − level, variability, trend and resistance − was used to assess their dynamics, i.e. their resilience. We use partial least squares regression, multiple regression trees and Pareto ranking to identify relationships among the characteristics and resilience performance of these systems.\nRESULTS AND CONCLUSIONS\nThe results showed that biodiversity-based agroecosystems, which provide a high level of ecosystem services to farmers or an increase in natural capital, tended to have stable performances. These systems also had a lower workload than intensified systems. Conversely, input-based systems, especially irrigated and tillage-intensive systems, had higher yields and gross margins, were resistant to major disturbances but were less stable.\nSIGNIFICANCE\nWhile our results show benefits of relying on biodiversity to stabilise system performances, we highlight a potential trade-off between performance level and stability, as well as possible solutions to overcome it. We also discuss the short-term strategy of anthropic input-based systems, which perform well, but consume large amounts of human and natural resources. We show potential advantages of systems that balance both ecosystem services and anthropic inputs to provide a strategy to fill the yield gap and attain resilience.","container-title":"Agricultural Systems","DOI":"10.1016/j.agsy.2022.103365","ISSN":"0308-521X","journalAbbreviation":"Agricultural Systems","language":"en","page":"103365","source":"ScienceDirect","title":"Resilience of agricultural systems: biodiversity-based systems are stable, while intensified ones are resistant and high-yielding","title-short":"Resilience of agricultural systems","volume":"197","author":[{"family":"Dardonville","given":"Manon"},{"family":"Bockstaller","given":"Christian"},{"family":"Villerd","given":"Jean"},{"family":"Therond","given":"Olivier"}],"issued":{"date-parts":[["2022",3,1]]},"citation-key":"dardonville_etal_2022"}},{"id":3612,"uris":["http://zotero.org/users/7734624/items/RX5DCEGB"],"itemData":{"id":3612,"type":"article-journal","abstract":"The complexities of smallholder farming systems pose a challenge in demonstrating the potential benefits or risks of new technologies and policies. Using Integrated Analysis Tool, a rule-based dynamic simulation model, this study tried to improve the performance of major farming systems in the Tamil Nadu State of India. Amongst the four major farming systems viz. Black gram-based (BFS), Paddy-based (PFS), and Integrated Farming Systems (IFS) in Villupuram district and Dryland Farming System (DFS) in Virudhunagar district, IFS was found to be the most profitable and resilient based on their performance simulated for a 3-year rotation. Setting IFS as a benchmark, potential interventions were evaluated under other farming systems to improve their relative performance. The analysis allowed understanding the interactions in smallholder farming systems and the potential impact of interventions in a whole farm way considering the cash flows, cost intensity, and input-output trade-offs. While multi-bloom technology in black gram increased the net profit of BFS without much stress on input and labour, area expansion under rainfed groundnut incurred high expenditure. Trading-off paddy with maize and groundnut significantly increased the net profit of PFS but replacing sugarcane with tapioca and turmeric was not remunerative. Improved livestock management practices have substantially increased the net profit of DFS wherein crop yield could not be enhanced substantially without the prospects of good irrigation infrastructure. The irrigation endowed PFS has achieved 90% performance, whereas the water-starved BFS and DFS could achieve only 65% performance of IFS. We conclude that agricultural policy must not only focus on potential interventions that are profitable but also consider what is acceptable to the farmer, considering synergies and trade-offs between competing resources at the farm level.","container-title":"Outlook on Agriculture","DOI":"10.1177/00307270221077380","ISSN":"0030-7270","issue":"2","journalAbbreviation":"Outlook Agric","language":"en","note":"publisher: SAGE Publications Ltd","page":"197-212","source":"SAGE Journals","title":"Technology, infrastructure and enterprise trade-off: Strengthening smallholder farming systems in Tamil Nadu State of India for sustainable income and food security","title-short":"Technology, infrastructure and enterprise trade-off","volume":"51","author":[{"family":"Varadan","given":"R Jayakumara"},{"family":"Mamidanna","given":"Sravya"},{"family":"Kumar","given":"Shalander"},{"family":"Ahmed","given":"SK Zamir"},{"family":"Jaisankar","given":"I"}],"issued":{"date-parts":[["2022",6,1]]},"citation-key":"varadan_etal_2022"}},{"id":3344,"uris":["http://zotero.org/users/7734624/items/D6BC9V6M"],"itemData":{"id":3344,"type":"article-journal","abstract":"Indigenous knowledge can function as a basis of innovation in agriculture because it is not only culturally accepted, but often also environmentally adaptive. The debates and misunderstandings regarding the relations between Indigenous and scientific knowledge are transforming into a trend to integrate all knowledge to deal with complex issues, such as climate change. In this study we explore the understandings of the Tharu people of their farming system in relation to adaptation and mitigation of climate change, based on mixed methods design using both ethnographic analysis of their specific agriculture practices from participant observation and a survey of 229 households in the western Tarai of Nepal. Among our findings is the fit of the traditional agricultural calendar of the Tharu with the labor regimen of agricultural seasons. We found that conservation tillage-oriented agricultural practices, such as relay cropping, including zero-tillage, remain important in the farming system. Although this practice is decreasing, particularly due to the low yield as compared to the conventional tillage system, relay sowing and zero-tillage in the lowlands and uplands remain important for timely crop sowing. Similarly, mixed cropping is prevalent, particularly among small holders, for subsistence-based farming, in part due to higher yield than sole cropping. We conclude that Indigenous knowledge regarding climate and agriculture practices assists making informed decisions for climate-resilient and low emission agriculture. Although some traditional climate-resilient agriculture practices may yield lower profit than those derived from scientific knowledge/methods, the Tharu have therefore embraced “hybrid knowledge”—a combination of Indigenous and scientific knowledge, technology and practice—to balance increased yield and profit maximization with concurrent decreased vulnerability to extreme weather events. We argue that it is not useful to make firm distinctions among traditional, Indigenous and local knowledge in the age of hybridity. This hybridity is evident in the complementarity of the use of improved varieties and scientific agricultural practices for the major grains and the continuing use of landraces for minor crops such as lentils, peas and mustard. However, further research on the sustainable productivity of such practices is required before their widespread dissemination.","container-title":"Frontiers in Political Science","DOI":"10.3389/fpos.2022.969835","ISSN":"2673-3145","journalAbbreviation":"Front. Polit. Sci.","page":"969835","source":"DOI.org (Crossref)","title":"Hybrid knowledge and climate-resilient agriculture practices of the Tharu in the western Tarai, Nepal","volume":"4","author":[{"family":"Chaudhary","given":"Buddhi R."},{"family":"Erskine","given":"William"},{"family":"Acciaioli","given":"Greg"}],"issued":{"date-parts":[["2022",12,15]]},"citation-key":"chaudhary_etal_2022"}},{"id":3346,"uris":["http://zotero.org/users/7734624/items/89PSQCE6"],"itemData":{"id":3346,"type":"article-journal","container-title":"Agricultural Systems","DOI":"10.1016/j.agsy.2022.103537","ISSN":"0308521X","journalAbbreviation":"Agricultural Systems","language":"en","page":"103537","source":"DOI.org (Crossref)","title":"Adaptive capacity of farming systems to climate change in Iran: Application of composite index approach","title-short":"Adaptive capacity of farming systems to climate change in Iran","volume":"204","author":[{"family":"Abdollahzadeh","given":"Gholamhossein"},{"family":"Sharifzadeh","given":"Mohammad Sharif"},{"family":"Sklenička","given":"Petr"},{"family":"Azadi","given":"Hossein"}],"issued":{"date-parts":[["2023",1]]},"citation-key":"abdollahzadeh_etal_2023"}},{"id":3256,"uris":["http://zotero.org/users/7734624/items/R2G3F2GY"],"itemData":{"id":3256,"type":"article-journal","container-title":"Agronomy for Sustainable Development","DOI":"10.1007/s13593-023-00883-y","ISSN":"1774-0746, 1773-0155","issue":"2","journalAbbreviation":"Agron. Sustain. Dev.","language":"en","page":"33","source":"DOI.org (Crossref)","title":"Strategies for future robust meat production and climate change mitigation under imported input constraints in Alentejo, Portugal","volume":"43","author":[{"family":"Pinsard","given":"Corentin"},{"family":"Morais","given":"Tiago G."},{"family":"Domingos","given":"Tiago"},{"family":"Accatino","given":"Francesco"},{"family":"Teixeira","given":"Ricardo F. M."}],"issued":{"date-parts":[["2023",4]]},"citation-key":"pinsard_etal_2023"}},{"id":3310,"uris":["http://zotero.org/users/7734624/items/UKZILLQ9"],"itemData":{"id":3310,"type":"article-journal","container-title":"Mitigation and Adaptation Strategies for Global Change","DOI":"10.1007/s11027-023-10097-y","ISSN":"1381-2386, 1573-1596","issue":"1","journalAbbreviation":"Mitig Adapt Strateg Glob Change","language":"en","page":"7","source":"DOI.org (Crossref)","title":"Differentiated socio-ecological system approach for vulnerability and adaptation assessment in the Central Himalaya","volume":"29","author":[{"family":"Kumar","given":"Praveen"},{"family":"Fürst","given":"Christine"},{"family":"Joshi","given":"P. K."}],"issued":{"date-parts":[["2024",1]]},"citation-key":"kumar_etal_2024"}}],"schema":"https://github.com/citation-style-language/schema/raw/master/csl-citation.json"}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E75E02" w:rsidRPr="00E75E02">
              <w:rPr>
                <w:rFonts w:ascii="Times New Roman" w:hAnsi="Times New Roman" w:cs="Times New Roman"/>
                <w:lang w:val="fr-FR"/>
              </w:rPr>
              <w:t xml:space="preserve">(Keil et al. 2009; Bobojonov and Aw-Hassan 2014; Mwinuka et al. 2016; Ghahramani and Moore 2016; Poulton et al. 2016; Rigolot et al. 2017; Descheemaeker et al. 2018; Kabir et al. 2018; Kadigi et al. 2020; </w:t>
            </w:r>
            <w:r w:rsidR="00E75E02" w:rsidRPr="00E75E02">
              <w:rPr>
                <w:rFonts w:ascii="Times New Roman" w:hAnsi="Times New Roman" w:cs="Times New Roman"/>
                <w:lang w:val="fr-FR"/>
              </w:rPr>
              <w:lastRenderedPageBreak/>
              <w:t>Monjardino et al. 2021; Homann-Kee Tui et al. 2021; Maggio et al. 2022; Dardonville et al. 2022; Varadan et al. 2022; Chaudhary et al. 2022; Abdollahzadeh et al. 2023; Pinsard et al. 2023; Kumar et al. 2024)</w:t>
            </w:r>
            <w:r w:rsidRPr="00FF4B56">
              <w:rPr>
                <w:rFonts w:ascii="Times New Roman" w:eastAsia="Times New Roman" w:hAnsi="Times New Roman" w:cs="Times New Roman"/>
                <w:color w:val="000000"/>
                <w:lang w:eastAsia="en-GB"/>
              </w:rPr>
              <w:fldChar w:fldCharType="end"/>
            </w:r>
          </w:p>
        </w:tc>
      </w:tr>
      <w:tr w:rsidR="00482CE2" w:rsidRPr="00AF6801" w14:paraId="5D68BE8A" w14:textId="58A93E0A" w:rsidTr="00406364">
        <w:trPr>
          <w:trHeight w:val="288"/>
        </w:trPr>
        <w:tc>
          <w:tcPr>
            <w:tcW w:w="0" w:type="auto"/>
            <w:tcBorders>
              <w:top w:val="nil"/>
              <w:left w:val="nil"/>
              <w:bottom w:val="nil"/>
              <w:right w:val="nil"/>
            </w:tcBorders>
            <w:shd w:val="clear" w:color="000000" w:fill="FFFFFF"/>
          </w:tcPr>
          <w:p w14:paraId="67932D40" w14:textId="77777777" w:rsidR="00482CE2" w:rsidRPr="00E75E02" w:rsidRDefault="00482CE2" w:rsidP="00406364">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hideMark/>
          </w:tcPr>
          <w:p w14:paraId="6036A3B4" w14:textId="0967A0DE" w:rsidR="00482CE2" w:rsidRPr="00E75E02" w:rsidRDefault="00482CE2" w:rsidP="00406364">
            <w:pPr>
              <w:spacing w:after="0" w:line="360" w:lineRule="auto"/>
              <w:rPr>
                <w:rFonts w:ascii="Times New Roman" w:eastAsia="Times New Roman" w:hAnsi="Times New Roman" w:cs="Times New Roman"/>
                <w:color w:val="000000"/>
                <w:lang w:val="fr-FR" w:eastAsia="en-GB"/>
              </w:rPr>
            </w:pPr>
            <w:r w:rsidRPr="00E75E02">
              <w:rPr>
                <w:rFonts w:ascii="Times New Roman" w:eastAsia="Times New Roman" w:hAnsi="Times New Roman" w:cs="Times New Roman"/>
                <w:color w:val="000000"/>
                <w:lang w:val="fr-FR" w:eastAsia="en-GB"/>
              </w:rPr>
              <w:t> </w:t>
            </w:r>
          </w:p>
        </w:tc>
        <w:tc>
          <w:tcPr>
            <w:tcW w:w="5310" w:type="dxa"/>
            <w:tcBorders>
              <w:top w:val="nil"/>
              <w:left w:val="nil"/>
              <w:bottom w:val="nil"/>
              <w:right w:val="nil"/>
            </w:tcBorders>
            <w:shd w:val="clear" w:color="000000" w:fill="FFFFFF"/>
            <w:noWrap/>
            <w:hideMark/>
          </w:tcPr>
          <w:p w14:paraId="2B331DD3" w14:textId="62589312" w:rsidR="00482CE2" w:rsidRPr="00E75E02" w:rsidRDefault="00482CE2" w:rsidP="00406364">
            <w:pPr>
              <w:spacing w:after="0" w:line="360" w:lineRule="auto"/>
              <w:rPr>
                <w:rFonts w:ascii="Times New Roman" w:eastAsia="Times New Roman" w:hAnsi="Times New Roman" w:cs="Times New Roman"/>
                <w:color w:val="000000"/>
                <w:lang w:val="fr-FR" w:eastAsia="en-GB"/>
              </w:rPr>
            </w:pPr>
            <w:r w:rsidRPr="00E75E02">
              <w:rPr>
                <w:rFonts w:ascii="Times New Roman" w:eastAsia="Times New Roman" w:hAnsi="Times New Roman" w:cs="Times New Roman"/>
                <w:color w:val="000000"/>
                <w:lang w:val="fr-FR" w:eastAsia="en-GB"/>
              </w:rPr>
              <w:t xml:space="preserve">Access to </w:t>
            </w:r>
            <w:proofErr w:type="spellStart"/>
            <w:r w:rsidRPr="00E75E02">
              <w:rPr>
                <w:rFonts w:ascii="Times New Roman" w:eastAsia="Times New Roman" w:hAnsi="Times New Roman" w:cs="Times New Roman"/>
                <w:color w:val="000000"/>
                <w:lang w:val="fr-FR" w:eastAsia="en-GB"/>
              </w:rPr>
              <w:t>improved</w:t>
            </w:r>
            <w:proofErr w:type="spellEnd"/>
            <w:r w:rsidRPr="00E75E02">
              <w:rPr>
                <w:rFonts w:ascii="Times New Roman" w:eastAsia="Times New Roman" w:hAnsi="Times New Roman" w:cs="Times New Roman"/>
                <w:color w:val="000000"/>
                <w:lang w:val="fr-FR" w:eastAsia="en-GB"/>
              </w:rPr>
              <w:t xml:space="preserve"> </w:t>
            </w:r>
            <w:proofErr w:type="spellStart"/>
            <w:r w:rsidRPr="00E75E02">
              <w:rPr>
                <w:rFonts w:ascii="Times New Roman" w:eastAsia="Times New Roman" w:hAnsi="Times New Roman" w:cs="Times New Roman"/>
                <w:color w:val="000000"/>
                <w:lang w:val="fr-FR" w:eastAsia="en-GB"/>
              </w:rPr>
              <w:t>varieties</w:t>
            </w:r>
            <w:proofErr w:type="spellEnd"/>
          </w:p>
        </w:tc>
        <w:tc>
          <w:tcPr>
            <w:tcW w:w="1350" w:type="dxa"/>
            <w:tcBorders>
              <w:top w:val="nil"/>
              <w:left w:val="nil"/>
              <w:bottom w:val="nil"/>
              <w:right w:val="nil"/>
            </w:tcBorders>
            <w:shd w:val="clear" w:color="000000" w:fill="FFFFFF"/>
            <w:noWrap/>
            <w:hideMark/>
          </w:tcPr>
          <w:p w14:paraId="630BF953" w14:textId="1D5C32CA" w:rsidR="00482CE2" w:rsidRPr="00E75E02" w:rsidRDefault="00482CE2" w:rsidP="00406364">
            <w:pPr>
              <w:spacing w:after="0" w:line="360" w:lineRule="auto"/>
              <w:rPr>
                <w:rFonts w:ascii="Times New Roman" w:eastAsia="Times New Roman" w:hAnsi="Times New Roman" w:cs="Times New Roman"/>
                <w:color w:val="000000"/>
                <w:lang w:val="fr-FR" w:eastAsia="en-GB"/>
              </w:rPr>
            </w:pPr>
            <w:r w:rsidRPr="00E75E02">
              <w:rPr>
                <w:rFonts w:ascii="Times New Roman" w:eastAsia="Times New Roman" w:hAnsi="Times New Roman" w:cs="Times New Roman"/>
                <w:color w:val="000000"/>
                <w:lang w:val="fr-FR" w:eastAsia="en-GB"/>
              </w:rPr>
              <w:t>1</w:t>
            </w:r>
            <w:r w:rsidR="00EF7700" w:rsidRPr="00E75E02">
              <w:rPr>
                <w:rFonts w:ascii="Times New Roman" w:eastAsia="Times New Roman" w:hAnsi="Times New Roman" w:cs="Times New Roman"/>
                <w:color w:val="000000"/>
                <w:lang w:val="fr-FR" w:eastAsia="en-GB"/>
              </w:rPr>
              <w:t>6</w:t>
            </w:r>
          </w:p>
        </w:tc>
        <w:tc>
          <w:tcPr>
            <w:tcW w:w="5274" w:type="dxa"/>
            <w:tcBorders>
              <w:left w:val="nil"/>
              <w:right w:val="nil"/>
            </w:tcBorders>
            <w:shd w:val="clear" w:color="000000" w:fill="FFFFFF"/>
          </w:tcPr>
          <w:p w14:paraId="6FBDF8A5" w14:textId="0C33DDDF" w:rsidR="00482CE2" w:rsidRPr="00FF4B56" w:rsidRDefault="00F649BC" w:rsidP="00406364">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E75E02">
              <w:rPr>
                <w:rFonts w:ascii="Times New Roman" w:eastAsia="Times New Roman" w:hAnsi="Times New Roman" w:cs="Times New Roman"/>
                <w:color w:val="000000"/>
                <w:lang w:val="fr-FR" w:eastAsia="en-GB"/>
              </w:rPr>
              <w:instrText xml:space="preserve"> ADDIN ZOTERO_ITEM CSL_CITATION {"citationID":"BkVcEndc","properties":{"formattedCitation":"(Keil et al. 2009; Mutabazi et al. 2015; Dalgliesh et al. 2016; Poulton et al. 2016; Ghahramani and Bowran 2018; Omerkhil et al. 2020; Kadigi et al. 2020; Jamil et al. 2021; Monjardino et al. 2021; Homann-Kee Tui et al. 2021; Asmare et al. 2022; Mugandani et al. 2022; Chaudhary et al. 2022; Abdollahzadeh et al. 2023; Amarnath et al. 2023; Kumar et al. 2024)","plainCitation":"(Keil et al. 2009; Mutabazi et al. 2015; Dalgliesh et al. 2016; Poulton et al. 2016; Ghahramani and Bowran 2018; Omerkhil et al. 2020; Kadigi et al. 2020; Jamil et al. 2021; Monjardino et al. 2021; Homann-Kee Tui et al. 2021; Asmare et al. 2022; Mugandani et al. 2022; Chaudhary et al. 2022; Abdollahzadeh et al. 2023; Amarnath et al. 2023; Kumar et al. 2024)","noteIndex":0},"citationItems":[{"id":930,"uris":["http://zotero.org/users/7734624/items/KBCYEHLF"],"itemData":{"id":930,"type":"article-journal","abstract":"Crop production in Southeast Asia is subject to considerable climate variability caused by the El Nino-Southern Oscillation phenomenon. El Nino causes comparatively dry conditions leading to substantial declines in crop yields, with severe consequences for the welfare of local farm households. Using an interdisciplinary modelling approach that combines regression analysis with linear programming (LP) and stochastic simulation, and integrates climatic and hydrologic modelling results, the objective of the present study is to assess the impact of El Nino on agricultural incomes of smallholder farmers in Central Sulawesi, Indonesia, and to derive suitable crop management strategies to mitigate income reductions. We identify 5 farm classes by cluster analysis. Our LP model maximises their cash balance at the end of the time period most severely affected by El Nino. Main activities are the cultivation of rice, maize and cocoa. Accounting for water supply, external Cobb-Douglas production functions generate output according to level of production intensity and predicted weather patterns. Stochastic Simulation accounts for variations in crop yields due to factors not captured by the production functions. Iterative model runs produce probability distributions of the model outcomes for each household class, whereby the downside risk of failing to achieve a specified minimum level of income is particularly policy relevant. The results illustrate that drought-related crop management recommendations must be tailored to farm households according to their location, farming system and resource endowment. Furthermore, Our findings demonstrate the importance of policy measures aimed at an ex post alleviation of drought impacts.","container-title":"Climate Research","DOI":"10.3354/cr00778","ISSN":"0936-577X","issue":"2","page":"155–169","title":"Vulnerability of smallholder farmers to ENSO-related drought in Indonesia UR -://WOS:000270149600006","title-short":"Vulnerability of smallholder farmers to ENSO-related drought in Indonesia","volume":"38","author":[{"family":"Keil","given":"A."},{"family":"Teufel","given":"N."},{"family":"Gunawan","given":"D."},{"family":"Leemhuis","given":"C."}],"issued":{"date-parts":[["2009",2]]},"citation-key":"keil_etal_2009"}},{"id":684,"uris":["http://zotero.org/users/7734624/items/IIGIISUT"],"itemData":{"id":684,"type":"article-journal","abstract":"Given the projected climatic changes, building resilient agricultural systems is of vital significance in protecting vulnerable agrarian communities in sub-Saharan Africa. Under this scenario, the article attempts to identify a set of resilience-building adaptive strategies (intensification, diversification, alteration, migration, etc.) among farmers in Morogoro, Tanzania, and crafts a composite index of these strategies using a principal component analysis-based weighting scheme. The analysis also reveals the latent structure and internal correlations of actions intended to build resilience of the farming systems. Subsequently, the linkages of livelihood resources (natural, human, social and financial capitals) to the resilience-building strategies are examined. A multiple regression analysis is employed to link the composite index to variables representing the four capitals. The results bring quantitative evidence to the linkages and highlight the need of enhancing livelihood resources to enhance the ability to undertake adaptive strategies that denotes the ability to withstand stresses and shocks from climatic changes. Actions to improve human capital (awareness campaigns on climate change impacts as well as possible adaptive strategies), social capital (strengthening social networks, improving tenure security), financial capital (increasing credit availability) and natural capital (measures to enhance agricultural potential, support for adaptive action in areas with low agricultural potential) are needed in order to impart resilience to the farming systems against the changing climate. © 2015, Springer-Verlag Berlin Heidelberg.","container-title":"Regional Environmental Change","DOI":"10.1007/s10113-015-0800-7","ISSN":"14363798","issue":"7","language":"English","note":"publisher: Springer Verlag","page":"1259-1268","title":"Influence of livelihood resources on adaptive strategies to enhance climatic resilience of farm households in Morogoro, Tanzania: an indicator-based analysis","volume":"15","author":[{"family":"Mutabazi","given":"K.D."},{"family":"Amjath-Babu","given":"T.S."},{"family":"Sieber","given":"S."}],"issued":{"date-parts":[["2015"]]},"citation-key":"mutabazi_etal_2015"}},{"id":708,"uris":["http://zotero.org/users/7734624/items/J66W782X"],"itemData":{"id":708,"type":"article-journal","abstract":"With high levels of seasonal climatic variability impacting on the consistency of rice production in Cambodian rainfed, lowland systems, there is a need to identify strategies that improve farmer food security and better meet national domestic and export demands. While there is a substantial gap between actual and potential rice yield, little research has been undertaken in Cambodia to improve rainfed rice agronomy or the efficiency of use of natural resources which, in a climate constrained environment can hold the key to better productivity and food security. On-station and on-farm research, in combination with farming systems simulation and social research provide the capacity to evaluate cropping options through the lens of climate variability. The testing of technologies and strategies, including the use of modern, short and medium duration varieties, opportunistic timing of crop establishment, mechanisation, supplementary irrigation and improved agronomic practice has shown that there is potential to mitigate the effects of variable climate on farm productivity and household income. However, this requires an increased level of farmer/systems flexibility to allow for near to real-time changes in cropping response to observed seasonal conditions. These factors differentiate this research and provide the opportunities to improve the individuals' livelihood and in meeting national rice production targets. (C) 2016 Elsevier B.V. All rights reserved.","container-title":"FIELD CROPS RESEARCH","DOI":"10.1016/j.fcr.2016.09.007","ISSN":"0378-4290","language":"English","note":"publisher-place: PO BOX 211, 1000 AE AMSTERDAM, NETHERLANDS\npublisher: ELSEVIER SCIENCE BV\ntype: Article","page":"148-159","title":"Promoting resilience in Cambodian lowland rice ecosystems-Farming system research to support flexible climate response strategies for smallholder farmers","volume":"198","author":[{"family":"Dalgliesh","given":"N. P."},{"family":"Charlesworth","given":"P."},{"family":"Lonh","given":"L."},{"family":"Poulton","given":"P. L."}],"issued":{"date-parts":[["2016",11]]},"citation-key":"dalgliesh_etal_2016"}},{"id":936,"uris":["http://zotero.org/users/7734624/items/X7GXSQWU"],"itemData":{"id":936,"type":"article-journal","abstract":"Rice production is the major source of food security in Cambodia where 85% of the total arable land is cultivated to rice with traditional transplanted medium and later maturity varieties accounting for \\textgreater70% of the plantings during the monsoon period. Climate change poses risks and opportunities to the sustained productivity of rice based farming systems in Cambodia. The objective of this study is to evaluate adaptation strategies that support the replacement of traditional low input systems with a 'response' farming approach for better temporal utilisation of available labour, land and water resources. Options include replacing a traditional transplanted crop with short duration varieties, more efficient crop establishment methods and better agronomic and fertiliser management that responds to timing, intensity and longevity of the monsoon and has potential to mitigate effects of current and future climate variability. To achieve this, we apply the APSIM farming systems model to evaluate how adaptation options for smallholder farmers can increase or maintain overall productivity within present day climate variability and future climates, using downscaled GCM baseline and 2030 climate scenarios. To extend beyond the 2030 climate change scenarios, we also assess production risk from an increase in ambient air temperature of 1.4-4.3 degrees C, atmospheric CO2 concentration of 545-885 ppm and variation in rainfall, for rainfed and irrigated systems to 2090. Modelled scenarios indicate a yield response to elevated CO2 of 17.5% at a concentration of 680 ppm for current temperature and rainfall and are consistent with established physiological effects of CO2 on crop yields. In response to temperature, yields decreased by 4% per degree increase from an average annual baseline temperature of 28 degrees C. Adaptation strategies involving deployment of short duration rice varieties, in conjunction with direct seeding and better N management, indicate comparable and improved production can be achieved to 2030 under likely future climate projections. However, beyond 2030, the distribution and timing of rainfall has a significant influence on rainfed lowland rice in Cambodia. In this case a more transformational approach involving widespread provision of irrigation water will be required to offset climate change impacts. (C) 2016 Elsevier B.V. All rights reserved.","container-title":"Field Crops Research","DOI":"10.1016/j.fcr.2016.09.008","ISSN":"0378-4290","page":"160–170","title":"Resilience of Cambodian lowland rice farming systems to future climate uncertainty UR -://WOS:000386409300017","title-short":"Resilience of Cambodian lowland rice farming systems to future climate uncertainty","volume":"198","author":[{"family":"Poulton","given":"P. L."},{"family":"Dalgliesh","given":"N. P."},{"family":"Vang","given":"S."},{"family":"Roth","given":"C. H."}],"issued":{"date-parts":[["2016",11]]},"citation-key":"poulton_etal_2016"}},{"id":688,"uris":["http://zotero.org/users/7734624/items/U6MX8V6V"],"itemData":{"id":688,"type":"article-journal","abstract":"Mixed crop-livestock farming systems provide food for more than half of the world's population. These agricultural systems are predicted to be vulnerable to climate change and therefore require transformative adaptations. In collaboration with farmers in the wheatbelt of Western Australia (WA), a range of systemic and transformative adaptation options, e.g. land use change, were designed for the modelled climate change projected to occur in 2030 (0.4-1.4 degrees increase in mean temperature). The effectiveness of the adaptation options was evaluated using coupled crop and livestock biophysical models within an economic and environmental framework at both the enterprise and farm scales. The relative changes in economic return and environmental variables in 2030 are presented in comparison with a baseline period (1970-2010). The analysis was performed on representative farm systems across a rainfall transect. Under the impact of projected climate change, the economic returns of the current farms without adaptation declined by between 2 and 47%, with a few exceptions where profit increased by up to 4%. When the adaptations were applied for 2030, profit increased at the high rainfall site in the range between 78 and 81% through a 25% increase in the size of livestock enterprise and adjustment in sowing dates, but such profit increases were associated with 6-10% increase in greenhouse gas (GHG) emissions. At the medium rainfall site, a 100% increase in stocking rate resulted in 5% growth in profit but with a 61-71% increase in GHG emissions and the increased likelihood of soil degradation. At the relatively low rainfall site, a 75% increase in livestock when associated with changes in crop management resulted in greater profitability and a smaller risk of soil erosion. This research identified that a shift toward a greater livestock enterprises (stocking rate and pasture area) could be a profitable and low-risk approach and may have most relevance in years with extremely low rainfall. If transformative adaptations are adopted then there will be an increased requirement for an emissions control policy due to livestock GHG emissions, while there would be also need for soil conservation strategies to be implemented during dry periods. The adoption rate analysis with producers suggests there would be a greater adoption rate for less intensified adaptations even if they are transformative. Overall the current systems would be more resilient with the adaptations, but there may be challenges in terms of environmental sustainability and in particular with soil conservation.","container-title":"Agricultural Systems","DOI":"10.1016/j.agsy.2018.04.011","ISSN":"0308-521X","page":"236–251","title":"Transformative and systemic climate change adaptations in mixed crop livestock farming systems UR -://WOS:000437075800020","title-short":"Transformative and systemic climate change adaptations in mixed crop livestock farming systems","volume":"164","author":[{"family":"Ghahramani","given":"A."},{"family":"Bowran","given":"D."}],"issued":{"date-parts":[["2018",7]]},"citation-key":"ghahramani_bowran_2018"}},{"id":884,"uris":["http://zotero.org/users/7734624/items/EW86LG9V"],"itemData":{"id":884,"type":"article-journal","abstract":"Smallholder farmers in Afghanistan are already facing various risks in agricultural production due to past continuous insurgencies. Climate change is likely to amplify the risk and make them even more vulnerable. The present study attempted to evaluate the vulnerability profiles of smallholder farmers due to climate change using the IPCC Framework. Primary data on relevant parameters for assessing climate change-led social vulnerability in the region were collected by classifying study region into two zones: the plain and the hills of Yangi Qala District in Takhar province, Afghanistan. Thirteen villages from each zone were selected at random, and face-to-face interviews were conducted with ten randomly selected households in each of the selected villages in both zones based on a pre-tested questionnaire. The questionnaire contained indicators for all three dimensions of vulnerability: exposure, sensitivity and adaptive capacity. The collected data were subjected to a proposed vulnerability index, after estimating the indices of the three dimensions of vulnerability. The Iyenger and Sudershan weighting method was used to assess the contribution of each vulnerability dimension. Vulnerability was classified according to different categories based on beta distribution to evaluate the villages’ vulnerability status. The results showed that about 23% of all 26 sampled villages in both zones had low exposure, 26% moderate exposure and 51% high exposure to climate-change hazards and extreme weather events. High sensitivity was observed in 51%, moderate sensitivity in 7%, and low sensitivity in 42% of villages. High adaptive capacity to climate change was observed in 38% of villages, 19% were moderately adaptive and 42% showed a low adaptive capacity. High vulnerability was observed in 50% of villages, 4% were moderately vulnerable, and 46% had low vulnerability. A high proportion of smallholder farmers in the hilly zone in the sampled district were highly vulnerable, exposed and sensitive with a low adaptive capacity to climate change compared to the plain zone. The high vulnerability in the hilly zone was attributed to limited resources with a low adjustment capability to counter the disturbances, especially in crop cultivation, in response to climate change. A handful of low-cost and local approaches such as improving farmer extension services, introducing small-scale local infrastructure projects, reinforcing informal safety nets and protecting natural ecosystems could be viable cost-effective options that would also be sustainable given their low recurring costs and the limited maintenance required. © 2019 Elsevier Ltd","container-title":"Ecological Indicators","DOI":"10.1016/j.ecolind.2019.105863","ISSN":"1470160X","language":"English","note":"publisher: Elsevier B.V.","title":"Climate change vulnerability and adaptation strategies for smallholder farmers in Yangi Qala District, Takhar, Afghanistan","URL":"https://www.scopus.com/inward/record.uri?eid=2-s2.0-85074213101&amp;doi=10.1016%2fj.ecolind.2019.105863&amp;partnerID=40&amp;md5=f5d3dc5880670f5df717e2c3344acd81","volume":"110","author":[{"family":"Omerkhil","given":"N."},{"family":"Chand","given":"T."},{"family":"Valente","given":"D."},{"family":"Alatalo","given":"J.M."},{"family":"Pandey","given":"R."}],"issued":{"date-parts":[["2020"]]},"citation-key":"omerkhil_etal_2020"}},{"id":668,"uris":["http://zotero.org/users/7734624/items/Y2N9K86K"],"itemData":{"id":668,"type":"article-journal","abstract":"Tanzania is the second-largest producer of rice (Oryza sativa) in Eastern, Central, and Southern Africa after Madagascar. Unfortunately, the sector has been performing poorly due to many constraints, including poor agricultural practices and climate variability. In addressing the challenge, the government is making substantial investments to speed the agriculture transformation into a more modernized, commercial, and highly productive and profitable sector. Our objective was to apply a Monte Carlo simulation approach to assess the economic feasibility of alternative rice farming systems operating in Tanzania while considering risk analysis for decision-makers with different risk preferences to make better management decisions. The rice farming systems in this study comprise rice farms using traditional practices and those using some or all of the recommended system of rice intensification (SRI) practices. The overall results show 2% and zero probability of net cash income (NCI) being negative for partial and full SRI adopters, respectively. Meanwhile, farmers using local and improved seeds have 66% and 60% probability of NCI being negative, correspondingly. Rice farms which applied fertilizers in addition to improved seeds have a 21% probability of negative returns. Additionally, net income for rice farms using local seeds was slightly worthwhile when the transaction made during the harvesting period compared to farms applied improved varieties due to a relatively high price for local seeds. These results help to inform policymakers and agencies promoting food security and eradication of poverty on the benefits of encouraging improved rice farming practices in the country. Despite climate variability, in Tanzania, it is still possible for rice farmers to increase food production and income through the application of improved technologies, particularly SRI management practices, which have shown a promising future.","container-title":"Sustainability","DOI":"10.3390/su12166528","ISSN":"2071-1050","issue":"16","language":"en","license":"http://creativecommons.org/licenses/by/3.0/","note":"number: 16\npublisher: Multidisciplinary Digital Publishing Institute","page":"6528","source":"www.mdpi.com","title":"An Economic Comparison between Alternative Rice Farming Systems in Tanzania Using a Monte Carlo Simulation Approach","volume":"12","author":[{"family":"Kadigi","given":"Ibrahim L."},{"family":"Mutabazi","given":"Khamaldin D."},{"family":"Philip","given":"Damas"},{"family":"Richardson","given":"James W."},{"family":"Bizimana","given":"Jean-Claude"},{"family":"Mbungu","given":"Winfred"},{"family":"Mahoo","given":"Henry F."},{"family":"Sieber","given":"Stefan"}],"issued":{"date-parts":[["2020",1]]},"citation-key":"kadigi_etal_2020"}},{"id":690,"uris":["http://zotero.org/users/7734624/items/NSG85L53"],"itemData":{"id":690,"type":"article-journal","abstract":"Traditional agricultural practices, extensive use of inputs, and abrupt changes in climate have been of great concern to agriculture production around the world, especially in developing countries. Therefore, it is very vital to adopt and expand Climate-Smart agricultural (CSA) practices. By the cross-sectional data of 350 cotton farmers from major cotton-growing districts of Punjab Pakistan, adoption of CSA practices such as irrigation and soil and crop management practices is evaluated, and factors which affect farmer adoption decision and its impact on poverty, income, and yield are estimated by using logistic regression and propensity score matching (PSM) respectively. The results found that education, access to credit, tubewell ownership, farming experience, and access to extension services positively influenced farmers’ adoption behavior. Further, PSM results revealed that adoption of CSA practices is economical, financially, environmentally desirable, and pro-poor. According to these findings, ultimately adoption would help in reducing the negative impact of climate change on the cotton crop by ensuring profits, removing the barriers in the adoption, disseminating the information about CSA, and strictly enforcing the regulations for CSA. © 2021, The Author(s), under exclusive licence to Springer-Verlag GmbH, DE part of Springer Nature.","container-title":"Environmental Science and Pollution Research","DOI":"10.1007/s11356-021-12425-8","ISSN":"09441344","issue":"21","language":"English","note":"publisher: Springer Science and Business Media Deutschland GmbH","page":"27238-27249","title":"Does the adaptation of climate-smart agricultural practices increase farmers’ resilience to climate change?","volume":"28","author":[{"family":"Jamil","given":"I."},{"family":"Jun","given":"W."},{"family":"Mughal","given":"B."},{"family":"Raza","given":"M.H."},{"family":"Imran","given":"M.A."},{"family":"Waheed","given":"A."}],"issued":{"date-parts":[["2021"]]},"citation-key":"jamil_etal_2021"}},{"id":697,"uris":["http://zotero.org/users/7734624/items/IM6WSCSJ"],"itemData":{"id":697,"type":"article-journal","abstract":"Conservation Agriculture (CA) is promoted by research and development (R&amp;D) agencies to sustainably intensify agricultural systems with the goals of improving food security and livelihoods and adapting food systems to global climate change. Despite the many benefits of CA, there are few farmers around the world that have simultaneously implemented all facets of the strategy. In part, this reflects the challenges in applying, adapting, and understanding this complex and multi-dimensional agricultural innovation in the context of diverse farming systems. In this paper, we applied an integrated framework that combines bioeconomic simulation, risk analysis, adoption theory, and impact assessment to investigate how various combinations of CA components (no-tillage, soil cover, crop diversification, plus growing a new crop or variety) performed over a 10-year period in representative farms in a central Mexican case study. We found significant differences in profit, net value, downside risk, and risk-aversion cost between double-component scenarios (and improved CA to a lesser extent) and all other scenarios, which suggested that disaggregating CA into smaller component packages could increase farmer adoption in risky contexts. Our findings provided valuable insights on CA feasibility and could help establish policy and reporting metrics. The study highlighted the need for employing a range of research tools to understand the relative value of agricultural innovations and to identify and reduce trade-offs and uncertainty in farming systems. © 2021 by the authors. Licensee MDPI, Basel, Switzerland.","container-title":"Agronomy","DOI":"10.3390/agronomy11061214","ISSN":"20734395","issue":"6","language":"English","note":"publisher: MDPI AG","title":"Disaggregating the value of conservation agriculture to inform smallholder transition to sustainable farming: A mexican case study","URL":"https://www.scopus.com/inward/record.uri?eid=2-s2.0-85108835109&amp;doi=10.3390%2fagronomy11061214&amp;partnerID=40&amp;md5=05911882b0621e212e1959d79f5cb1f7","volume":"11","author":[{"family":"Monjardino","given":"M."},{"family":"Ridaura","given":"S.L."},{"family":"Van Loon","given":"J."},{"family":"Mottaleb","given":"K."},{"family":"Kruseman","given":"G."},{"family":"Zepeda","given":"A."},{"family":"Hernández","given":"E.O."},{"family":"Burgueño","given":"J."},{"family":"Singh","given":"R.G."},{"family":"Govaerts","given":"B."},{"family":"Erenstein","given":"O."}],"issued":{"date-parts":[["2021"]]},"citation-key":"monjardino_etal_2021"}},{"id":1057,"uris":["http://zotero.org/users/7734624/items/GBHGFLYH"],"itemData":{"id":1057,"type":"article-journal","abstract":"Decision makers need accurate information to address climate variability and change and accelerate transformation to sustainability. A stakeholder-driven, science-based multi-model approach has been developed and used by the Agricultural Model Intercomparison and Improvement Project (AgMIP) to generate actionable information for adaptation planning processes. For a range of mid-century climate projections—likely to be hotter, drier, and more variable—contrasting future socio-economic scenarios (Representative Agricultural Pathways, RAPs) were co-developed with stakeholders to portray a sustainable development scenario and a rapid economic growth pathway. The unique characteristic of this application is the integration of a multi-modeling approach with stakeholder engagement to co-develop scenarios and adaptation strategies. Distribution of outcomes were simulated with climate, crop, livestock, and economic impact assessment models for smallholder crop livestock farmers in a typical dryland agro-ecological zone in Zimbabwe, characterized by low and erratic rainfall and nutrient depleted soils. Results showed that in Nkayi District, Western Zimbabwe, climate change would threaten most of the farms, and, in particular, those with large cattle herds due to feed shortages. Adaptation strategies that showed the most promise included diversification using legume production, soil fertility improvement, and investment in conducive market environments. The switch to more legumes in the farming systems reduced the vulnerability of the very poor as well as the more resourced farmers. Overall, the sustainable development scenario consistently addressed institutional failures and motivated productivity-enhancing, environmentally sound technologies and inclusive development approaches. This yielded more favorable outcomes than investment in quick economic wins from commercializing agriculture.","container-title":"Climatic Change","DOI":"10.1007/s10584-021-03151-8","ISSN":"1573-1480","issue":"1","journalAbbreviation":"Climatic Change","language":"en","page":"10","source":"Springer Link","title":"Climate change impacts and adaptation for dryland farming systems in Zimbabwe: a stakeholder-driven integrated multi-model assessment","title-short":"Climate change impacts and adaptation for dryland farming systems in Zimbabwe","volume":"168","author":[{"family":"Homann-Kee Tui","given":"Sabine"},{"family":"Descheemaeker","given":"Katrien"},{"family":"Valdivia","given":"Roberto O."},{"family":"Masikati","given":"Patricia"},{"family":"Sisito","given":"Gevious"},{"family":"Moyo","given":"Elisha N."},{"family":"Crespo","given":"Olivier"},{"family":"Ruane","given":"Alex C."},{"family":"Rosenzweig","given":"Cynthia"}],"issued":{"date-parts":[["2021",9,25]]},"citation-key":"homann-keetui_etal_2021"}},{"id":3322,"uris":["http://zotero.org/users/7734624/items/JC8P99DK"],"itemData":{"id":3322,"type":"article-journal","abstract":"Abstract\n            We explore the impact of climate change adaptation on the technical efficiency of Ethiopian farmers using panel data collected from 6820 farm plots. We employ Green's (2010) stochastic frontier approach and propensity score matching to address selection bias. Our results reveal that climate change adaptation improves the efficiency of maize, wheat and barley production. We also show that failure to account for selection bias underestimates the average efficiency level. Our findings imply that the expansion of climate change adaptation at larger scales will provide a double benefit by curbing climate‐related risks and increasing the efficiency of farmers. Moreover, increasing credit access and introducing mechanisms that allow farmers to get enough water during the main growing season will enhance the efficiency of subsistence farmers.","container-title":"Journal of Agricultural Economics","DOI":"10.1111/1477-9552.12479","ISSN":"0021-857X, 1477-9552","issue":"3","journalAbbreviation":"J Agricultural Economics","language":"en","page":"739-760","source":"DOI.org (Crossref)","title":"Climate change adaptation and productive efficiency of subsistence farming: A bias‐corrected panel data stochastic frontier approach","title-short":"Climate change adaptation and productive efficiency of subsistence farming","volume":"73","author":[{"family":"Asmare","given":"Fissha"},{"family":"Jaraitė","given":"Jūratė"},{"family":"Kažukauskas","given":"Andrius"}],"issued":{"date-parts":[["2022",9]]},"citation-key":"asmare_etal_2022"}},{"id":3335,"uris":["http://zotero.org/users/7734624/items/77NJ6K3P"],"itemData":{"id":3335,"type":"article-journal","abstract":"The assessment of the vulnerability to drought hazards in smallholder farming systems dependent on rain-fed agriculture has recently gained global popularity, given the need to identify and prioritize climate hotspots for climate adaptation. Over the past decade, numerous studies have focused on vulnerability assessments with respect to drought and other meteorological hazards. Nonetheless, less research has focused on applying common measurement frameworks to compare vulnerability in different communities and the sources of such vulnerability. Yet, the crucial question remains: who is more vulnerable and what contributes to this vulnerability? This article is a case study for assessing the vulnerability to drought of smallholder farmers in two wards in Chivi district, Masvingo Province, Zimbabwe. This study is timely, as climate change is increasingly affecting populations dependent on rainfed agriculture. This assessment has been conducted by calculating the Livelihood Vulnerability Index (LVI) and Livelihood Vulnerability Index of the Intergovernmental Panel on Climate Change (LVI-IPCC). This empirical study used data from 258 households from the two wards and triangulated it through Key Informant Interviews and Focus Group Discussions. To calculate the LVI, twenty-six subcomponents made up of seven major components, including socio-demographic variables; livelihood strategies; social capital; access to food, health, and water; and exposure to drought, were considered. To calculate the LVI-IPCC, we combined the three contributing factors of vulnerability (exposure, sensitivity, and adaptive capacity). Our results indicate that the LVI forward 14 is statistically higher than for ward 19 (F = 21.960; p ≤ 0.01) due to high exposure to drought, food insecurity, and compromised social networks. Concerning the LVI-IPCC, ward 14 was significantly more vulnerable to the impacts of drought than ward 19 (F = 7.718; p ≤ 0.01). Thus, reducing exposure to drought through early warning systems, building diversified agricultural systems, and social networks are of high priority to reduce the vulnerability of the farmers.","container-title":"Climate","DOI":"10.3390/cli10120189","ISSN":"2225-1154","issue":"12","journalAbbreviation":"Climate","language":"en","license":"https://creativecommons.org/licenses/by/4.0/","page":"189","source":"DOI.org (Crossref)","title":"Mapping and Managing Livelihoods Vulnerability to Drought: A Case Study of Chivi District in Zimbabwe","title-short":"Mapping and Managing Livelihoods Vulnerability to Drought","volume":"10","author":[{"family":"Mugandani","given":"Raymond"},{"family":"Muziri","given":"Tavagwisa"},{"family":"Murewi","given":"Cyril Tapiwa Farai"},{"family":"Mugadza","given":"Amanda"},{"family":"Chitata","given":"Tavengwa"},{"family":"Sungirai","given":"Marvelous"},{"family":"Zirebwa","given":"Farai Solomon"},{"family":"Manhondo","given":"Petronella"},{"family":"Mupfiga","given":"Elvis Tawanda"},{"family":"Nyamutowa","given":"Charles"},{"family":"Mudereri","given":"Bester Tawona"},{"family":"Mugari","given":"Zvenyika Eckson"},{"family":"Mwadzingeni","given":"Liboster"},{"family":"Mafongoya","given":"Paramu"}],"issued":{"date-parts":[["2022",11,29]]},"citation-key":"mugandani_etal_2022"}},{"id":3344,"uris":["http://zotero.org/users/7734624/items/D6BC9V6M"],"itemData":{"id":3344,"type":"article-journal","abstract":"Indigenous knowledge can function as a basis of innovation in agriculture because it is not only culturally accepted, but often also environmentally adaptive. The debates and misunderstandings regarding the relations between Indigenous and scientific knowledge are transforming into a trend to integrate all knowledge to deal with complex issues, such as climate change. In this study we explore the understandings of the Tharu people of their farming system in relation to adaptation and mitigation of climate change, based on mixed methods design using both ethnographic analysis of their specific agriculture practices from participant observation and a survey of 229 households in the western Tarai of Nepal. Among our findings is the fit of the traditional agricultural calendar of the Tharu with the labor regimen of agricultural seasons. We found that conservation tillage-oriented agricultural practices, such as relay cropping, including zero-tillage, remain important in the farming system. Although this practice is decreasing, particularly due to the low yield as compared to the conventional tillage system, relay sowing and zero-tillage in the lowlands and uplands remain important for timely crop sowing. Similarly, mixed cropping is prevalent, particularly among small holders, for subsistence-based farming, in part due to higher yield than sole cropping. We conclude that Indigenous knowledge regarding climate and agriculture practices assists making informed decisions for climate-resilient and low emission agriculture. Although some traditional climate-resilient agriculture practices may yield lower profit than those derived from scientific knowledge/methods, the Tharu have therefore embraced “hybrid knowledge”—a combination of Indigenous and scientific knowledge, technology and practice—to balance increased yield and profit maximization with concurrent decreased vulnerability to extreme weather events. We argue that it is not useful to make firm distinctions among traditional, Indigenous and local knowledge in the age of hybridity. This hybridity is evident in the complementarity of the use of improved varieties and scientific agricultural practices for the major grains and the continuing use of landraces for minor crops such as lentils, peas and mustard. However, further research on the sustainable productivity of such practices is required before their widespread dissemination.","container-title":"Frontiers in Political Science","DOI":"10.3389/fpos.2022.969835","ISSN":"2673-3145","journalAbbreviation":"Front. Polit. Sci.","page":"969835","source":"DOI.org (Crossref)","title":"Hybrid knowledge and climate-resilient agriculture practices of the Tharu in the western Tarai, Nepal","volume":"4","author":[{"family":"Chaudhary","given":"Buddhi R."},{"family":"Erskine","given":"William"},{"family":"Acciaioli","given":"Greg"}],"issued":{"date-parts":[["2022",12,15]]},"citation-key":"chaudhary_etal_2022"}},{"id":3346,"uris":["http://zotero.org/users/7734624/items/89PSQCE6"],"itemData":{"id":3346,"type":"article-journal","container-title":"Agricultural Systems","DOI":"10.1016/j.agsy.2022.103537","ISSN":"0308521X","journalAbbreviation":"Agricultural Systems","language":"en","page":"103537","source":"DOI.org (Crossref)","title":"Adaptive capacity of farming systems to climate change in Iran: Application of composite index approach","title-short":"Adaptive capacity of farming systems to climate change in Iran","volume":"204","author":[{"family":"Abdollahzadeh","given":"Gholamhossein"},{"family":"Sharifzadeh","given":"Mohammad Sharif"},{"family":"Sklenička","given":"Petr"},{"family":"Azadi","given":"Hossein"}],"issued":{"date-parts":[["2023",1]]},"citation-key":"abdollahzadeh_etal_2023"}},{"id":3356,"uris":["http://zotero.org/users/7734624/items/2C2L9DNA"],"itemData":{"id":3356,"type":"article-journal","abstract":"Smallholder farmers are among the most vulnerable to climate shocks in Sri Lanka. Lack of education and technical skills, poverty, risks inherent to agricultural investments, limited assets, and financial capital are major reasons for low investments in enhancing adaptive capacity. The study explores the use of agricultural technologies in improving smallholder resilience to water-related disasters and their opportunities for recovery. We tested four bundled services to promote climate-smart agriculture practices namely weather index insurance (WII), agronomic advisories dissemination via SMS, weather services, and climate-resilient seeds of maize and rice. The integrated solutions are referred to as Bundled Solutions of Index Insurance with Climate Information and Seed Systems (BICSA) to manage agricultural risks in Sri Lanka. The study conducted the bundled solutions in three agroecological regions spread over five districts and covering more than 2,500 farmers in three cropping periods of\n              Maha\n              and\n              Yala\n              seasons. The results demonstrate that providing bundled solutions significantly protects smallholders against moderate drought events. The satellite-based weather index insurance can offset the long-term consequences of severe yield losses and mitigate the long-term drop in farm productivity. Our findings demonstrate the importance of bundled insurance to mitigate financial risks associated with extreme weather events and enhance resilience to climate change among vulnerable smallholders. It is evident from the study promoting a viable business model among seed companies, insurance companies, and technological partners, along with public institutions such as agricultural extension services can help production-level improvements and develop strategies at both the farm and policy levels that will support a transition to a more resilient farming system.","container-title":"Frontiers in Sustainable Food Systems","DOI":"10.3389/fsufs.2023.1145147","ISSN":"2571-581X","journalAbbreviation":"Front. Sustain. Food Syst.","page":"1145147","source":"DOI.org (Crossref)","title":"Bundled climate-smart agricultural solutions for smallholder farmers in Sri Lanka","volume":"7","author":[{"family":"Amarnath","given":"Giriraj"},{"family":"Taron","given":"Avinandan"},{"family":"Alahacoon","given":"Niranga"},{"family":"Ghosh","given":"Surajit"}],"issued":{"date-parts":[["2023",12,1]]},"citation-key":"amarnath_etal_2023"}},{"id":3310,"uris":["http://zotero.org/users/7734624/items/UKZILLQ9"],"itemData":{"id":3310,"type":"article-journal","container-title":"Mitigation and Adaptation Strategies for Global Change","DOI":"10.1007/s11027-023-10097-y","ISSN":"1381-2386, 1573-1596","issue":"1","journalAbbreviation":"Mitig Adapt Strateg Glob Change","language":"en","page":"7","source":"DOI.org (Crossref)","title":"Differentiated socio-ecological system approach for vulnerability and adaptation assessment in the Central Himalaya","volume":"29","author":[{"family":"Kumar","given":"Praveen"},{"family":"Fürst","given":"Christine"},{"family":"Joshi","given":"P. K."}],"issued":{"date-parts":[["2024",1]]},"citation-key":"kumar_etal_2024"}}],"schema":"https://github.com/citation-style-language/schema/raw/master/csl-citation.json"}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E75E02" w:rsidRPr="00E75E02">
              <w:rPr>
                <w:rFonts w:ascii="Times New Roman" w:hAnsi="Times New Roman" w:cs="Times New Roman"/>
                <w:lang w:val="fr-FR"/>
              </w:rPr>
              <w:t>(Keil et al. 2009; Mutabazi et al. 2015; Dalgliesh et al. 2016; Poulton et al. 2016; Ghahramani and Bowran 2018; Omerkhil et al. 2020; Kadigi et al. 2020; Jamil et al. 2021; Monjardino et al. 2021; Homann-Kee Tui et al. 2021; Asmare et al. 2022; Mugandani et al. 2022; Chaudhary et al. 2022; Abdollahzadeh et al. 2023; Amarnath et al. 2023; Kumar et al. 2024)</w:t>
            </w:r>
            <w:r w:rsidRPr="00FF4B56">
              <w:rPr>
                <w:rFonts w:ascii="Times New Roman" w:eastAsia="Times New Roman" w:hAnsi="Times New Roman" w:cs="Times New Roman"/>
                <w:color w:val="000000"/>
                <w:lang w:eastAsia="en-GB"/>
              </w:rPr>
              <w:fldChar w:fldCharType="end"/>
            </w:r>
          </w:p>
        </w:tc>
      </w:tr>
      <w:tr w:rsidR="00663667" w:rsidRPr="00AF6801" w14:paraId="0A582EE2" w14:textId="77777777" w:rsidTr="00406364">
        <w:trPr>
          <w:trHeight w:val="288"/>
        </w:trPr>
        <w:tc>
          <w:tcPr>
            <w:tcW w:w="0" w:type="auto"/>
            <w:tcBorders>
              <w:top w:val="nil"/>
              <w:left w:val="nil"/>
              <w:bottom w:val="nil"/>
              <w:right w:val="nil"/>
            </w:tcBorders>
            <w:shd w:val="clear" w:color="000000" w:fill="FFFFFF"/>
          </w:tcPr>
          <w:p w14:paraId="54239AB8" w14:textId="77777777" w:rsidR="00663667" w:rsidRPr="00FF4B56"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tcPr>
          <w:p w14:paraId="74F37A2E" w14:textId="77777777" w:rsidR="00663667" w:rsidRPr="00FF4B56" w:rsidRDefault="00663667" w:rsidP="00663667">
            <w:pPr>
              <w:spacing w:after="0" w:line="360" w:lineRule="auto"/>
              <w:rPr>
                <w:rFonts w:ascii="Times New Roman" w:eastAsia="Times New Roman" w:hAnsi="Times New Roman" w:cs="Times New Roman"/>
                <w:color w:val="000000"/>
                <w:lang w:val="fr-FR" w:eastAsia="en-GB"/>
              </w:rPr>
            </w:pPr>
          </w:p>
        </w:tc>
        <w:tc>
          <w:tcPr>
            <w:tcW w:w="5310" w:type="dxa"/>
            <w:tcBorders>
              <w:top w:val="nil"/>
              <w:left w:val="nil"/>
              <w:bottom w:val="nil"/>
              <w:right w:val="nil"/>
            </w:tcBorders>
            <w:shd w:val="clear" w:color="000000" w:fill="FFFFFF"/>
            <w:noWrap/>
          </w:tcPr>
          <w:p w14:paraId="3BA321C9" w14:textId="56E69498" w:rsidR="00663667" w:rsidRPr="00FF4B56" w:rsidRDefault="00663667" w:rsidP="00663667">
            <w:pPr>
              <w:spacing w:after="0" w:line="360" w:lineRule="auto"/>
              <w:rPr>
                <w:rFonts w:ascii="Times New Roman" w:eastAsia="Times New Roman" w:hAnsi="Times New Roman" w:cs="Times New Roman"/>
                <w:color w:val="000000"/>
                <w:lang w:val="fr-FR" w:eastAsia="en-GB"/>
              </w:rPr>
            </w:pPr>
            <w:r w:rsidRPr="00807AB0">
              <w:rPr>
                <w:rFonts w:ascii="Times New Roman" w:eastAsia="Times New Roman" w:hAnsi="Times New Roman" w:cs="Times New Roman"/>
                <w:color w:val="000000"/>
                <w:lang w:val="fr-FR" w:eastAsia="en-GB"/>
              </w:rPr>
              <w:t xml:space="preserve">Access to </w:t>
            </w:r>
            <w:proofErr w:type="spellStart"/>
            <w:r w:rsidRPr="00807AB0">
              <w:rPr>
                <w:rFonts w:ascii="Times New Roman" w:eastAsia="Times New Roman" w:hAnsi="Times New Roman" w:cs="Times New Roman"/>
                <w:color w:val="000000"/>
                <w:lang w:val="fr-FR" w:eastAsia="en-GB"/>
              </w:rPr>
              <w:t>selling</w:t>
            </w:r>
            <w:proofErr w:type="spellEnd"/>
            <w:r w:rsidRPr="00807AB0">
              <w:rPr>
                <w:rFonts w:ascii="Times New Roman" w:eastAsia="Times New Roman" w:hAnsi="Times New Roman" w:cs="Times New Roman"/>
                <w:color w:val="000000"/>
                <w:lang w:val="fr-FR" w:eastAsia="en-GB"/>
              </w:rPr>
              <w:t xml:space="preserve"> </w:t>
            </w:r>
            <w:proofErr w:type="spellStart"/>
            <w:r w:rsidRPr="00807AB0">
              <w:rPr>
                <w:rFonts w:ascii="Times New Roman" w:eastAsia="Times New Roman" w:hAnsi="Times New Roman" w:cs="Times New Roman"/>
                <w:color w:val="000000"/>
                <w:lang w:val="fr-FR" w:eastAsia="en-GB"/>
              </w:rPr>
              <w:t>market</w:t>
            </w:r>
            <w:proofErr w:type="spellEnd"/>
          </w:p>
        </w:tc>
        <w:tc>
          <w:tcPr>
            <w:tcW w:w="1350" w:type="dxa"/>
            <w:tcBorders>
              <w:top w:val="nil"/>
              <w:left w:val="nil"/>
              <w:bottom w:val="nil"/>
              <w:right w:val="nil"/>
            </w:tcBorders>
            <w:shd w:val="clear" w:color="000000" w:fill="FFFFFF"/>
            <w:noWrap/>
          </w:tcPr>
          <w:p w14:paraId="7C53E539" w14:textId="34FE08D8" w:rsidR="00663667" w:rsidRPr="00FF4B56" w:rsidRDefault="00663667" w:rsidP="00663667">
            <w:pPr>
              <w:spacing w:after="0" w:line="360" w:lineRule="auto"/>
              <w:rPr>
                <w:rFonts w:ascii="Times New Roman" w:eastAsia="Times New Roman" w:hAnsi="Times New Roman" w:cs="Times New Roman"/>
                <w:color w:val="000000"/>
                <w:lang w:val="fr-FR" w:eastAsia="en-GB"/>
              </w:rPr>
            </w:pPr>
            <w:r>
              <w:rPr>
                <w:rFonts w:ascii="Times New Roman" w:eastAsia="Times New Roman" w:hAnsi="Times New Roman" w:cs="Times New Roman"/>
                <w:color w:val="000000"/>
                <w:lang w:val="fr-FR" w:eastAsia="en-GB"/>
              </w:rPr>
              <w:t>7</w:t>
            </w:r>
          </w:p>
        </w:tc>
        <w:tc>
          <w:tcPr>
            <w:tcW w:w="5274" w:type="dxa"/>
            <w:tcBorders>
              <w:left w:val="nil"/>
              <w:right w:val="nil"/>
            </w:tcBorders>
            <w:shd w:val="clear" w:color="000000" w:fill="FFFFFF"/>
          </w:tcPr>
          <w:p w14:paraId="398DA74E" w14:textId="4356C79C" w:rsidR="00663667" w:rsidRPr="00E75E02"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E75E02">
              <w:rPr>
                <w:rFonts w:ascii="Times New Roman" w:eastAsia="Times New Roman" w:hAnsi="Times New Roman" w:cs="Times New Roman"/>
                <w:color w:val="000000"/>
                <w:lang w:val="fr-FR" w:eastAsia="en-GB"/>
              </w:rPr>
              <w:instrText xml:space="preserve"> ADDIN ZOTERO_ITEM CSL_CITATION {"citationID":"CfiriRpW","properties":{"formattedCitation":"(Dobkowitz et al. 2020; Hossard et al. 2021; Naz and Saqib 2021; Maggio et al. 2022; Gugissa et al. 2022; Herrera and Kopainsky 2023; Kumar et al. 2024)","plainCitation":"(Dobkowitz et al. 2020; Hossard et al. 2021; Naz and Saqib 2021; Maggio et al. 2022; Gugissa et al. 2022; Herrera and Kopainsky 2023; Kumar et al. 2024)","noteIndex":0},"citationItems":[{"id":700,"uris":["http://zotero.org/users/7734624/items/PY55PIZ2"],"itemData":{"id":700,"type":"article-journal","abstract":"Climate change heavily impacts smallholder farming worldwide. Cross-scale vulnerability assessment has a high potential to identify nested measures for reducing vulnerability of smallholder farmers. Despite their high practical value, there are currently only limited examples of cross-scale assessments. The presented study aims at assessing the vulnerability of smallholder farmers in the Northeast of Brazil across three scales: regional, farm and field scale. In doing so, it builds on existing vulnerability indices and compares results between indices at the same scale and across scales. In total, six independent indices are tested, two at each scale. The calculated indices include social, economic and ecological indicators, based on municipal statistics, meteorological data, farm interviews and soil analyses. Subsequently, indices and overlapping indicators are normalized for intra-and cross-scale comparison. The results show considerable differences between indices across and within scales. They indicate different activities to reduce vulnerability of smallholder farmers. Major shortcomings arise from the conceptual differences between the indices. We therefore recommend the development of hierarchical indices, which are adapted to local conditions and contain more overlapping indicators for a better understanding of the nested vulnerabilities of smallholder farmers. © 2020 by the authors.","container-title":"Sustainability (Switzerland)","DOI":"10.3390/su12093787","ISSN":"20711050","issue":"9","language":"English","note":"publisher: MDPI","title":"Cross-scale vulnerability assessment for smallholder farming: A case study from the northeast of Brazil","URL":"https://www.scopus.com/inward/record.uri?eid=2-s2.0-85085964908&amp;doi=10.3390%2fsu12093787&amp;partnerID=40&amp;md5=1b75293eec4b8771c893cebceaa1b88e","volume":"12","author":[{"family":"Dobkowitz","given":"S."},{"family":"Walz","given":"A."},{"family":"Baroni","given":"G."},{"family":"Pérez-Marin","given":"A.M."}],"issued":{"date-parts":[["2020"]]},"citation-key":"dobkowitz_etal_2020"}},{"id":900,"uris":["http://zotero.org/users/7734624/items/ESZ3PZ8X"],"itemData":{"id":900,"type":"article-journal","abstract":"The Mediterranean region is expected to be a hotspot for climate change, making the resilience of farming systems a major challenge. Some studies have used quantitative models at the farm scale to analyze the resilience of farming systems but with little involvement of stakeholders. We used a participatory approach with local actors on the Saïs plain of Morocco to design possible future states and qualitatively assess the resilience of typical farm types (FTs) experiencing major change. Our approach combined individual interviews of farmers and local actors, mainly public, with participatory collective meetings to identify representative FTs and their performance, project their evolutions and future performance in the face of change, and evaluate their resilience. Performance, defined according to literature, interviews and meetings, included different types of capital, income, yields, markets, support of public policies, and water access. Four FTs were considered: highly irrigated horticulture (FT1), rainfed cereals (FT2), partly irrigated cereal-legumes (FT3), and mostly irrigated fruit-tree/horticulture (FT4). The primary driver for FT2 and FT3 was climate change; for FT1 and FT4, it was limiting access to water resources. Participants designed more diversified systems for all FTs in relation to those changes. Rankings of FT performance did not change between current and future states. Performance did not evolve significantly, but FT4 was seen as the most resilient and FT2 the least. These qualitative results differ somewhat from other studies mobilizing quantitative approaches, but they highlight the potential of local adaptation to limit the impacts of global change on vulnerable agriculture. © 2021, The Author(s), under exclusive licence to Springer-Verlag GmbH Germany, part of Springer Nature.","container-title":"Regional Environmental Change","DOI":"10.1007/s10113-021-01764-4","ISSN":"14363798","issue":"2","language":"English","note":"publisher: Springer Science and Business Media Deutschland GmbH","title":"Assessing the resilience of farming systems on the Saïs plain, Morocco","URL":"https://www.scopus.com/inward/record.uri?eid=2-s2.0-85103359646&amp;doi=10.1007%2fs10113-021-01764-4&amp;partnerID=40&amp;md5=924a3e87533f83436132d881f83b85fc","volume":"21","author":[{"family":"Hossard","given":"L."},{"family":"Fadlaoui","given":"A."},{"family":"Ricote","given":"E."},{"family":"Belhouchette","given":"H."}],"issued":{"date-parts":[["2021"]]},"citation-key":"hossard_etal_2021"}},{"id":899,"uris":["http://zotero.org/users/7734624/items/YI6CCDC8"],"itemData":{"id":899,"type":"article-journal","abstract":"Gender and vulnerability are important issues to examine in the context of flooding caused by climate change. Men and women around the world adapt differently to climate change effects and natural disasters. Therefore, this study examines men and women’s level of vulnerabilities and their choices of livelihood practices in char farming households in Zanjira, Bangladesh. The study used primary and secondary data. Both qualitative and quantitative were collected. Quantitative data were collected from a household survey of 115 men and 114 women using a questionnaire. Qualitative data were collected through 15 key informant interviews, 30 focus group discussions, and 18 in-depth interviews. Quantitative and qualitative methods were used to assess men and women’s vulnerabilities, including three indices of vulnerability measuring access to livelihood assets were used. A hierarchical regression model was used to perform a gender-based analysis. The percentile score for men was 0.430 units higher than for women, revealing that male respondents were less vulnerable than female respondents in the study area. The results of the regression model showed that the use of gender as an explanatory variable increased the explanatory power of the model and was highly significant. The overall findings of quantitative and qualitative data analysis revealed that floods’ impacts were different for men and women and that women were more vulnerable overall, in part because of gender-related sociocultural norms. These differentials in vulnerabilities affected men and women’s ability to respond and recover from floods and adapt to new opportunities when disaster strikes. © 2021, The Author(s), under exclusive licence to Springer Nature B.V. part of Springer Nature.","container-title":"Natural Hazards","DOI":"10.1007/s11069-020-04482-y","ISSN":"0921030X","issue":"1","language":"English","note":"publisher: Springer Science and Business Media B.V.","page":"655-677","title":"Gender-based differences in flood vulnerability among men and women in the char farming households of Bangladesh","volume":"106","author":[{"family":"Naz","given":"F."},{"family":"Saqib","given":"S.E."}],"issued":{"date-parts":[["2021"]]},"citation-key":"naz_saqib_2021"}},{"id":3361,"uris":["http://zotero.org/users/7734624/items/RH6ZIHNH"],"itemData":{"id":3361,"type":"article-journal","abstract":"In this article, we use spatially granular climate data merged with four waves of household survey data in Uganda to examine empirically the relationships among high temperatures, total value of crop production, and the adoption and adoption duration of two sustainable agricultural practices (organic fertilizer adoption and maize–legume intercropping). We do this using a fixed‐effect model with instrumental variables to address potential endogeneity issues. Our findings indicate that the adoption of these practices has a positive effect on the total value of crop production, and such effect increases monotonically as temperatures increase from long‐term averages. Moreover, the number of years a farmer uses the practice is associated with higher total value of crop production, and this relationship holds across the full distribution of high temperature deviations. Taken together, the results suggest that promoting the adoption, and particularly the sustained adoption, of these practices can help to address the risks posed by rising temperatures to Ugandan agriculture and the livelihoods of farmers who depend on it.","container-title":"American Journal of Agricultural Economics","DOI":"10.1111/ajae.12229","ISSN":"0002-9092, 1467-8276","issue":"1","journalAbbreviation":"American J Agri Economics","language":"en","page":"385-403","source":"DOI.org (Crossref)","title":"Adapting to High Temperatures: Effect of Farm Practices and Their Adoption Duration on Total Value of Crop Production in Uganda","title-short":"Adapting to High Temperatures","volume":"104","author":[{"family":"Maggio","given":"Giuseppe"},{"family":"Mastrorillo","given":"Marina"},{"family":"Sitko","given":"Nicholas J."}],"issued":{"date-parts":[["2022",1]]},"citation-key":"maggio_etal_2022"}},{"id":3347,"uris":["http://zotero.org/users/7734624/items/HYTQRHCW"],"itemData":{"id":3347,"type":"article-journal","abstract":"Building climate-resilient farming systems is important to promote the sustainability of agriculture at the global level. Scaling-up agroecological approaches in main staple crops, such as maize, is particularly important in enhancing the climate resilience of millions of smallholder farmers in developing countries. In this regard, push–pull technology (PPT) is an ecological approach to a farming system that aims to improve the climate resilience of maize producers in a smallholder mixed farming system. PPT is primarily designed to control pests and weeds in an ecofriendly approach, to improve soil fertility, to improve livestock feed, and to increase farmers’ incomes. In this study, we compared the level of climate resilience between PPT maize farming systems and non-PPT maize farming systems in southern Ethiopia. Using the Food and Agriculture Organization of the United Nations (FAO) Self-Evaluation and Holistic Assessment of Climate Resilience of Farmers and Pastoralists (SHARP), we measured 13 agroecosystem indicators of climate resilience and compared the degree to which the two farming systems differ in their level of resilience to climate change. The results indicate that PPT farming systems are more climate-resilient than their non-PPT counterparts. PPT maize farming systems had a significant impact on 8 out of the 13 agroecosystem indicators of climate resilience. To harness the full benefits of PPT, governmental extension agents, NGOs, and agricultural researchers should promote PPT-based maize farming systems. The promotion of PPT needs concerted efforts and strong national coordination in solving PPT implementation barriers, such as improving access to input and output markets and animal health services.","container-title":"Sustainability","DOI":"10.3390/su14052648","ISSN":"2071-1050","issue":"5","journalAbbreviation":"Sustainability","language":"en","license":"https://creativecommons.org/licenses/by/4.0/","page":"2648","source":"DOI.org (Crossref)","title":"Achieving a Climate-Change Resilient Farming System through Push–Pull Technology: Evidence from Maize Farming Systems in Ethiopia","title-short":"Achieving a Climate-Change Resilient Farming System through Push–Pull Technology","volume":"14","author":[{"family":"Gugissa","given":"Desalegn A."},{"family":"Abro","given":"Zewdu"},{"family":"Tefera","given":"Tadele"}],"issued":{"date-parts":[["2022",2,24]]},"citation-key":"gugissa_etal_2022"}},{"id":3324,"uris":["http://zotero.org/users/7734624/items/6ZY85VGI"],"itemData":{"id":3324,"type":"article-journal","container-title":"Journal of Simulation","DOI":"10.1080/17477778.2022.2083990","ISSN":"1747-7778, 1747-7786","issue":"5","journalAbbreviation":"Journal of Simulation","language":"en","page":"607-631","source":"DOI.org (Crossref)","title":"Using microworlds for policymaking in the context of resilient farming systems","volume":"17","author":[{"family":"Herrera","given":"Hugo"},{"family":"Kopainsky","given":"Birgit"}],"issued":{"date-parts":[["2023",9,3]]},"citation-key":"herrera_kopainsky_2023"}},{"id":3310,"uris":["http://zotero.org/users/7734624/items/UKZILLQ9"],"itemData":{"id":3310,"type":"article-journal","container-title":"Mitigation and Adaptation Strategies for Global Change","DOI":"10.1007/s11027-023-10097-y","ISSN":"1381-2386, 1573-1596","issue":"1","journalAbbreviation":"Mitig Adapt Strateg Glob Change","language":"en","page":"7","source":"DOI.org (Crossref)","title":"Differentiated socio-ecological system approach for vulnerability and adaptation assessment in the Central Himalaya","volume":"29","author":[{"family":"Kumar","given":"Praveen"},{"family":"Fürst","given":"Christine"},{"family":"Joshi","given":"P. K."}],"issued":{"date-parts":[["2024",1]]},"citation-key":"kumar_etal_2024"}}],"schema":"https://github.com/citation-style-language/schema/raw/master/csl-citation.json"}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E75E02" w:rsidRPr="00E75E02">
              <w:rPr>
                <w:rFonts w:ascii="Times New Roman" w:hAnsi="Times New Roman" w:cs="Times New Roman"/>
                <w:lang w:val="fr-FR"/>
              </w:rPr>
              <w:t>(Dobkowitz et al. 2020; Hossard et al. 2021; Naz and Saqib 2021; Maggio et al. 2022; Gugissa et al. 2022; Herrera and Kopainsky 2023; Kumar et al. 2024)</w:t>
            </w:r>
            <w:r w:rsidRPr="00FF4B56">
              <w:rPr>
                <w:rFonts w:ascii="Times New Roman" w:eastAsia="Times New Roman" w:hAnsi="Times New Roman" w:cs="Times New Roman"/>
                <w:color w:val="000000"/>
                <w:lang w:eastAsia="en-GB"/>
              </w:rPr>
              <w:fldChar w:fldCharType="end"/>
            </w:r>
          </w:p>
        </w:tc>
      </w:tr>
      <w:tr w:rsidR="00663667" w:rsidRPr="008A6153" w14:paraId="0EAB61DB" w14:textId="0C6324D6" w:rsidTr="00406364">
        <w:trPr>
          <w:trHeight w:val="288"/>
        </w:trPr>
        <w:tc>
          <w:tcPr>
            <w:tcW w:w="0" w:type="auto"/>
            <w:tcBorders>
              <w:top w:val="nil"/>
              <w:left w:val="nil"/>
              <w:bottom w:val="nil"/>
              <w:right w:val="nil"/>
            </w:tcBorders>
            <w:shd w:val="clear" w:color="000000" w:fill="FFFFFF"/>
          </w:tcPr>
          <w:p w14:paraId="3F4D1EE1" w14:textId="77777777" w:rsidR="00663667" w:rsidRPr="00E75E02"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hideMark/>
          </w:tcPr>
          <w:p w14:paraId="1662A8B9" w14:textId="4B560D68" w:rsidR="00663667" w:rsidRPr="00E75E02" w:rsidRDefault="00663667" w:rsidP="00663667">
            <w:pPr>
              <w:spacing w:after="0" w:line="360" w:lineRule="auto"/>
              <w:rPr>
                <w:rFonts w:ascii="Times New Roman" w:eastAsia="Times New Roman" w:hAnsi="Times New Roman" w:cs="Times New Roman"/>
                <w:color w:val="000000"/>
                <w:lang w:val="fr-FR" w:eastAsia="en-GB"/>
              </w:rPr>
            </w:pPr>
            <w:r w:rsidRPr="00E75E02">
              <w:rPr>
                <w:rFonts w:ascii="Times New Roman" w:eastAsia="Times New Roman" w:hAnsi="Times New Roman" w:cs="Times New Roman"/>
                <w:color w:val="000000"/>
                <w:lang w:val="fr-FR" w:eastAsia="en-GB"/>
              </w:rPr>
              <w:t> </w:t>
            </w:r>
          </w:p>
        </w:tc>
        <w:tc>
          <w:tcPr>
            <w:tcW w:w="5310" w:type="dxa"/>
            <w:tcBorders>
              <w:top w:val="nil"/>
              <w:left w:val="nil"/>
              <w:bottom w:val="nil"/>
              <w:right w:val="nil"/>
            </w:tcBorders>
            <w:shd w:val="clear" w:color="000000" w:fill="FFFFFF"/>
            <w:noWrap/>
            <w:hideMark/>
          </w:tcPr>
          <w:p w14:paraId="61EF8CF5" w14:textId="0CE528FD" w:rsidR="00663667" w:rsidRPr="00E75E02" w:rsidRDefault="00663667" w:rsidP="00663667">
            <w:pPr>
              <w:spacing w:after="0" w:line="360" w:lineRule="auto"/>
              <w:rPr>
                <w:rFonts w:ascii="Times New Roman" w:eastAsia="Times New Roman" w:hAnsi="Times New Roman" w:cs="Times New Roman"/>
                <w:color w:val="000000"/>
                <w:lang w:val="fr-FR" w:eastAsia="en-GB"/>
              </w:rPr>
            </w:pPr>
            <w:r w:rsidRPr="00E75E02">
              <w:rPr>
                <w:rFonts w:ascii="Times New Roman" w:eastAsia="Times New Roman" w:hAnsi="Times New Roman" w:cs="Times New Roman"/>
                <w:color w:val="000000"/>
                <w:lang w:val="fr-FR" w:eastAsia="en-GB"/>
              </w:rPr>
              <w:t>Volume of subsidies</w:t>
            </w:r>
          </w:p>
        </w:tc>
        <w:tc>
          <w:tcPr>
            <w:tcW w:w="1350" w:type="dxa"/>
            <w:tcBorders>
              <w:top w:val="nil"/>
              <w:left w:val="nil"/>
              <w:bottom w:val="nil"/>
              <w:right w:val="nil"/>
            </w:tcBorders>
            <w:shd w:val="clear" w:color="000000" w:fill="FFFFFF"/>
            <w:noWrap/>
            <w:hideMark/>
          </w:tcPr>
          <w:p w14:paraId="3DFF8558" w14:textId="77777777" w:rsidR="00663667" w:rsidRPr="00E75E02" w:rsidRDefault="00663667" w:rsidP="00663667">
            <w:pPr>
              <w:spacing w:after="0" w:line="360" w:lineRule="auto"/>
              <w:rPr>
                <w:rFonts w:ascii="Times New Roman" w:eastAsia="Times New Roman" w:hAnsi="Times New Roman" w:cs="Times New Roman"/>
                <w:color w:val="000000"/>
                <w:lang w:val="fr-FR" w:eastAsia="en-GB"/>
              </w:rPr>
            </w:pPr>
            <w:r w:rsidRPr="00E75E02">
              <w:rPr>
                <w:rFonts w:ascii="Times New Roman" w:eastAsia="Times New Roman" w:hAnsi="Times New Roman" w:cs="Times New Roman"/>
                <w:color w:val="000000"/>
                <w:lang w:val="fr-FR" w:eastAsia="en-GB"/>
              </w:rPr>
              <w:t>7</w:t>
            </w:r>
          </w:p>
        </w:tc>
        <w:tc>
          <w:tcPr>
            <w:tcW w:w="5274" w:type="dxa"/>
            <w:tcBorders>
              <w:left w:val="nil"/>
              <w:right w:val="nil"/>
            </w:tcBorders>
            <w:shd w:val="clear" w:color="000000" w:fill="FFFFFF"/>
          </w:tcPr>
          <w:p w14:paraId="5288EF3F" w14:textId="679130E8" w:rsidR="00663667" w:rsidRPr="008A6153"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fldChar w:fldCharType="begin"/>
            </w:r>
            <w:r w:rsidRPr="00E75E02">
              <w:rPr>
                <w:rFonts w:ascii="Times New Roman" w:eastAsia="Times New Roman" w:hAnsi="Times New Roman" w:cs="Times New Roman"/>
                <w:color w:val="000000"/>
                <w:lang w:val="fr-FR" w:eastAsia="en-GB"/>
              </w:rPr>
              <w:instrText xml:space="preserve"> ADDIN ZOTERO_ITEM CSL_CITATION {"citationID":"1pMrZaLn","properties":{"formattedCitation":"(Lehmann et al. 2013; Mahmood et al. 2017; Dobkowitz et al. 2020; Omerkhil et al. 2020; Shrestha et al. 2020; Williams et al. 2020a; Hossard et al. 2021)","plainCitation":"(Lehmann et al. 2013; Mahmood et al. 2017; Dobkowitz et al. 2020; Omerkhil et al. 2020; Shrestha et al. 2020; Williams et al. 2020a; Hossard et al. 2021)","noteIndex":0},"citationItems":[{"id":952,"uris":["http://zotero.org/users/7734624/items/VLP8WNSR"],"itemData":{"id":952,"type":"article-journal","abstract":"This article aims to investigate the impacts of climate change and of lower and more volatile crop price levels as currently observed in the European Union (EU) on optimal management decisions, average income and income risks in crop production in Western Switzerland. To this end, a bioeconomic whole-farm model has been developed that non-parametrically combines the crop growth model CropSyst with an economic decision model using a genetic algorithm. The analysis focuses on the farm level, which enables us to integrate a wide set of potential adaptation responses, comprising changes in agricultural land use as well as crop-specific fertilization and irrigation strategies. Furthermore, the farmer's certainty equivalent is employed as</w:instrText>
            </w:r>
            <w:r w:rsidRPr="00FF4B56">
              <w:rPr>
                <w:rFonts w:ascii="Times New Roman" w:eastAsia="Times New Roman" w:hAnsi="Times New Roman" w:cs="Times New Roman"/>
                <w:color w:val="000000"/>
                <w:lang w:eastAsia="en-GB"/>
              </w:rPr>
              <w:instrText xml:space="preserve"> objective function, which enables the consideration of not only impacts on average income but also impacts on income variability. The study shows that that the effects of EU crop prices on the optimal management decisions as well as on the farmer's certainty equivalent are much stronger than the effects of climate change. Furthermore, our results indicate that the impacts of income risks on the crop farm's optimal management schemes are of rather low importance. This is due to two major reasons: first, direct payments make up a large percentage of the agricultural income in Switzerland which makes Swiss farmers less vulnerable to market and climate volatility. Second, arable crop farms in Switzerland have by law to cultivate at least four different crops. Due to these diverse cropping systems and high government direct payments risk does neither under climate change, market liberalization nor combinations thereof, play a very decisive role in arable farming in Switzerland.","container-title":"Land Use Policy","DOI":"10.1016/j.landusepol.2013.05.008","ISSN":"0264-8377","journalAbbreviation":"Land Use Policy","language":"en","page":"119-130","source":"ScienceDirect","title":"The impact of climate and price risks on agricultural land use and crop management decisions","volume":"35","author":[{"family":"Lehmann","given":"Niklaus"},{"family":"Briner","given":"Simon"},{"family":"Finger","given":"Robert"}],"issued":{"date-parts":[["2013",11,1]]},"citation-key":"lehmann_etal_2013"}},{"id":669,"uris":["http://zotero.org/users/7734624/items/WCF4WWS8"],"itemData":{"id":669,"type":"article-journal","abstract":"The reconciliation of economy and environment is a key factor in achieving sustainability.The European Union wishes to achieve the sustainability of its agriculture in order to produce high quality food materials and to manage energy crisis and the risks related to climate and market fluctuations. These risks can be mitigated by reducing negative impacts of agricultural activities on the environment. Therefore, this study was designed to derive and promote the potential tools to increase the land area under grain legumes in Midi-Pyrenees region (France) where it currently stands at only 1 to 3%. For this purpose modeling chain APES-FSSIM Indicator was used to assess different alternative scenarios of proposition of new grain legumes based cereals rotations, provision of higher premium on grain legumes, increase in sale price and yield of grain legumes, reduction in price and yield variability of grain legumes and combination of all these scenarios. Results showed that alternative scenario of provision of more premiums on grain legumes was more efficient in increasing the grain legume area than other alternative scenarios, but this would require a level of subsidies much higher than the currentcrop-specific subsidies in EU. However, in case of combination of all these scenarios, the increase in grain legumes area was maximum for all three selected farms from the study area. In addition farm income was increased by 11 to 26% and energy consumption was decreased by 4 to 9% for the selected farms. It is concluded that grain legumes area in Midi-Pyrenees farming systems can be increased by following the above mentioned alternative strategies.","container-title":"International Journal of Plant Production","DOI":"10.22069/ijpp.2017.3310","issue":"1","language":"en","page":"65","source":"hal.science","title":"Economic and environmental impacts of introducing grain legumes in farming systems of Midi-Pyrenees region (France): a simulation approach","title-short":"Economic and environmental impacts of introducing grain legumes in farming systems of Midi-Pyrenees region (France)","volume":"11","author":[{"family":"Mahmood","given":"Faisal"},{"family":"Belhouchette","given":"Hatem"},{"family":"Nasim","given":"W."},{"family":"Shahzada","given":"T."},{"family":"Hussain","given":"A."},{"family":"Therond","given":"Olivier"},{"family":"Fahad","given":"E."},{"family":"Sultana","given":"S. Refat"},{"family":"Wery","given":"J."}],"issued":{"date-parts":[["2017"]]},"citation-key":"mahmood_etal_2017"}},{"id":700,"uris":["http://zotero.org/users/7734624/items/PY55PIZ2"],"itemData":{"id":700,"type":"article-journal","abstract":"Climate change heavily impacts smallholder farming worldwide. Cross-scale vulnerability assessment has a high potential to identify nested measures for reducing vulnerability of smallholder farmers. Despite their high practical value, there are currently only limited examples of cross-scale assessments. The presented study aims at assessing the vulnerability of smallholder farmers in the Northeast of Brazil across three scales: regional, farm and field scale. In doing so, it builds on existing vulnerability indices and compares results between indices at the same scale and across scales. In total, six independent indices are tested, two at each scale. The calculated indices include social, economic and ecological indicators, based on municipal statistics, meteorological data, farm interviews and soil analyses. Subsequently, indices and overlapping indicators are normalized for intra-and cross-scale comparison. The results show considerable differences between indices across and within scales. They indicate different activities to reduce vulnerability of smallholder farmers. Major shortcomings arise from the conceptual differences between the indices. We therefore recommend the development of hierarchical indices, which are adapted to local conditions and contain more overlapping indicators for a better understanding of the nested vulnerabilities of smallholder farmers. © 2020 by the authors.","container-title":"Sustainability (Switzerland)","DOI":"10.3390/su12093787","ISSN":"20711050","issue":"9","language":"English","note":"publisher: MDPI","title":"Cross-scale vulnerability assessment for smallholder farming: A case study from the northeast of Brazil","URL":"https://www.scopus.com/inward/record.uri?eid=2-s2.0-85085964908&amp;doi=10.3390%2fsu12093787&amp;partnerID=40&amp;md5=1b75293eec4b8771c893cebceaa1b88e","volume":"12","author":[{"family":"Dobkowitz","given":"S."},{"family":"Walz","given":"A."},{"family":"Baroni","given":"G."},{"family":"Pérez-Marin","given":"A.M."}],"issued":{"date-parts":[["2020"]]},"citation-key":"dobkowitz_etal_2020"}},{"id":884,"uris":["http://zotero.org/users/7734624/items/EW86LG9V"],"itemData":{"id":884,"type":"article-journal","abstract":"Smallholder farmers in Afghanistan are already facing various risks in agricultural production due to past continuous insurgencies. Climate change is likely to amplify the risk and make them even more vulnerable. The present study attempted to evaluate the vulnerability profiles of smallholder farmers due to climate change using the IPCC Framework. Primary data on relevant parameters for assessing climate change-led social vulnerability in the region were collected by classifying study region into two zones: the plain and the hills of Yangi Qala District in Takhar province, Afghanistan. Thirteen villages from each zone were selected at random, and face-to-face interviews were conducted with ten randomly selected households in each of the selected villages in both zones based on a pre-tested questionnaire. The questionnaire contained indicators for all three dimensions of vulnerability: exposure, sensitivity and adaptive capacity. The collected data were subjected to a proposed vulnerability index, after estimating the indices of the three dimensions of vulnerability. The Iyenger and Sudershan weighting method was used to assess the contribution of each vulnerability dimension. Vulnerability was classified according to different categories based on beta distribution to evaluate the villages’ vulnerability status. The results showed that about 23% of all 26 sampled villages in both zones had low exposure, 26% moderate exposure and 51% high exposure to climate-change hazards and extreme weather events. High sensitivity was observed in 51%, moderate sensitivity in 7%, and low sensitivity in 42% of villages. High adaptive capacity to climate change was observed in 38% of villages, 19% were moderately adaptive and 42% showed a low adaptive capacity. High vulnerability was observed in 50% of villages, 4% were moderately vulnerable, and 46% had low vulnerability. A high proportion of smallholder farmers in the hilly zone in the sampled district were highly vulnerable, exposed and sensitive with a low adaptive capacity to climate change compared to the plain zone. The high vulnerability in the hilly zone was attributed to limited resources with a low adjustment capability to counter the disturbances, especially in crop cultivation, in response to climate change. A handful of low-cost and local approaches such as improving farmer extension services, introducing small-scale local infrastructure projects, reinforcing informal safety nets and protecting natural ecosystems could be viable cost-effective options that would also be sustainable given their low recurring costs and the limited maintenance required. © 2019 Elsevier Ltd","container-title":"Ecological Indicators","DOI":"10.1016/j.ecolind.2019.105863","ISSN":"1470160X","language":"English","note":"publisher: Elsevier B.V.","title":"Climate change vulnerability and adaptation strategies for smallholder farmers in Yangi Qala District, Takhar, Afghanistan","URL":"https://www.scopus.com/inward/record.uri?eid=2-s2.0-85074213101&amp;doi=10.1016%2fj.ecolind.2019.105863&amp;partnerID=40&amp;md5=f5d3dc5880670f5df717e2c3344acd81","volume":"110","author":[{"family":"Omerkhil","given":"N."},{"family":"Chand","given":"T."},{"family":"Valente","given":"D."},{"family":"Alatalo","given":"J.M."},{"family":"Pandey","given":"R."}],"issued":{"date-parts":[["2020"]]},"citation-key":"omerkhil_etal_2020"}},{"id":948,"uris":["http://zotero.org/users/7734624/items/WACGP4UF"],"itemData":{"id":948,"type":"article-journal","abstract":"Liver fluke infection (fascioliasis) is a parasitic disease which affects the health and welfare of ruminants. It is a concern for the livestock industry and is considered as a growing threat to the industry because changing climatic conditions are projected to be more favorable to increased frequency and intensity of liver fluke outbreaks. Recent reports highlighted that the incidence and geographic range of liver fluke has increased in the UK over the last decade and estimated to increase the average risk of liver fluke in the UK due to increasing temperature and rainfall. This paper explores financial impacts of the disease with and without climate change effects on Scottish livestock farms using a farm-level economic model. The model is based on farming system analysis and uses linear programming technique to maximize farm net profit within farm resources. Farm level data from a sample of 160 Scottish livestock farms is used under a no disease baseline scenario and two disease scenarios (with and without climate change). These two disease scenarios are compared with the baseline scenario to estimate the financial impact of the disease at farm levels. The results suggest a 12% reduction in net profit on an average dairy farm compared to 6% reduction on an average beef farm under standard disease conditions. The losses increase by 2-fold on a dairy farm and 6-fold on a beef farm when climate change effects are included with disease conditions on farms. There is a large variability within farm groups with profitable farms incurring relatively lesser economic losses than non-profitable farms. There is a substantial increase in number of vulnerable farms both in dairy (+20%) and beef farms (+27%) under the disease alongside climate change conditions. © Copyright © 2020 Shrestha, Barratt, Fox, Vosough Ahmadi and Hutchings.","container-title":"Frontiers in Veterinary Science","DOI":"10.3389/fvets.2020.564795","ISSN":"22971769","language":"English","note":"publisher: Frontiers Media S.A.","title":"Financial Impacts of Liver Fluke on Livestock Farms Under Climate Change–A Farm Level Assessment","URL":"https://www.scopus.com/inward/record.uri?eid=2-s2.0-85098055962&amp;doi=10.3389%2ffvets.2020.564795&amp;partnerID=40&amp;md5=f286db0add6f72e76a11e41c8c8f05e6","volume":"7","author":[{"family":"Shrestha","given":"S."},{"family":"Barratt","given":"A."},{"family":"Fox","given":"N.J."},{"family":"Vosough Ahmadi","given":"B."},{"family":"Hutchings","given":"M.R."}],"issued":{"date-parts":[["2020"]]},"citation-key":"shrestha_etal_2020"}},{"id":953,"uris":["http://zotero.org/users/7734624/items/JP6DPILY"],"itemData":{"id":953,"type":"article-journal","abstract":"Changing climate is posing considerable threats to agriculture, the most vulnerable sector, and to smallholder farming systems, the predominant agricultural livelihood activity in Africa. Study of specific systems enables clearer and more effective responses to be directly targeted for enhanced adaptation, but there is limited knowledge guiding specific subsector vulnerability assessments. We applied the Livelihood Vulnerability Index to understand and identify the nature and sources of vulnerability among smallholder horticultural farming households to climate variability in two districts in Ghana. A total of 480 households engaging in fruit and vegetable crop production were surveyed in Keta and Nsawam districts of Ghana. Data were collected on indicators for Livelihood Vulnerability Index components such as socio-demographic profiles, livelihood strategies, social networking, health, food, production, water, natural disasters, and climate variability. The vulnerability-contributing factors were aggregated in a composite index and differences were compared. The results indicate that smallholder horticultural farmers in Keta are more vulnerable in relation to high exposure and high sensitivity to climate variability, while smallholders in Nsawam are more vulnerable in terms of low capacity to adapt to climate variability. As it is the case for smallholder horticultural farming communities, the study suggests that Livelihood Vulnerability Index can be broadly applied to highlight potential areas for intervention and reduce the vulnerability of sector-specific farming communities within local and national levels. © 2018, Springer Nature B.V.","container-title":"Environment, Development and Sustainability","DOI":"10.1007/s10668-018-0292-y","ISSN":"1387585X","issue":"3","language":"English","note":"publisher: Springer","page":"2321-2342","title":"Assessing vulnerability of horticultural smallholders’ to climate variability in Ghana: applying the livelihood vulnerability approach","volume":"22","author":[{"family":"Williams","given":"P.A."},{"family":"Crespo","given":"O."},{"family":"Abu","given":"M."}],"issued":{"date-parts":[["2020"]]},"citation-key":"williams_etal_2020"}},{"id":900,"uris":["http://zotero.org/users/7734624/items/ESZ3PZ8X"],"itemData":{"id":900,"type":"article-journal","abstract":"The Mediterranean region is expected to be a hotspot for climate change, making the resilience of farming systems a major challenge. Some studies have used quantitative models at the farm scale to analyze the resilience of farming systems but with little involvement of stakeholders. We used a participatory approach with local actors on the Saïs plain of Morocco to design possible future states and qualitatively assess the resilience of typical farm types (FTs) experiencing major change. Our approach combined individual interviews of farmers and local actors, mainly public, with participatory collective meetings to identify representative FTs and their performance, project their evolutions and future performance in the face of change, and evaluate their resilience. Performance, defined according to literature, interviews and meetings, included different types of capital, income, yields, markets, support of public policies, and water access. Four FTs were considered: highly irrigated horticulture (FT1), rainfed cereals (FT2), partly irrigated cereal-legumes (FT3), and mostly irrigated fruit-tre</w:instrText>
            </w:r>
            <w:r w:rsidRPr="008A6153">
              <w:rPr>
                <w:rFonts w:ascii="Times New Roman" w:eastAsia="Times New Roman" w:hAnsi="Times New Roman" w:cs="Times New Roman"/>
                <w:color w:val="000000"/>
                <w:lang w:eastAsia="en-GB"/>
              </w:rPr>
              <w:instrText xml:space="preserve">e/horticulture (FT4). The primary driver for FT2 and FT3 was climate change; for FT1 and FT4, it was limiting access to water resources. Participants designed more diversified systems for all FTs in relation to those changes. Rankings of FT performance did not change between current and future states. Performance did not evolve significantly, but FT4 was seen as the most resilient and FT2 the least. These qualitative results differ somewhat from other studies mobilizing quantitative approaches, but they highlight the potential of local adaptation to limit the impacts of global change on vulnerable agriculture. © 2021, The Author(s), under exclusive licence to Springer-Verlag GmbH Germany, part of Springer Nature.","container-title":"Regional Environmental Change","DOI":"10.1007/s10113-021-01764-4","ISSN":"14363798","issue":"2","language":"English","note":"publisher: Springer Science and Business Media Deutschland GmbH","title":"Assessing the resilience of farming systems on the Saïs plain, Morocco","URL":"https://www.scopus.com/inward/record.uri?eid=2-s2.0-85103359646&amp;doi=10.1007%2fs10113-021-01764-4&amp;partnerID=40&amp;md5=924a3e87533f83436132d881f83b85fc","volume":"21","author":[{"family":"Hossard","given":"L."},{"family":"Fadlaoui","given":"A."},{"family":"Ricote","given":"E."},{"family":"Belhouchette","given":"H."}],"issued":{"date-parts":[["2021"]]},"citation-key":"hossard_etal_2021"}}],"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Pr="008A6153">
              <w:rPr>
                <w:rFonts w:ascii="Times New Roman" w:hAnsi="Times New Roman" w:cs="Times New Roman"/>
              </w:rPr>
              <w:t>(Lehmann et al. 2013; Mahmood et al. 2017; Dobkowitz et al. 2020; Omerkhil et al. 2020; Shrestha et al. 2020; Williams et al. 2020a; Hossard et al. 2021)</w:t>
            </w:r>
            <w:r w:rsidRPr="00FF4B56">
              <w:rPr>
                <w:rFonts w:ascii="Times New Roman" w:eastAsia="Times New Roman" w:hAnsi="Times New Roman" w:cs="Times New Roman"/>
                <w:color w:val="000000"/>
                <w:lang w:eastAsia="en-GB"/>
              </w:rPr>
              <w:fldChar w:fldCharType="end"/>
            </w:r>
          </w:p>
        </w:tc>
      </w:tr>
      <w:tr w:rsidR="00663667" w:rsidRPr="008A6153" w14:paraId="2431CF62" w14:textId="4F59554E" w:rsidTr="00406364">
        <w:trPr>
          <w:trHeight w:val="288"/>
        </w:trPr>
        <w:tc>
          <w:tcPr>
            <w:tcW w:w="0" w:type="auto"/>
            <w:tcBorders>
              <w:top w:val="nil"/>
              <w:left w:val="nil"/>
              <w:bottom w:val="nil"/>
              <w:right w:val="nil"/>
            </w:tcBorders>
            <w:shd w:val="clear" w:color="000000" w:fill="FFFFFF"/>
          </w:tcPr>
          <w:p w14:paraId="475D1389" w14:textId="77777777" w:rsidR="00663667" w:rsidRPr="008A6153" w:rsidRDefault="00663667" w:rsidP="00663667">
            <w:pPr>
              <w:spacing w:after="0" w:line="360" w:lineRule="auto"/>
              <w:rPr>
                <w:rFonts w:ascii="Times New Roman" w:eastAsia="Times New Roman" w:hAnsi="Times New Roman" w:cs="Times New Roman"/>
                <w:color w:val="000000"/>
                <w:lang w:eastAsia="en-GB"/>
              </w:rPr>
            </w:pPr>
          </w:p>
        </w:tc>
        <w:tc>
          <w:tcPr>
            <w:tcW w:w="1848" w:type="dxa"/>
            <w:tcBorders>
              <w:top w:val="nil"/>
              <w:left w:val="nil"/>
              <w:bottom w:val="nil"/>
              <w:right w:val="nil"/>
            </w:tcBorders>
            <w:shd w:val="clear" w:color="000000" w:fill="FFFFFF"/>
            <w:noWrap/>
            <w:hideMark/>
          </w:tcPr>
          <w:p w14:paraId="5FD5BCB6" w14:textId="1CB78459" w:rsidR="00663667" w:rsidRPr="008A6153" w:rsidRDefault="00663667" w:rsidP="00663667">
            <w:pPr>
              <w:spacing w:after="0" w:line="360" w:lineRule="auto"/>
              <w:rPr>
                <w:rFonts w:ascii="Times New Roman" w:eastAsia="Times New Roman" w:hAnsi="Times New Roman" w:cs="Times New Roman"/>
                <w:color w:val="000000"/>
                <w:lang w:eastAsia="en-GB"/>
              </w:rPr>
            </w:pPr>
            <w:r w:rsidRPr="008A6153">
              <w:rPr>
                <w:rFonts w:ascii="Times New Roman" w:eastAsia="Times New Roman" w:hAnsi="Times New Roman" w:cs="Times New Roman"/>
                <w:color w:val="000000"/>
                <w:lang w:eastAsia="en-GB"/>
              </w:rPr>
              <w:t> </w:t>
            </w:r>
          </w:p>
        </w:tc>
        <w:tc>
          <w:tcPr>
            <w:tcW w:w="5310" w:type="dxa"/>
            <w:tcBorders>
              <w:top w:val="nil"/>
              <w:left w:val="nil"/>
              <w:bottom w:val="nil"/>
              <w:right w:val="nil"/>
            </w:tcBorders>
            <w:shd w:val="clear" w:color="000000" w:fill="FFFFFF"/>
            <w:noWrap/>
            <w:hideMark/>
          </w:tcPr>
          <w:p w14:paraId="25B58E20" w14:textId="28354223" w:rsidR="00663667" w:rsidRPr="008A6153" w:rsidRDefault="00663667" w:rsidP="00663667">
            <w:pPr>
              <w:spacing w:after="0" w:line="360" w:lineRule="auto"/>
              <w:rPr>
                <w:rFonts w:ascii="Times New Roman" w:eastAsia="Times New Roman" w:hAnsi="Times New Roman" w:cs="Times New Roman"/>
                <w:color w:val="000000"/>
                <w:lang w:eastAsia="en-GB"/>
              </w:rPr>
            </w:pPr>
            <w:r w:rsidRPr="008A6153">
              <w:rPr>
                <w:rFonts w:ascii="Times New Roman" w:eastAsia="Times New Roman" w:hAnsi="Times New Roman" w:cs="Times New Roman"/>
                <w:color w:val="000000"/>
                <w:lang w:eastAsia="en-GB"/>
              </w:rPr>
              <w:t>Access to purchased feed</w:t>
            </w:r>
          </w:p>
        </w:tc>
        <w:tc>
          <w:tcPr>
            <w:tcW w:w="1350" w:type="dxa"/>
            <w:tcBorders>
              <w:top w:val="nil"/>
              <w:left w:val="nil"/>
              <w:bottom w:val="nil"/>
              <w:right w:val="nil"/>
            </w:tcBorders>
            <w:shd w:val="clear" w:color="000000" w:fill="FFFFFF"/>
            <w:noWrap/>
            <w:hideMark/>
          </w:tcPr>
          <w:p w14:paraId="411A2CB4" w14:textId="1EAA11EA" w:rsidR="00663667" w:rsidRPr="008A6153" w:rsidRDefault="00663667" w:rsidP="00663667">
            <w:pPr>
              <w:spacing w:after="0" w:line="360" w:lineRule="auto"/>
              <w:rPr>
                <w:rFonts w:ascii="Times New Roman" w:eastAsia="Times New Roman" w:hAnsi="Times New Roman" w:cs="Times New Roman"/>
                <w:color w:val="000000"/>
                <w:lang w:eastAsia="en-GB"/>
              </w:rPr>
            </w:pPr>
            <w:r w:rsidRPr="008A6153">
              <w:rPr>
                <w:rFonts w:ascii="Times New Roman" w:eastAsia="Times New Roman" w:hAnsi="Times New Roman" w:cs="Times New Roman"/>
                <w:color w:val="000000"/>
                <w:lang w:eastAsia="en-GB"/>
              </w:rPr>
              <w:t>6</w:t>
            </w:r>
          </w:p>
        </w:tc>
        <w:tc>
          <w:tcPr>
            <w:tcW w:w="5274" w:type="dxa"/>
            <w:tcBorders>
              <w:left w:val="nil"/>
              <w:right w:val="nil"/>
            </w:tcBorders>
            <w:shd w:val="clear" w:color="000000" w:fill="FFFFFF"/>
          </w:tcPr>
          <w:p w14:paraId="312A840D" w14:textId="6B0271F7" w:rsidR="00663667" w:rsidRPr="008A6153"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fldChar w:fldCharType="begin"/>
            </w:r>
            <w:r w:rsidR="00E75E02" w:rsidRPr="008A6153">
              <w:rPr>
                <w:rFonts w:ascii="Times New Roman" w:eastAsia="Times New Roman" w:hAnsi="Times New Roman" w:cs="Times New Roman"/>
                <w:color w:val="000000"/>
                <w:lang w:eastAsia="en-GB"/>
              </w:rPr>
              <w:instrText xml:space="preserve"> ADDIN ZOTERO_ITEM CSL_CITATION {"citationID":"ZEwLxsfA","properties":{"formattedCitation":"(Ho et al. 2015; Rigolot et al. 2017; Bilotto et al. 2019, 2021; Monjardino et al. 2021; Pinsard et al. 2023)","plainCitation":"(Ho et al. 2015; Rigolot et al. 2017; Bilotto et al. 2019, 2021; Monjardino et al. 2021; Pinsard et al. 2023)","noteIndex":0},"citationItems":[{"id":932,"uris":["http://zotero.org/users/7734624/items/BTL7H8H7"],"itemData":{"id":932,"type":"article-journal","abstract":"The anticipated effects of climate change, competing d</w:instrText>
            </w:r>
            <w:r w:rsidR="00E75E02">
              <w:rPr>
                <w:rFonts w:ascii="Times New Roman" w:eastAsia="Times New Roman" w:hAnsi="Times New Roman" w:cs="Times New Roman"/>
                <w:color w:val="000000"/>
                <w:lang w:eastAsia="en-GB"/>
              </w:rPr>
              <w:instrText>emands from the environment, industry and urban users, and changes in water policy are likely to reduce the amount and increase the variability of water allocations to dairy farmers in northern Victoria. The way two irrigated dairy farms that differed in feedbase characteristics, herd size and farm area, would operate and perform with reduced and more variable water allocations was examined over 10 years. Strategies to manage the impact of changed water availability were tested; namely, increasing milk production by feeding more supplementary feed, changing the feed system to present supplements in a partial mixed ration (PMR), and increasing milk production by using a PMR. Neither farm was profitable under medium climate change, or if the conditions that generated the low inflows of water into irrigation supply dams between 1996-97 and 2006-07 prevailed, unless changes were made to the farm system. Feeding supplements in a well formulated mixed ration have the potential to increase the efficiency of metabolisable energy use and offers the opportunity to increase feed intake and milk production. A PMR system enabled one of the farms to maintain and increase profit under medium climate change conditions; however, risk, measured as variability in profit, also increased. Under more severe reductions in water availability, neither of the farms examined was profitable over the run of years. Changes to the farm system other than feeding additional supplementary feed to increase milk production and/or using a PMR system, would be needed to counteract the effects of reduced and more variable water availability and maintain profit. © 2015 CSIRO.","container-title":"Animal Production Science","DOI":"10.1071/AN14287","ISSN":"18360939","issue":"2","language":"English","note":"publisher: CSIRO","page":"194-200","title":"Supplementary feeding options to alleviate the impacts of decreased water availability on dairy-farm economic performance in northern Victoria","volume":"55","author":[{"family":"Ho","given":"C.K.M."},{"family":"Malcolm","given":"B."},{"family":"Doyle","given":"P.T."}],"issued":{"date-parts":[["2015"]]},"citation-key":"ho_etal_2015"}},{"id":938,"uris":["http://zotero.org/users/7734624/items/6NDCKPE2"],"itemData":{"id":938,"type":"article-journal","abstract":"Smallholder crop–livestock farming systems have an important role to play for food security in Sub-Saharan Africa, but they have to cope with the effects of climate variability and change. In this study, we test the impacts of different interventions in two contrasting mixed farms in Northern Burkina Faso against the background of plausible current and future climate scenarios. For this purpose, we developed a dynamic farm-household modeling framework around existing tools: crop and animal production models APSIM and LivSim, the household model IAT and the climate generator Marksim. The two farms (a small and a larger) were selected and parameterized based on information collected in a household survey. Tested interventions included different crop fertilization and animal supplementation levels, mulching with crop residues and an alternative livestock feeding strategy. Baseline (2013) and a 2050 projection based on IPCC RCP 8.5 describe two climate scenarios (90years) for comparison. The maximum level of inputs increases farm energy production by +90% and +76% compared to the baseline for the small and the larger farm, respectively. Input levels maximizing net incomes are moderate, though higher than those currently used in both farms. The inter-annual distributions of net income show that the use of external inputs increases both upside and downside risks, i.e. the probability of getting both very high and very low results. This is because the interventions are more effective at increasing the highest yields in good years than at preventing the low production levels of some years. The 2050 climate scenario has a negative impact on energy production and potential income, especially for the scenarios with high input levels. Downside risks could partly explain why farmers do not currently use optimal input levels, and the results suggest that these constraints could intensify with climate change.","container-title":"Agricultural Systems","DOI":"10.1016/j.agsy.2015.12.017","ISSN":"0308-521X","journalAbbreviation":"Agricultural Systems","language":"en","page":"217-224","source":"ScienceDirect","title":"Interactions between intervention packages, climatic risk, climate change and food security in mixed crop–livestock systems in Burkina Faso","volume":"151","author":[{"family":"Rigolot","given":"C."},{"family":"Voil","given":"P.","non-dropping-particle":"de"},{"family":"Douxchamps","given":"S."},{"family":"Prestwidge","given":"D."},{"family":"Van Wijk","given":"M."},{"family":"Thornton","given":"P. K."},{"family":"Rodriguez","given":"D."},{"family":"Henderson","given":"B."},{"family":"Medina","given":"D."},{"family":"Herrero","given":"M."}],"issued":{"date-parts":[["2017",2,1]]},"citation-key":"rigolot_etal_2017"}},{"id":671,"uris":["http://zotero.org/users/7734624/items/GXLQ6LRH"],"itemData":{"id":671,"type":"article-journal","abstract":"Beef grazing systems need to improve their environmental sustainability while increasing productivity to meet future demand. In a context of climate and prices variability, the main aim of our study was to explore the current trend in cow-calf operations of including backgrounding strategies on productivity, profitability and greenhouse gas (GHG) emissions in a representative beef cattle system from the Laprida Basin (Flooding Pampas, Argentina), applying an integrated assessment with modelling tools. The mean liveweight gain (LWG) of pure cow-calf systems was lower than systems that included backgrounding, it decreased as stocking rates (SR) increased, and it was increased when the stocker contribution (0.2 to 0.4 steer/cow rate), sales weights (steers 390 kg LW and heifers 320 kg LW) and supplementation level (&gt;1% LW) were higher. Liveweight production and operating profits showed a curvilinear response to SR, reaching a plateau close to 0.5 cows ha−1. As expected, GHG emissions intensity (EI; kg CO2e kg−1 LW produced) was higher in pure cow-calf scenarios. If a grazing intensity (i.e. ratio between biomass removed by grazing and biomass available for grazing) beyond 0.6 was to be avoided to prevent long-term overgrazing and trade-offs among the variables assessed, the best option was to decrease SR to 0.45 cows ha−1. On such stocking rate, LWG was improved by 8% (±SD; ±3%), but LW production, operating profits, and GHG emissions intensity were reduced by 1% (±2%), 9% (±4%) and 10% (±1%), respectively, compared with 0.50 cows ha−1. The best risk-efficient combinations were depicted by backgrounding options and the variation of profit was mainly explained by prices variability (CV = 40 ± 3%) and, to a lesser extent by climate variability (CV = 11 ± 3%). Therefore, backgrounding strategies provide opportunities to farmers to increase farm productivity and profitability at the lowest risk for a given level of expected return, while reducing greenhouse gas emissions per unit of product.","container-title":"Agricultural Systems","DOI":"10.1016/j.agsy.2019.102688","ISSN":"0308-521X","journalAbbreviation":"Agricultural Systems","language":"en","page":"102688","source":"ScienceDirect","title":"Backgrounding strategy effects on farm productivity, profitability and greenhouse gas emissions of cow-calf systems in the Flooding Pampas of Argentina","volume":"176","author":[{"family":"Bilotto","given":"Franco"},{"family":"Recavarren","given":"Paulo"},{"family":"Vibart","given":"Ronaldo"},{"family":"Machado","given":"Claudio F."}],"issued":{"date-parts":[["2019",11,1]]},"citation-key":"bilotto_etal_2019"}},{"id":654,"uris":["http://zotero.org/users/7734624/items/SJQBTD8Q"],"itemData":{"id":654,"type":"article-journal","abstract":"The effects of climate variability are projected to increase in the future threatening the expected outcomes of grazing-based animal production, feed use efficiency, and development of sustainable farming livelihoods. The identification of profitable farm management strategies to overcome critical inter-annual feed supply deficits is a worldwide management problem for grazing-based livestock systems and such information is essential for designing resilient feed-bases against climate variability. Increasingly, beef breeding herd (cow-calf) farmers in the Flooding Pampas region of Argentina have added backgrounding enterprises to deal with inter-annual system risks, but the impact of adopting such livestock managements under different forage growth patterns has not been widely investigated in the region. The aims of our study were to explore the marginal value of feed (MVF; it quantifies the economic value of an extra kg DM or MJ of metabolizable energy) in a representative beef cattle farm from the Flooding Pampas region. By combining this variable with the replacement cost method, different feed alternatives available for farmers to increase feed-on-offer were compared, under climate and price variability. The feed scenarios were baseline [unchanged herbage mass accumulation (HMA)] or with an extra 10% of the annual HMA in different seasons (summer, autumn, winter, spring or all year around), within a full range of beef cattle systems (stocking rates and steer/cow rates with different target market liveweights for steers and heifers). These scenarios were tested by integrating forage, livestock and economic models in series. Drier years reached higher MVF, and cumulative curves showed greater absolute values and probabilities of obtaining a higher MVF in winter or spring, and lowest in summer. The backgrounding management alternatives provide opportunities to increase the MVF (by up to 20% &gt;0.09 US$ per extra kg DM added in winter at 0.55 cows ha−1 with a 0.4 steer/cow rate), enabling the purchase of high-quality forages (&gt;0.07 US$ kg−1 DM). However, high stocking rate and grazing intensity (&gt;0.6) may reduce the inter-annual farm performance (LW sales ha−1 and profitability). The framework developed in this study has provided new insights for diversifying into the use of complementary forage sources in the farm feed-base to improve farm resilience against climate and price variability in the Flooding Pampas of Argentina.","container-title":"Agricultural Systems","DOI":"10.1016/j.agsy.2020.103010","ISSN":"0308-521X","journalAbbreviation":"Agricultural Systems","language":"en","page":"103010","source":"ScienceDirect","title":"Estimation of the inter-annual marginal value of additional feed and its replacement cost for beef cattle systems in the Flooding Pampas of Argentina","volume":"187","author":[{"family":"Bilotto","given":"Franco"},{"family":"Vibart","given":"Ronaldo"},{"family":"Wall","given":"Andrew"},{"family":"Machado","given":"Claudio F."}],"issued":{"date-parts":[["2021",2,1]]},"citation-key":"bilotto_etal_2021"}},{"id":697,"uris":["http://zotero.org/users/7734624/items/IM6WSCSJ"],"itemData":{"id":697,"type":"article-journal","abstract":"Conservation Agriculture (CA) is promoted by research and development (R&amp;D) agencies to sustainably intensify agricultural systems with the goals of improving food security and livelihoods and adapting food systems to global climate change. Despite the many benefits of CA, there are few farmers around the world that have simultaneously implemented all facets of the strategy. In part, this reflects the challenges in applying, adapting, and understanding this complex and multi-dimensional agricultural innovation in the context of diverse farming systems. In this paper, we applied an integrated framework that combines bioeconomic simulation, risk analysis, adoption theory, and impact assessment to investigate how various combinations of CA components (no-tillage, soil cover, crop diversification, plus growing a new crop or variety) performed over a 10-year period in representative farms in a central Mexican case study. We found significant differences in profit, net value, downside risk, and risk-aversion cost between double-component scenarios (and improved CA to a lesser extent) and all other scenarios, which suggested that disaggregating CA into smaller component packages could increase farmer adoption in risky contexts. Our findings provided valuable insights on CA feasibility and could help establish policy and reporting metrics. The study highlighted the need for employing a range of research tools to understand the relative value of agricultural innovations and to identify and reduce trade-offs and uncertainty in farming systems. © 2021 by the authors. Licensee MDPI, Basel, Switzerland.","container-title":"Agronomy","DOI":"10.3390/agronomy11061214","ISSN":"20734395","issue":"6","language":"English","note":"publisher: MDPI AG","title":"Disaggregating the value of conservation agriculture to inform smallholder transition to sustainable farming: A mexican case study","URL":"https://www.scopus.com/in</w:instrText>
            </w:r>
            <w:r w:rsidR="00E75E02" w:rsidRPr="008A6153">
              <w:rPr>
                <w:rFonts w:ascii="Times New Roman" w:eastAsia="Times New Roman" w:hAnsi="Times New Roman" w:cs="Times New Roman"/>
                <w:color w:val="000000"/>
                <w:lang w:eastAsia="en-GB"/>
              </w:rPr>
              <w:instrText xml:space="preserve">ward/record.uri?eid=2-s2.0-85108835109&amp;doi=10.3390%2fagronomy11061214&amp;partnerID=40&amp;md5=05911882b0621e212e1959d79f5cb1f7","volume":"11","author":[{"family":"Monjardino","given":"M."},{"family":"Ridaura","given":"S.L."},{"family":"Van Loon","given":"J."},{"family":"Mottaleb","given":"K."},{"family":"Kruseman","given":"G."},{"family":"Zepeda","given":"A."},{"family":"Hernández","given":"E.O."},{"family":"Burgueño","given":"J."},{"family":"Singh","given":"R.G."},{"family":"Govaerts","given":"B."},{"family":"Erenstein","given":"O."}],"issued":{"date-parts":[["2021"]]},"citation-key":"monjardino_etal_2021"}},{"id":3256,"uris":["http://zotero.org/users/7734624/items/R2G3F2GY"],"itemData":{"id":3256,"type":"article-journal","container-title":"Agronomy for Sustainable Development","DOI":"10.1007/s13593-023-00883-y","ISSN":"1774-0746, 1773-0155","issue":"2","journalAbbreviation":"Agron. Sustain. Dev.","language":"en","page":"33","source":"DOI.org (Crossref)","title":"Strategies for future robust meat production and climate change mitigation under imported input constraints in Alentejo, Portugal","volume":"43","author":[{"family":"Pinsard","given":"Corentin"},{"family":"Morais","given":"Tiago G."},{"family":"Domingos","given":"Tiago"},{"family":"Accatino","given":"Francesco"},{"family":"Teixeira","given":"Ricardo F. M."}],"issued":{"date-parts":[["2023",4]]},"citation-key":"pinsard_etal_2023"}}],"schema":"https://github.com/citation-style-language/schema/raw/master/csl-citation.json"}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E75E02" w:rsidRPr="008A6153">
              <w:rPr>
                <w:rFonts w:ascii="Times New Roman" w:hAnsi="Times New Roman" w:cs="Times New Roman"/>
              </w:rPr>
              <w:t>(Ho et al. 2015; Rigolot et al. 2017; Bilotto et al. 2019, 2021; Monjardino et al. 2021; Pinsard et al. 2023)</w:t>
            </w:r>
            <w:r w:rsidRPr="00FF4B56">
              <w:rPr>
                <w:rFonts w:ascii="Times New Roman" w:eastAsia="Times New Roman" w:hAnsi="Times New Roman" w:cs="Times New Roman"/>
                <w:color w:val="000000"/>
                <w:lang w:eastAsia="en-GB"/>
              </w:rPr>
              <w:fldChar w:fldCharType="end"/>
            </w:r>
          </w:p>
        </w:tc>
      </w:tr>
      <w:tr w:rsidR="00663667" w:rsidRPr="008A6153" w14:paraId="245D406C" w14:textId="77777777" w:rsidTr="00406364">
        <w:trPr>
          <w:trHeight w:val="288"/>
        </w:trPr>
        <w:tc>
          <w:tcPr>
            <w:tcW w:w="0" w:type="auto"/>
            <w:tcBorders>
              <w:top w:val="nil"/>
              <w:left w:val="nil"/>
              <w:bottom w:val="nil"/>
              <w:right w:val="nil"/>
            </w:tcBorders>
            <w:shd w:val="clear" w:color="000000" w:fill="FFFFFF"/>
          </w:tcPr>
          <w:p w14:paraId="1388CA02" w14:textId="77777777" w:rsidR="00663667" w:rsidRPr="008A6153" w:rsidRDefault="00663667" w:rsidP="00663667">
            <w:pPr>
              <w:spacing w:after="0" w:line="360" w:lineRule="auto"/>
              <w:rPr>
                <w:rFonts w:ascii="Times New Roman" w:eastAsia="Times New Roman" w:hAnsi="Times New Roman" w:cs="Times New Roman"/>
                <w:color w:val="000000"/>
                <w:lang w:eastAsia="en-GB"/>
              </w:rPr>
            </w:pPr>
          </w:p>
        </w:tc>
        <w:tc>
          <w:tcPr>
            <w:tcW w:w="1848" w:type="dxa"/>
            <w:tcBorders>
              <w:top w:val="nil"/>
              <w:left w:val="nil"/>
              <w:bottom w:val="nil"/>
              <w:right w:val="nil"/>
            </w:tcBorders>
            <w:shd w:val="clear" w:color="000000" w:fill="FFFFFF"/>
            <w:noWrap/>
          </w:tcPr>
          <w:p w14:paraId="01BA57A4" w14:textId="77777777" w:rsidR="00663667" w:rsidRPr="008A6153" w:rsidRDefault="00663667" w:rsidP="00663667">
            <w:pPr>
              <w:spacing w:after="0" w:line="360" w:lineRule="auto"/>
              <w:rPr>
                <w:rFonts w:ascii="Times New Roman" w:eastAsia="Times New Roman" w:hAnsi="Times New Roman" w:cs="Times New Roman"/>
                <w:color w:val="000000"/>
                <w:lang w:eastAsia="en-GB"/>
              </w:rPr>
            </w:pPr>
          </w:p>
        </w:tc>
        <w:tc>
          <w:tcPr>
            <w:tcW w:w="5310" w:type="dxa"/>
            <w:tcBorders>
              <w:top w:val="nil"/>
              <w:left w:val="nil"/>
              <w:bottom w:val="nil"/>
              <w:right w:val="nil"/>
            </w:tcBorders>
            <w:shd w:val="clear" w:color="000000" w:fill="FFFFFF"/>
            <w:noWrap/>
          </w:tcPr>
          <w:p w14:paraId="64C0E8CC" w14:textId="287D31C6" w:rsidR="00663667" w:rsidRPr="008A6153" w:rsidRDefault="00663667" w:rsidP="00663667">
            <w:pPr>
              <w:spacing w:after="0" w:line="360" w:lineRule="auto"/>
              <w:rPr>
                <w:rFonts w:ascii="Times New Roman" w:eastAsia="Times New Roman" w:hAnsi="Times New Roman" w:cs="Times New Roman"/>
                <w:color w:val="000000"/>
                <w:lang w:eastAsia="en-GB"/>
              </w:rPr>
            </w:pPr>
            <w:r w:rsidRPr="008A6153">
              <w:rPr>
                <w:rFonts w:ascii="Times New Roman" w:eastAsia="Times New Roman" w:hAnsi="Times New Roman" w:cs="Times New Roman"/>
                <w:color w:val="000000"/>
                <w:lang w:eastAsia="en-GB"/>
              </w:rPr>
              <w:t>Access to agricultural and grazing lands</w:t>
            </w:r>
          </w:p>
        </w:tc>
        <w:tc>
          <w:tcPr>
            <w:tcW w:w="1350" w:type="dxa"/>
            <w:tcBorders>
              <w:top w:val="nil"/>
              <w:left w:val="nil"/>
              <w:bottom w:val="nil"/>
              <w:right w:val="nil"/>
            </w:tcBorders>
            <w:shd w:val="clear" w:color="000000" w:fill="FFFFFF"/>
            <w:noWrap/>
          </w:tcPr>
          <w:p w14:paraId="57AFB91F" w14:textId="65EB37CB" w:rsidR="00663667" w:rsidRPr="008A6153" w:rsidRDefault="00663667" w:rsidP="00663667">
            <w:pPr>
              <w:spacing w:after="0" w:line="360" w:lineRule="auto"/>
              <w:rPr>
                <w:rFonts w:ascii="Times New Roman" w:eastAsia="Times New Roman" w:hAnsi="Times New Roman" w:cs="Times New Roman"/>
                <w:color w:val="000000"/>
                <w:lang w:eastAsia="en-GB"/>
              </w:rPr>
            </w:pPr>
            <w:r w:rsidRPr="008A6153">
              <w:rPr>
                <w:rFonts w:ascii="Times New Roman" w:eastAsia="Times New Roman" w:hAnsi="Times New Roman" w:cs="Times New Roman"/>
                <w:color w:val="000000"/>
                <w:lang w:eastAsia="en-GB"/>
              </w:rPr>
              <w:t>6</w:t>
            </w:r>
          </w:p>
        </w:tc>
        <w:tc>
          <w:tcPr>
            <w:tcW w:w="5274" w:type="dxa"/>
            <w:tcBorders>
              <w:left w:val="nil"/>
              <w:right w:val="nil"/>
            </w:tcBorders>
            <w:shd w:val="clear" w:color="000000" w:fill="FFFFFF"/>
          </w:tcPr>
          <w:p w14:paraId="0B5DB108" w14:textId="6875FD58" w:rsidR="00663667" w:rsidRPr="008A6153" w:rsidRDefault="00E75E02" w:rsidP="00663667">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fldChar w:fldCharType="begin"/>
            </w:r>
            <w:r w:rsidRPr="008A6153">
              <w:rPr>
                <w:rFonts w:ascii="Times New Roman" w:eastAsia="Times New Roman" w:hAnsi="Times New Roman" w:cs="Times New Roman"/>
                <w:color w:val="000000"/>
                <w:lang w:eastAsia="en-GB"/>
              </w:rPr>
              <w:instrText xml:space="preserve"> ADDIN ZOTERO_ITEM CSL_CITATION {"citationID":"X1gL2r61","properties":{"formattedCitation":"(Gugissa et al. 2022; Mugandani et al. 2022; Soltani and Mellah 2023; Bhowmik et al. 2023; Herrera and Kopainsky 2023; Gemeda et al. 2023)","plainCitation":"(Gugissa et al. 2022; Mugandani et al. 2022; Soltani and Mellah 2023; Bhowmik et al. 2023; Herrera and Kopainsky 2023; Gemeda et al. 2023)","noteIndex":0},"citationItems":[{"id":3347,"uris":["http://zotero.org/users/7734624/items/HYTQRHCW"],"itemData":{"id":3347,"type":"article-journal","abstract":"Building climate-resili</w:instrText>
            </w:r>
            <w:r>
              <w:rPr>
                <w:rFonts w:ascii="Times New Roman" w:eastAsia="Times New Roman" w:hAnsi="Times New Roman" w:cs="Times New Roman"/>
                <w:color w:val="000000"/>
                <w:lang w:eastAsia="en-GB"/>
              </w:rPr>
              <w:instrText xml:space="preserve">ent farming systems is important to promote the sustainability of agriculture at the global level. Scaling-up agroecological approaches in main staple crops, such as maize, is particularly important in enhancing the climate resilience of millions of smallholder farmers in developing countries. In this regard, push–pull technology (PPT) is an ecological approach to a farming system that aims to improve the climate resilience of maize producers in a smallholder mixed farming system. PPT is primarily designed to control pests and weeds in an ecofriendly approach, to improve soil fertility, to improve livestock feed, and to increase farmers’ incomes. In this study, we compared the level of climate resilience between PPT maize farming systems and non-PPT maize farming systems in southern Ethiopia. Using the Food and Agriculture Organization of the United Nations (FAO) Self-Evaluation and Holistic Assessment of Climate Resilience of Farmers and Pastoralists (SHARP), we measured 13 agroecosystem indicators of climate resilience and compared the degree to which the two farming systems differ in their level of resilience to climate change. The results indicate that PPT farming systems are more climate-resilient than their non-PPT counterparts. PPT maize farming systems had a significant impact on 8 out of the 13 agroecosystem indicators of climate resilience. To harness the full benefits of PPT, governmental extension agents, NGOs, and agricultural researchers should promote PPT-based maize farming systems. The promotion of PPT needs concerted efforts and strong national coordination in solving PPT implementation barriers, such as improving access to input and output markets and animal health services.","container-title":"Sustainability","DOI":"10.3390/su14052648","ISSN":"2071-1050","issue":"5","journalAbbreviation":"Sustainability","language":"en","license":"https://creativecommons.org/licenses/by/4.0/","page":"2648","source":"DOI.org (Crossref)","title":"Achieving a Climate-Change Resilient Farming System through Push–Pull Technology: Evidence from Maize Farming Systems in Ethiopia","title-short":"Achieving a Climate-Change Resilient Farming System through Push–Pull Technology","volume":"14","author":[{"family":"Gugissa","given":"Desalegn A."},{"family":"Abro","given":"Zewdu"},{"family":"Tefera","given":"Tadele"}],"issued":{"date-parts":[["2022",2,24]]},"citation-key":"gugissa_etal_2022"}},{"id":3335,"uris":["http://zotero.org/users/7734624/items/77NJ6K3P"],"itemData":{"id":3335,"type":"article-journal","abstract":"The assessment of the vulnerability to drought hazards in smallholder farming systems dependent on rain-fed agriculture has recently gained global popularity, given the need to identify and prioritize climate hotspots for climate adaptation. Over the past decade, numerous studies have focused on vulnerability assessments with respect to drought and other meteorological hazards. Nonetheless, less research has focused on applying common measurement frameworks to compare vulnerability in different communities and the sources of such vulnerability. Yet, the crucial question remains: who is more vulnerable and what contributes to this vulnerability? This article is a case study for assessing the vulnerability to drought of smallholder farmers in two wards in Chivi district, Masvingo Province, Zimbabwe. This study is timely, as climate change is increasingly affecting populations dependent on rainfed agriculture. This assessment has been conducted by calculating the Livelihood Vulnerability Index (LVI) and Livelihood Vulnerability Index of the Intergovernmental Panel on Climate Change (LVI-IPCC). This empirical study used data from 258 households from the two wards and triangulated it through Key Informant Interviews and Focus Group Discussions. To calculate the LVI, twenty-six subcomponents made up of seven major components, including socio-demographic variables; livelihood strategies; social capital; access to food, health, and water; and exposure to drought, were considered. To calculate the LVI-IPCC, we combined the three contributing factors of vulnerability (exposure, sensitivity, and adaptive capacity). Our results indicate that the LVI forward 14 is statistically higher than for ward 19 (F = 21.960; p ≤ 0.01) due to high exposure to drought, food insecurity, and compromised social networks. Concerning the LVI-IPCC, ward 14 was significantly more vulnerable to the impacts of drought than ward 19 (F = 7.718; p ≤ 0.01). Thus, reducing exposure to drought through early warning systems, building diversified agricultural systems, and social networks are of high priority to reduce the vulnerability of the farmers.","container-title":"Climate","DOI":"10.3390/cli10120189","ISSN":"2225-1154","issue":"12","journalAbbreviation":"Climate","language":"en","license":"https://creativecommons.org/licenses/by/4.0/","page":"189","source":"DOI.org (Crossref)","title":"Mapping and Managing Livelihoods Vulnerability to Drought: A Case Study of Chivi District in Zimbabwe","title-short":"Mapping and Managing Livelihoods Vulnerability to Drought","volume":"10","author":[{"family":"Mugandani","given":"Raymond"},{"family":"Muziri","given":"Tavagwisa"},{"family":"Murewi","given":"Cyril Tapiwa Farai"},{"family":"Mugadza","given":"Amanda"},{"family":"Chitata","given":"Tavengwa"},{"family":"Sungirai","given":"Marvelous"},{"family":"Zirebwa","given":"Farai Solomon"},{"family":"Manhondo","given":"Petronella"},{"family":"Mupfiga","given":"Elvis Tawanda"},{"family":"Nyamutowa","given":"Charles"},{"family":"Mudereri","given":"Bester Tawona"},{"family":"Mugari","given":"Zvenyika Eckson"},{"family":"Mwadzingeni","given":"Liboster"},{"family":"Mafongoya","given":"Paramu"}],"issued":{"date-parts":[["2022",11,29]]},"citation-key":"mugandani_etal_2022"}},{"id":3343,"uris":["http://zotero.org/users/7734624/items/JDJQPVNK"],"itemData":{"id":3343,"type":"article-journal","container-title":"Environmental Management","DOI":"10.1007/s00267-022-01604-z","ISSN":"0364-152X, 1432-1009","issue":"1","journalAbbreviation":"Environmental Management","language":"en","page":"74-86","source":"DOI.org (Crossref)","title":"Exploring farmers’ adaptation strategies to water shortage under climate change in the Tunisian semi-arid region","volume":"71","author":[{"family":"Soltani","given":"Lamia"},{"family":"Mellah","given":"Thuraya"}],"issued":{"date-parts":[["2023",1]]},"citation-key":"soltani_mellah_2023"}},{"id":3305,"uris":["http://zotero.org/users/7734624/items/S53XKB6R"],"itemData":{"id":3305,"type":"article-journal","container-title":"Heliyon","DOI":"10.1016/j.heliyon.2023.e13935","ISSN":"24058440","issue":"3","journalAbbreviation":"Heliyon","language":"en","page":"e13935","source":"DOI.org (Crossref)","title":"Salinity extrusion and resilience of coastal aquaculture to the climatic changes in the southwest region of Bangladesh","volume":"9","author":[{"family":"Bhowmik","given":"Balai Chandra"},{"family":"Rima","given":"Nazmun Naher"},{"family":"Gosh","given":"Kamal"},{"family":"Hossain","given":"Md Abul"},{"family":"Murray","given":"Francis J."},{"family":"Little","given":"David C."},{"family":"Mamun","given":"Abdullah-Al"}],"issued":{"date-parts":[["2023",3]]},"citation-key":"bhowmik_etal_2023"}},{"id":3324,"uris":["http://zotero.org/users/7734624/items/6ZY85VGI"],"itemData":{"id":3324,"type":"article-journal","container-title":"Journal of Simulation","DOI":"10.1080/17477778.2022.2083990","ISSN":"1747-7778, 1747-7786","issue":"5","journalAbbreviation":"Journal of Simulation","language":"en","page":"607-631","source":"DOI.org (Crossref)","title":"Using microworlds for policymaking in the context of resilient farming systems","volume":"17","author":[{"family":"Herrera","given":"Hugo"},{"family":"Kopainsky","given":"Birgit"}],"issued":{"date-parts":[["2023",9,3]]},"citation-key":"herrera_kopainsky_2023"}},{"id":3311,"uris":["http://zotero.org/users/7734624/items/JQMSVRNU"],"itemData":{"id":3311,"type":"article-journal","abstract":"This study assesses the perceptions and vulnerability of the farming communities to climate change in the southwestern parts of Ethiopia. Climate change vulnerability assessment is a prerequisite to designing climate change adaptation strategies. A multistage cluster sampling technique was used to select four of the six zones from the southwestern parts of Oromia. Close-ended and open-ended questionnaires were used to assess household perceptions of climate change and the degree of vulnerability to climate change by using five household capitals: natural, social, financial, physical, and human capital. Data were collected from 442 households in 4 districts: Jimma Arjo, Bako Tibe, Chewaka, and Sekoru. The vulnerability of the farming communities was assessed using the households’ livelihood vulnerability index. A total of forty indicators from five capitals were applied to calculate household livelihood vulnerability to climate change. Household perceptions of climate change had a statistically significant relationship with changes in rainfall pattern (75.6%, p &lt; 0.001), temperature pattern (69.7%, p &lt; 0.001), drought (41.6%, p = 0.016), flood (44.1%, p = </w:instrText>
            </w:r>
            <w:r w:rsidRPr="008A6153">
              <w:rPr>
                <w:rFonts w:ascii="Times New Roman" w:eastAsia="Times New Roman" w:hAnsi="Times New Roman" w:cs="Times New Roman"/>
                <w:color w:val="000000"/>
                <w:lang w:eastAsia="en-GB"/>
              </w:rPr>
              <w:instrText xml:space="preserve">0.000), and occurrence of early (53.2%, p &lt; 0.001) and late rain (55.9%, p &lt; 0.001). The results show that households in the Sekoru district were the most vulnerable (0.61), while households in the Jimma Arjo district were less vulnerable (0.47) to the effect of climate change. Household vulnerability to climate change is mainly related to the occurrence of drought, lack of much-needed infrastructure facilities, and weak institutional support. Links with financial organizations are also lacking in the household. The findings of this study will help policymakers to address the impact of climate change. To support disaster risk management on the one hand and increase the resilience of vulnerable societies to climate change on the other, we recommend a detailed assessment of the remaining districts of the region.","container-title":"Climate","DOI":"10.3390/cli11090183","ISSN":"2225-1154","issue":"9","journalAbbreviation":"Climate","language":"en","license":"https://creativecommons.org/licenses/by/4.0/","page":"183","source":"DOI.org (Crossref)","title":"Climate Change Perception and Vulnerability Assessment of the Farming Communities in the Southwest Parts of Ethiopia","volume":"11","author":[{"family":"Gemeda","given":"Dessalegn Obsi"},{"family":"Korecha","given":"Diriba"},{"family":"Garedew","given":"Weyessa"}],"issued":{"date-parts":[["2023",9,5]]},"citation-key":"gemeda_etal_2023"}}],"schema":"https://github.com/citation-style-language/schema/raw/master/csl-citation.json"} </w:instrText>
            </w:r>
            <w:r>
              <w:rPr>
                <w:rFonts w:ascii="Times New Roman" w:eastAsia="Times New Roman" w:hAnsi="Times New Roman" w:cs="Times New Roman"/>
                <w:color w:val="000000"/>
                <w:lang w:eastAsia="en-GB"/>
              </w:rPr>
              <w:fldChar w:fldCharType="separate"/>
            </w:r>
            <w:r w:rsidRPr="008A6153">
              <w:rPr>
                <w:rFonts w:ascii="Times New Roman" w:hAnsi="Times New Roman" w:cs="Times New Roman"/>
              </w:rPr>
              <w:t>(Gugissa et al. 2022; Mugandani et al. 2022; Soltani and Mellah 2023; Bhowmik et al. 2023; Herrera and Kopainsky 2023; Gemeda et al. 2023)</w:t>
            </w:r>
            <w:r>
              <w:rPr>
                <w:rFonts w:ascii="Times New Roman" w:eastAsia="Times New Roman" w:hAnsi="Times New Roman" w:cs="Times New Roman"/>
                <w:color w:val="000000"/>
                <w:lang w:eastAsia="en-GB"/>
              </w:rPr>
              <w:fldChar w:fldCharType="end"/>
            </w:r>
          </w:p>
        </w:tc>
      </w:tr>
      <w:tr w:rsidR="00663667" w:rsidRPr="00AF6801" w14:paraId="1709D186" w14:textId="77777777" w:rsidTr="00406364">
        <w:trPr>
          <w:trHeight w:val="288"/>
        </w:trPr>
        <w:tc>
          <w:tcPr>
            <w:tcW w:w="0" w:type="auto"/>
            <w:tcBorders>
              <w:top w:val="nil"/>
              <w:left w:val="nil"/>
              <w:bottom w:val="nil"/>
              <w:right w:val="nil"/>
            </w:tcBorders>
            <w:shd w:val="clear" w:color="000000" w:fill="FFFFFF"/>
          </w:tcPr>
          <w:p w14:paraId="0EC6F61B" w14:textId="77777777" w:rsidR="00663667" w:rsidRPr="008A6153" w:rsidRDefault="00663667" w:rsidP="00663667">
            <w:pPr>
              <w:spacing w:after="0" w:line="360" w:lineRule="auto"/>
              <w:rPr>
                <w:rFonts w:ascii="Times New Roman" w:eastAsia="Times New Roman" w:hAnsi="Times New Roman" w:cs="Times New Roman"/>
                <w:color w:val="000000"/>
                <w:lang w:eastAsia="en-GB"/>
              </w:rPr>
            </w:pPr>
          </w:p>
        </w:tc>
        <w:tc>
          <w:tcPr>
            <w:tcW w:w="1848" w:type="dxa"/>
            <w:tcBorders>
              <w:top w:val="nil"/>
              <w:left w:val="nil"/>
              <w:bottom w:val="nil"/>
              <w:right w:val="nil"/>
            </w:tcBorders>
            <w:shd w:val="clear" w:color="000000" w:fill="FFFFFF"/>
            <w:noWrap/>
          </w:tcPr>
          <w:p w14:paraId="01DC1B0A" w14:textId="77777777" w:rsidR="00663667" w:rsidRPr="008A6153" w:rsidRDefault="00663667" w:rsidP="00663667">
            <w:pPr>
              <w:spacing w:after="0" w:line="360" w:lineRule="auto"/>
              <w:rPr>
                <w:rFonts w:ascii="Times New Roman" w:eastAsia="Times New Roman" w:hAnsi="Times New Roman" w:cs="Times New Roman"/>
                <w:color w:val="000000"/>
                <w:lang w:eastAsia="en-GB"/>
              </w:rPr>
            </w:pPr>
          </w:p>
        </w:tc>
        <w:tc>
          <w:tcPr>
            <w:tcW w:w="5310" w:type="dxa"/>
            <w:tcBorders>
              <w:top w:val="nil"/>
              <w:left w:val="nil"/>
              <w:bottom w:val="nil"/>
              <w:right w:val="nil"/>
            </w:tcBorders>
            <w:shd w:val="clear" w:color="000000" w:fill="FFFFFF"/>
            <w:noWrap/>
          </w:tcPr>
          <w:p w14:paraId="74060F11" w14:textId="3F762571" w:rsidR="00663667" w:rsidRPr="008A6153" w:rsidRDefault="00663667" w:rsidP="00663667">
            <w:pPr>
              <w:spacing w:after="0" w:line="360" w:lineRule="auto"/>
              <w:rPr>
                <w:rFonts w:ascii="Times New Roman" w:eastAsia="Times New Roman" w:hAnsi="Times New Roman" w:cs="Times New Roman"/>
                <w:color w:val="000000"/>
                <w:lang w:eastAsia="en-GB"/>
              </w:rPr>
            </w:pPr>
            <w:r w:rsidRPr="008A6153">
              <w:rPr>
                <w:rFonts w:ascii="Times New Roman" w:eastAsia="Times New Roman" w:hAnsi="Times New Roman" w:cs="Times New Roman"/>
                <w:color w:val="000000"/>
                <w:lang w:eastAsia="en-GB"/>
              </w:rPr>
              <w:t>Access to public and private development</w:t>
            </w:r>
          </w:p>
        </w:tc>
        <w:tc>
          <w:tcPr>
            <w:tcW w:w="1350" w:type="dxa"/>
            <w:tcBorders>
              <w:top w:val="nil"/>
              <w:left w:val="nil"/>
              <w:bottom w:val="nil"/>
              <w:right w:val="nil"/>
            </w:tcBorders>
            <w:shd w:val="clear" w:color="000000" w:fill="FFFFFF"/>
            <w:noWrap/>
          </w:tcPr>
          <w:p w14:paraId="277D0779" w14:textId="0562BA32" w:rsidR="00663667" w:rsidRPr="008A6153" w:rsidRDefault="00663667" w:rsidP="00663667">
            <w:pPr>
              <w:spacing w:after="0" w:line="360" w:lineRule="auto"/>
              <w:rPr>
                <w:rFonts w:ascii="Times New Roman" w:eastAsia="Times New Roman" w:hAnsi="Times New Roman" w:cs="Times New Roman"/>
                <w:color w:val="000000"/>
                <w:lang w:eastAsia="en-GB"/>
              </w:rPr>
            </w:pPr>
            <w:r w:rsidRPr="008A6153">
              <w:rPr>
                <w:rFonts w:ascii="Times New Roman" w:eastAsia="Times New Roman" w:hAnsi="Times New Roman" w:cs="Times New Roman"/>
                <w:color w:val="000000"/>
                <w:lang w:eastAsia="en-GB"/>
              </w:rPr>
              <w:t>6</w:t>
            </w:r>
          </w:p>
        </w:tc>
        <w:tc>
          <w:tcPr>
            <w:tcW w:w="5274" w:type="dxa"/>
            <w:tcBorders>
              <w:left w:val="nil"/>
              <w:right w:val="nil"/>
            </w:tcBorders>
            <w:shd w:val="clear" w:color="000000" w:fill="FFFFFF"/>
          </w:tcPr>
          <w:p w14:paraId="029486F3" w14:textId="41895577" w:rsidR="00663667" w:rsidRPr="00AF6801"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AB1EE8" w:rsidRPr="008A6153">
              <w:rPr>
                <w:rFonts w:ascii="Times New Roman" w:eastAsia="Times New Roman" w:hAnsi="Times New Roman" w:cs="Times New Roman"/>
                <w:color w:val="000000"/>
                <w:lang w:eastAsia="en-GB"/>
              </w:rPr>
              <w:instrText xml:space="preserve"> ADDIN ZOTERO_ITEM CSL_CITATION {"citationID":"QpxXTGbE","properties":{"formattedCitation":"(Homann-Kee Tui et al. 2021; Rai et al. 2022; Asrari et al. 2022; Mugandani et al. 2022; Abdollahzadeh et al. 2023; Kumar et al. 2024)","plainCitation":"(Homann-Kee Tui et al. 2021; Rai et al. 2022; Asrari et al. 2022; Mugandani et al. 2022; Abdollahzadeh et al. 2023; Kumar et al. 2024)","noteIndex":0},"citationItems":[{"id":1057,"uris":["http://zotero.org/users/7734624/items/GBHGFLYH"],"itemData":{"id":1057,"type":"article-journal","abstract":"De</w:instrText>
            </w:r>
            <w:r w:rsidR="00AB1EE8">
              <w:rPr>
                <w:rFonts w:ascii="Times New Roman" w:eastAsia="Times New Roman" w:hAnsi="Times New Roman" w:cs="Times New Roman"/>
                <w:color w:val="000000"/>
                <w:lang w:eastAsia="en-GB"/>
              </w:rPr>
              <w:instrText>cision makers need accurate information to address climate variability and change and accelerate transformation to sustainability. A stakeholder-driven, science-based multi-model approach has been developed and used by the Agricultural Model Intercomparison and Improvement Project (AgMIP) to generate actionable information for adaptation planning processes. For a range of mid-century climate projections—likely to be hotter, drier, and more variable—contrasting future socio-economic scenarios (Representative Agricultural Pathways, RAPs) were co-developed with stakeholders to portray a sustainable development scenario and a rapid economic growth pathway. The unique characteristic of this application is the integration of a multi-modeling approach with stakeholder engagement to co-develop scenarios and adaptation strategies. Distribution of outcomes were simulated with climate, crop, livestock, and economic impact assessment models for smallholder crop livestock farmers in a typical dryland agro-ecological zone in Zimbabwe, characterized by low and erratic rainfall and nutrient depleted soils. Results showed that in Nkayi District, Western Zimbabwe, climate change would threaten most of the farms, and, in particular, those with large cattle herds due to feed shortages. Adaptation strategies that showed the most promise included diversification using legume production, soil fertility improvement, and investment in conducive market environments. The switch to more legumes in the farming systems reduced the vulnerability of the very poor as well as the more resourced farmers. Overall, the sustainable development scenario consistently addressed institutional failures and motivated productivity-enhancing, environmentally sound technologies and inclusive development approaches. This yielded more favorable outcomes than investment in quick economic wins from commercializing agriculture.","container-title":"Climatic Change","DOI":"10.1007/s10584-021-03151-8","ISSN":"1573-1480","issue":"1","journalAbbreviation":"Climatic Change","language":"en","page":"10","source":"Springer Link","title":"Climate change impacts and adaptation for dryland farming systems in Zimbabwe: a stakeholder-driven integrated multi-model assessment","title-short":"Climate change impacts and adaptation for dryland farming systems in Zimbabwe","volume":"168","author":[{"family":"Homann-Kee Tui","given":"Sabine"},{"family":"Descheemaeker","given":"Katrien"},{"family":"Valdivia","given":"Roberto O."},{"family":"Masikati","given":"Patricia"},{"family":"Sisito","given":"Gevious"},{"family":"Moyo","given":"Elisha N."},{"family":"Crespo","given":"Olivier"},{"family":"Ruane","given":"Alex C."},{"family":"Rosenzweig","given":"Cynthia"}],"issued":{"date-parts":[["2021",9,25]]},"citation-key":"homann-keetui_etal_2021"}},{"id":3341,"uris":["http://zotero.org/users/7734624/items/XPPADBAG"],"itemData":{"id":3341,"type":"article-journal","abstract":"Potato (Solanum tuberosum) is an indispensable commodity, mainly cultivated by high-altitude mountain households, that sustains and supports the livelihood of an overwhelming 51% of the Bhutanese population. The popularity of potato cultivation among Bhutanese farmers can be attributed to the crop’s adaptability to a wide range of agroclimatic conditions such as a rainfed crop, high productivity, an assured market, and a reliable source of income for the farming families. We hypothesize that the changing climate would make the livelihood associated with potato cultivation in Bhutan more vulnerable. We tested this hypothesis to identify the sources of vulnerability of smallholder farming households using the Livelihood Vulnerability Index (LVI) and LVI-IPCC (Intergovernmental Panel on Climate Change) approaches in six potato growing districts of Bhutan: Bumthang, Chukha, Gasa, Mongar, Tashigang, and Wangdue. Primary data were generated through a semi structured sample survey of 240 households on the seven major livelihood components of sociodemographic profiles, livelihood strategies, social networks, health, food, water, natural disasters, and climate variability. The results showed that the LVI (range 0.302 to 0.375) and LVI-IPCC (range −0.005 to 0.030) differed significantly (p &lt; 0.001) across the districts. The districts of Tashigang and Mongar were less vulnerable than the other four districts by the LVI approach, whereas Bumthang was also revealed to be less vulnerable using the LVI-IPCC approach. The degree of vulnerability in a district differed according to their level of exposure and adaptive capacity to the climate change impacts of the potato farming household. The results are expected to serve as empirical evidence for designing a future course of actions to mitigate the negative impacts.","container-title":"Sustainability","DOI":"10.3390/su14042339","ISSN":"2071-1050","issue":"4","journalAbbreviation":"Sustainability","language":"en","license":"https://creativecommons.org/licenses/by/4.0/","page":"2339","source":"DOI.org (Crossref)","title":"Empirical Evidence of the Livelihood Vulnerability to Climate Change Impacts: A Case of Potato-Based Mountain Farming Systems in Bhutan","title-short":"Empirical Evidence of the Livelihood Vulnerability to Climate Change Impacts","volume":"14","author":[{"family":"Rai","given":"Pradeep"},{"family":"Bajgai","given":"Yadunath"},{"family":"Rabgyal","given":"Jimba"},{"family":"Katwal","given":"Tirtha Bdr"},{"family":"Delmond","given":"Anthony Ryan"}],"issued":{"date-parts":[["2022",2,18]]},"citation-key":"rai_etal_2022"}},{"id":3385,"uris":["http://zotero.org/users/7734624/items/DD4RVZRY"],"itemData":{"id":3385,"type":"article-journal","container-title":"Journal of Environmental Studies and Sciences","DOI":"10.1007/s13412-022-00763-z","ISSN":"2190-6483, 2190-6491","issue":"3","journalAbbreviation":"J Environ Stud Sci","language":"en","page":"547-565","source":"DOI.org (Crossref)","title":"Modeling resilience behavior against climate change with food security approach","volume":"12","author":[{"family":"Asrari","given":"Amirreza"},{"family":"Omidi Najafabadi","given":"Maryam"},{"family":"Farajollah Hosseini","given":"Jamal"}],"issued":{"date-parts":[["2022",9]]},"citation-key":"asrari_etal_2022"}},{"id":3335,"uris":["http://zotero.org/users/7734624/items/77NJ6K3P"],"itemData":{"id":3335,"type":"article-journal","abstract":"The assessment of the vulnerability to drought hazards in smallholder farming systems dependent on rain-fed agriculture has recently gained global popularity, given the need to identify and prioritize climate hotspots for climate adaptation. Over the past decade, numerous studies have focused on vulnerability assessments with respect to drought and other meteorological hazards. Nonetheless, less research has focused on applying common measurement frameworks to compare vulnerability in different communities and the sources of such vulnerability. Yet, the crucial question remains: who is more vulnerable and what contributes to this vulnerability? This article is a case study for assessing the vulnerability to drought of smallholder farmers in two wards in Chivi district, Masvingo Province, Zimbabwe. This study is timely, as climate change is increasingly affecting populations dependent on rainfed agriculture. This assessment has been conducted by calculating the Livelihood Vulnerability Index (LVI) and Livelihood Vulnerability Index of the Intergovernmental Panel on Climate Change (LVI-IPCC). This empirical study used data from 258 households from the two wards and triangulated it through Key Informant Interviews and Focus Group Discussions. To calculate the LVI, twenty-six subcomponents made up of seven major components, including socio-demographic variables; livelihood strategies; social capital; access to food, health, and water; and exposure to drought, were considered. To calculate the LVI-IPCC, we combined the three contributing factors of vulnerability (exposure, sensitivity, and adaptive capacity). Our results indicate that the LVI forward 14 is statistically higher than for ward 19 (F = 21.960; p ≤ 0.01) due to high exposure to drought, food insecurity, and compromised social networks. Concerning the LVI-IPCC, ward 14 was significantly more vulnerable to the impacts of drought than ward 19 (F = 7.718; p ≤ 0.01). Thus, reducing exposure to drought through early warning systems, building diversified agricultural systems, and social networks are of high priority to reduce the vulnerability of the farmers.","container-title":"Climate","DOI":"10.3390/cli10120189","ISSN":"2225-1154","issue":"12","journalAbbreviation":"Climate","language":"en","license":"https://creativecommons.org/licenses/by/4.0/","page":"189","source":"DOI.org (Crossref)","title":"Mapping and Managing Livelihoods Vulnerability to Drought: A Case Study of Chivi District in Zimbabwe","title-short":"Mapping and Managing Livelihoods Vulnerability to Drought","volume":"10","author":[{"family":"Mugandani","given":"Raymond"},{"family":"Muziri","given":"Tavagwisa"},{"family":"Murewi","given":"Cyril Tapiwa Farai"},{"family":"Mugadza","given":"Amanda"},{"family":"Chitata","given":"Tavengwa"},{"family":"Sungirai","given":"Marvelous"},{"family":"Zirebwa","given":"Farai Solomon"},{"family":"Manhondo","given":"Petronella"},{"family":"Mupfiga","given":"Elvis Tawanda"},{"family":"Nyamutowa","given":"Charles"},{"family":"Mudereri","given":"Bester Tawona"},{"family":"Mugari","given":"Zvenyika Eckson"},{"family":"Mwadzingeni","given":"Liboster"},{"family":"Mafongoya","given":"Paramu"}],"issued":{"date-parts":[["2022",11,29]]},"citation-key":"mugandani_etal_2022"}},{"id":3346,"uris":["http://zotero.org/users/7734624/items/89PSQCE6"],"itemData":{"id":3346,"type":"ar</w:instrText>
            </w:r>
            <w:r w:rsidR="00AB1EE8" w:rsidRPr="00AF6801">
              <w:rPr>
                <w:rFonts w:ascii="Times New Roman" w:eastAsia="Times New Roman" w:hAnsi="Times New Roman" w:cs="Times New Roman"/>
                <w:color w:val="000000"/>
                <w:lang w:val="fr-FR" w:eastAsia="en-GB"/>
              </w:rPr>
              <w:instrText xml:space="preserve">ticle-journal","container-title":"Agricultural Systems","DOI":"10.1016/j.agsy.2022.103537","ISSN":"0308521X","journalAbbreviation":"Agricultural Systems","language":"en","page":"103537","source":"DOI.org (Crossref)","title":"Adaptive capacity of farming systems to climate change in Iran: Application of composite index approach","title-short":"Adaptive capacity of farming systems to climate change in Iran","volume":"204","author":[{"family":"Abdollahzadeh","given":"Gholamhossein"},{"family":"Sharifzadeh","given":"Mohammad Sharif"},{"family":"Sklenička","given":"Petr"},{"family":"Azadi","given":"Hossein"}],"issued":{"date-parts":[["2023",1]]},"citation-key":"abdollahzadeh_etal_2023"}},{"id":3310,"uris":["http://zotero.org/users/7734624/items/UKZILLQ9"],"itemData":{"id":3310,"type":"article-journal","container-title":"Mitigation and Adaptation Strategies for Global Change","DOI":"10.1007/s11027-023-10097-y","ISSN":"1381-2386, 1573-1596","issue":"1","journalAbbreviation":"Mitig Adapt Strateg Glob Change","language":"en","page":"7","source":"DOI.org (Crossref)","title":"Differentiated socio-ecological system approach for vulnerability and adaptation assessment in the Central Himalaya","volume":"29","author":[{"family":"Kumar","given":"Praveen"},{"family":"Fürst","given":"Christine"},{"family":"Joshi","given":"P. K."}],"issued":{"date-parts":[["2024",1]]},"citation-key":"kumar_etal_2024"}}],"schema":"https://github.com/citation-style-language/schema/raw/master/csl-citation.json"}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AB1EE8" w:rsidRPr="00AF6801">
              <w:rPr>
                <w:rFonts w:ascii="Times New Roman" w:hAnsi="Times New Roman" w:cs="Times New Roman"/>
                <w:lang w:val="fr-FR"/>
              </w:rPr>
              <w:t>(Homann-Kee Tui et al. 2021; Rai et al. 2022; Asrari et al. 2022; Mugandani et al. 2022; Abdollahzadeh et al. 2023; Kumar et al. 2024)</w:t>
            </w:r>
            <w:r w:rsidRPr="00FF4B56">
              <w:rPr>
                <w:rFonts w:ascii="Times New Roman" w:eastAsia="Times New Roman" w:hAnsi="Times New Roman" w:cs="Times New Roman"/>
                <w:color w:val="000000"/>
                <w:lang w:eastAsia="en-GB"/>
              </w:rPr>
              <w:fldChar w:fldCharType="end"/>
            </w:r>
          </w:p>
        </w:tc>
      </w:tr>
      <w:tr w:rsidR="00663667" w:rsidRPr="008A6153" w14:paraId="5180E99A" w14:textId="28CB7ECD" w:rsidTr="00406364">
        <w:trPr>
          <w:trHeight w:val="288"/>
        </w:trPr>
        <w:tc>
          <w:tcPr>
            <w:tcW w:w="0" w:type="auto"/>
            <w:tcBorders>
              <w:top w:val="nil"/>
              <w:left w:val="nil"/>
              <w:bottom w:val="nil"/>
              <w:right w:val="nil"/>
            </w:tcBorders>
            <w:shd w:val="clear" w:color="000000" w:fill="FFFFFF"/>
          </w:tcPr>
          <w:p w14:paraId="58F1C6B4" w14:textId="77777777" w:rsidR="00663667" w:rsidRPr="00AF6801"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hideMark/>
          </w:tcPr>
          <w:p w14:paraId="25ED9BD9" w14:textId="0357C373" w:rsidR="00663667" w:rsidRPr="00AF6801" w:rsidRDefault="00663667" w:rsidP="00663667">
            <w:pPr>
              <w:spacing w:after="0" w:line="360" w:lineRule="auto"/>
              <w:rPr>
                <w:rFonts w:ascii="Times New Roman" w:eastAsia="Times New Roman" w:hAnsi="Times New Roman" w:cs="Times New Roman"/>
                <w:color w:val="000000"/>
                <w:lang w:val="fr-FR" w:eastAsia="en-GB"/>
              </w:rPr>
            </w:pPr>
            <w:r w:rsidRPr="00AF6801">
              <w:rPr>
                <w:rFonts w:ascii="Times New Roman" w:eastAsia="Times New Roman" w:hAnsi="Times New Roman" w:cs="Times New Roman"/>
                <w:color w:val="000000"/>
                <w:lang w:val="fr-FR" w:eastAsia="en-GB"/>
              </w:rPr>
              <w:t> </w:t>
            </w:r>
          </w:p>
        </w:tc>
        <w:tc>
          <w:tcPr>
            <w:tcW w:w="5310" w:type="dxa"/>
            <w:tcBorders>
              <w:top w:val="nil"/>
              <w:left w:val="nil"/>
              <w:bottom w:val="nil"/>
              <w:right w:val="nil"/>
            </w:tcBorders>
            <w:shd w:val="clear" w:color="000000" w:fill="FFFFFF"/>
            <w:noWrap/>
            <w:hideMark/>
          </w:tcPr>
          <w:p w14:paraId="2780A4FB" w14:textId="1FFE7A37" w:rsidR="00663667" w:rsidRPr="00AF6801" w:rsidRDefault="00663667" w:rsidP="00663667">
            <w:pPr>
              <w:spacing w:after="0" w:line="360" w:lineRule="auto"/>
              <w:rPr>
                <w:rFonts w:ascii="Times New Roman" w:eastAsia="Times New Roman" w:hAnsi="Times New Roman" w:cs="Times New Roman"/>
                <w:color w:val="000000"/>
                <w:lang w:val="fr-FR" w:eastAsia="en-GB"/>
              </w:rPr>
            </w:pPr>
            <w:proofErr w:type="spellStart"/>
            <w:r w:rsidRPr="00AF6801">
              <w:rPr>
                <w:rFonts w:ascii="Times New Roman" w:eastAsia="Times New Roman" w:hAnsi="Times New Roman" w:cs="Times New Roman"/>
                <w:color w:val="000000"/>
                <w:lang w:val="fr-FR" w:eastAsia="en-GB"/>
              </w:rPr>
              <w:t>Amount</w:t>
            </w:r>
            <w:proofErr w:type="spellEnd"/>
            <w:r w:rsidRPr="00AF6801">
              <w:rPr>
                <w:rFonts w:ascii="Times New Roman" w:eastAsia="Times New Roman" w:hAnsi="Times New Roman" w:cs="Times New Roman"/>
                <w:color w:val="000000"/>
                <w:lang w:val="fr-FR" w:eastAsia="en-GB"/>
              </w:rPr>
              <w:t xml:space="preserve"> of </w:t>
            </w:r>
            <w:proofErr w:type="spellStart"/>
            <w:r w:rsidRPr="00AF6801">
              <w:rPr>
                <w:rFonts w:ascii="Times New Roman" w:eastAsia="Times New Roman" w:hAnsi="Times New Roman" w:cs="Times New Roman"/>
                <w:color w:val="000000"/>
                <w:lang w:val="fr-FR" w:eastAsia="en-GB"/>
              </w:rPr>
              <w:t>mineral</w:t>
            </w:r>
            <w:proofErr w:type="spellEnd"/>
            <w:r w:rsidRPr="00AF6801">
              <w:rPr>
                <w:rFonts w:ascii="Times New Roman" w:eastAsia="Times New Roman" w:hAnsi="Times New Roman" w:cs="Times New Roman"/>
                <w:color w:val="000000"/>
                <w:lang w:val="fr-FR" w:eastAsia="en-GB"/>
              </w:rPr>
              <w:t xml:space="preserve"> herbicide</w:t>
            </w:r>
            <w:r w:rsidR="006D3733" w:rsidRPr="00AF6801">
              <w:rPr>
                <w:rFonts w:ascii="Times New Roman" w:eastAsia="Times New Roman" w:hAnsi="Times New Roman" w:cs="Times New Roman"/>
                <w:color w:val="000000"/>
                <w:lang w:val="fr-FR" w:eastAsia="en-GB"/>
              </w:rPr>
              <w:t xml:space="preserve"> / pesticide</w:t>
            </w:r>
          </w:p>
        </w:tc>
        <w:tc>
          <w:tcPr>
            <w:tcW w:w="1350" w:type="dxa"/>
            <w:tcBorders>
              <w:top w:val="nil"/>
              <w:left w:val="nil"/>
              <w:bottom w:val="nil"/>
              <w:right w:val="nil"/>
            </w:tcBorders>
            <w:shd w:val="clear" w:color="000000" w:fill="FFFFFF"/>
            <w:noWrap/>
            <w:hideMark/>
          </w:tcPr>
          <w:p w14:paraId="0D460029" w14:textId="3AD67AC8" w:rsidR="00663667" w:rsidRPr="00AF6801" w:rsidRDefault="00663667" w:rsidP="00663667">
            <w:pPr>
              <w:spacing w:after="0" w:line="360" w:lineRule="auto"/>
              <w:rPr>
                <w:rFonts w:ascii="Times New Roman" w:eastAsia="Times New Roman" w:hAnsi="Times New Roman" w:cs="Times New Roman"/>
                <w:color w:val="000000"/>
                <w:lang w:val="fr-FR" w:eastAsia="en-GB"/>
              </w:rPr>
            </w:pPr>
            <w:r w:rsidRPr="00AF6801">
              <w:rPr>
                <w:rFonts w:ascii="Times New Roman" w:eastAsia="Times New Roman" w:hAnsi="Times New Roman" w:cs="Times New Roman"/>
                <w:color w:val="000000"/>
                <w:lang w:val="fr-FR" w:eastAsia="en-GB"/>
              </w:rPr>
              <w:t>6</w:t>
            </w:r>
          </w:p>
        </w:tc>
        <w:tc>
          <w:tcPr>
            <w:tcW w:w="5274" w:type="dxa"/>
            <w:tcBorders>
              <w:left w:val="nil"/>
              <w:right w:val="nil"/>
            </w:tcBorders>
            <w:shd w:val="clear" w:color="000000" w:fill="FFFFFF"/>
          </w:tcPr>
          <w:p w14:paraId="21CC37F2" w14:textId="0879635C" w:rsidR="00663667" w:rsidRPr="008A6153"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fldChar w:fldCharType="begin"/>
            </w:r>
            <w:r w:rsidRPr="00AF6801">
              <w:rPr>
                <w:rFonts w:ascii="Times New Roman" w:eastAsia="Times New Roman" w:hAnsi="Times New Roman" w:cs="Times New Roman"/>
                <w:color w:val="000000"/>
                <w:lang w:val="fr-FR" w:eastAsia="en-GB"/>
              </w:rPr>
              <w:instrText xml:space="preserve"> ADDIN ZOTERO_ITEM CSL_CITATION {"citationID":"G4KveZXy","properties":{"formattedCitation":"(Mutabazi et al. 2015; Ghahramani and Bowran 2018; Omerkhil et al. 2020; Monjardino et al. 2021)","plainCitation":"(Mutabazi et al. 2015; Ghahramani and Bowran 2018; Omerkhil et al. 2020; Monjardino et al. 2021)","noteIndex":0},"citationItems":[{"id":684,"uris":["http://zotero.org/users/7734624/items/IIGIISUT"],"itemData":{"id":684,"type":"article-journal","abstract":"Given the projected climatic changes, building resilient agricultural systems is of vital significance in protecting vulnerable agrarian communities in sub-Saharan Africa. Under this scenario, the article attempts to identify a set of resilience-building adaptive strategies (intensification, diversification, alteration, migration, etc.) among farmers in Morogoro, Tanzania, and crafts a composite index of these strategies using a principal component analysis-based weighting scheme. The analysis also reveals the latent structure and internal correlations of actions intended to build resilience of the farming systems. Subsequently, the linkages of livelihood resources (natural, human, social and financial capitals) to the resilience-building strategies are examined. A multiple regression analysis is employed to link the composite index to variab</w:instrText>
            </w:r>
            <w:r w:rsidRPr="00FF4B56">
              <w:rPr>
                <w:rFonts w:ascii="Times New Roman" w:eastAsia="Times New Roman" w:hAnsi="Times New Roman" w:cs="Times New Roman"/>
                <w:color w:val="000000"/>
                <w:lang w:eastAsia="en-GB"/>
              </w:rPr>
              <w:instrText xml:space="preserve">les representing the four capitals. The results bring quantitative evidence to the linkages and highlight the need of enhancing livelihood resources to enhance the ability to undertake adaptive strategies that denotes the ability to withstand stresses and shocks from climatic changes. Actions to improve human capital (awareness campaigns on climate change impacts as well as possible adaptive strategies), social capital (strengthening social networks, improving tenure security), financial capital (increasing credit availability) and natural capital (measures to enhance agricultural potential, support for adaptive action in areas with low agricultural potential) are needed in order to impart resilience to the farming systems against the changing climate. © 2015, Springer-Verlag Berlin Heidelberg.","container-title":"Regional Environmental Change","DOI":"10.1007/s10113-015-0800-7","ISSN":"14363798","issue":"7","language":"English","note":"publisher: Springer Verlag","page":"1259-1268","title":"Influence of livelihood resources on adaptive strategies to enhance climatic resilience of farm households in Morogoro, Tanzania: an indicator-based analysis","volume":"15","author":[{"family":"Mutabazi","given":"K.D."},{"family":"Amjath-Babu","given":"T.S."},{"family":"Sieber","given":"S."}],"issued":{"date-parts":[["2015"]]},"citation-key":"mutabazi_etal_2015"}},{"id":688,"uris":["http://zotero.org/users/7734624/items/U6MX8V6V"],"itemData":{"id":688,"type":"article-journal","abstract":"Mixed crop-livestock farming systems provide food for more than half of the world's population. These agricultural systems are predicted to be vulnerable to climate change and therefore require transformative adaptations. In collaboration with farmers in the wheatbelt of Western Australia (WA), a range of systemic and transformative adaptation options, e.g. land use change, were designed for the modelled climate change projected to occur in 2030 (0.4-1.4 degrees increase in mean temperature). The effectiveness of the adaptation options was evaluated using coupled crop and livestock biophysical models within an economic and environmental framework at both the enterprise and farm scales. The relative changes in economic return and environmental variables in 2030 are presented in comparison with a baseline period (1970-2010). The analysis was performed on representative farm systems across a rainfall transect. Under the impact of projected climate change, the economic returns of the current farms without adaptation declined by between 2 and 47%, with a few exceptions where profit increased by up to 4%. When the adaptations were applied for 2030, profit increased at the high rainfall site in the range between 78 and 81% through a 25% increase in the size of livestock enterprise and adjustment in sowing dates, but such profit increases were associated with 6-10% increase in greenhouse gas (GHG) emissions. At the medium rainfall site, a 100% increase in stocking rate resulted in 5% growth in profit but with a 61-71% increase in GHG emissions and the increased likelihood of soil degradation. At the relatively low rainfall site, a 75% increase in livestock when associated with changes in crop management resulted in greater profitability and a smaller risk of soil erosion. This research identified that a shift toward a greater livestock enterprises (stocking rate and pasture area) could be a profitable and low-risk approach and may have most relevance in years with extremely low rainfall. If transformative adaptations are adopted then there will be an increased requirement for an emissions control policy due to livestock GHG emissions, while there would be also need for soil conservation strategies to be implemented during dry periods. The adoption rate analysis with producers suggests there would be a greater adoption rate for less intensified adaptations even if they are transformative. Overall the current systems would be more resilient with the adaptations, but there may be challenges in terms of environmental sustainability and in particular with soil conservation.","container-title":"Agricultural Systems","DOI":"10.1016/j.agsy.2018.04.011","ISSN":"0308-521X","page":"236–251","title":"Transformative and systemic climate change adaptations in mixed crop livestock farming systems UR -://WOS:000437075800020","title-short":"Transformative and systemic climate change adaptations in mixed crop livestock farming systems","volume":"164","author":[{"family":"Ghahramani","given":"A."},{"family":"Bowran","given":"D."}],"issued":{"date-parts":[["2018",7]]},"citation-key":"ghahramani_bowran_2018"}},{"id":884,"uris":["http://zotero.org/users/7734624/items/EW86LG9V"],"itemData":{"id":884,"type":"article-journal","abstract":"Smallholder farmers in Afghanistan are already facing various risks in agricultural production due to past continuous insurgencies. Climate change is likely to amplify the risk and make them even more vulnerable. The present study attempted to evaluate the vulnerability profiles of smallholder farmers due to climate change using the IPCC Framework. Primary data on relevant parameters for assessing climate change-led social vulnerability in the region were collected by classifying study region into two zones: the plain and the hills of Yangi Qala District in Takhar province, Afghanistan. Thirteen villages from each zone were selected at random, and face-to-face interviews were conducted with ten randomly selected households in each of the selected villages in both zones based on a pre-tested questionnaire. The questionnaire contained indicators for all three dimensions of vulnerability: exposure, sensitivity and adaptive capacity. The collected data were subjected to a proposed vulnerability index, after estimating the indices of the three dimensions of vulnerability. The Iyenger and Sudershan weighting method was used to assess the contribution of each vulnerability dimension. Vulnerability was classified according to different categories based on beta distribution to evaluate the villages’ vulnerability status. The results showed that about 23% of all 26 sampled villages in both zones had low exposure, 26% moderate exposure and 51% high exposure to climate-change hazards and extreme weather events. High sensitivity was observed in 51%, moderate sensitivity in 7%, and low sensitivity in 42% of villages. High adaptive capacity to climate change was observed in 38% of villages, 19% were moderately adaptive and 42% showed a low adaptive capacity. High vulnerability was observed in 50% of villages, 4% were moderately vulnerable, and 46% had low vulnerability. A high proportion of smallholder farmers in the hilly zone in the sampled district were highly vulnerable, exposed and sensitive with a low adaptive capacity to climate change compared to the plain zone. The high vulnerability in the hilly zone was attributed to limited resources with a low adjustment capability to counter the disturbances, especially in crop cultivation, in response to climate change. A handful of low-cost and local approaches such as improving farmer extension services, introducing small-scale local infrastructure projects, reinforcing informal safety nets and protecting natural ecosystems could be viable cost-effective options that would also be sustainable given their low recurring costs and the limited maintenance required. © 2019 Elsevier Ltd","container-title":"Ecological Indicators","DOI":"10.1016/j.ecolind.2019.105863","ISSN":"1470160X","language":"English","note":"publisher: Elsevier B.V.","title":"Climate change vulnerability and adaptation strategies for smallholder farmers in Yangi Qala District, Takhar, Afghanistan","URL":"https://www.scopus.com/inward/record.uri?eid=2-s2.0-85074213101&amp;doi=10.1016%2fj.ecolind.2019.105863&amp;partnerID=40&amp;md5=f5d3dc5880670f5df717e2c3344acd81","volume":"110","author":[{"family":"Omerkhil","given":"N."},{"family":"Chand","given":"T."},{"family":"Valente","given":"D."},{"family":"Alatalo","given":"J.M."},{"family":"Pandey","given":"R."}],"issued":{"date-parts":[["2020"]]},"citation-key":"omerkhil_etal_2020"}},{"id":697,"uris":["http://zotero.org/users/7734624/items/IM6WSCSJ"],"itemData":{"id":697,"type":"article-journal","abstract":"Conservation Agriculture (CA) is promoted by research and development (R&amp;D) agencies to sustainably intensify agricultural systems with the goals of improving food security and livelihoods and adapting food systems to global climate change. Despite the many benefits of CA, there are few farmers around the world that have simultaneously implemented all facets of the strategy. In part, this reflects the challenges in applying, adapting, and understanding this complex and multi-dimensional agricultural innovation in the context of diverse farming systems. In this paper, we applied an integrated framework that combines bioeconomic simulation, risk analysis, adoption theory, and impact assessment to investigate how various combinations of CA components (no-tillage, soil cover, crop diversification, plus growing a new crop or variety) performed over a 10-year period in representative farms in a central Mexican case study. We found significant differences in profit, net value, downside risk, and risk-aversion cost between double-component scenarios (and improved CA to a lesser extent) and all other scenarios, which suggested </w:instrText>
            </w:r>
            <w:r w:rsidRPr="008A6153">
              <w:rPr>
                <w:rFonts w:ascii="Times New Roman" w:eastAsia="Times New Roman" w:hAnsi="Times New Roman" w:cs="Times New Roman"/>
                <w:color w:val="000000"/>
                <w:lang w:eastAsia="en-GB"/>
              </w:rPr>
              <w:instrText xml:space="preserve">that disaggregating CA into smaller component packages could increase farmer adoption in risky contexts. Our findings provided valuable insights on CA feasibility and could help establish policy and reporting metrics. The study highlighted the need for employing a range of research tools to understand the relative value of agricultural innovations and to identify and reduce trade-offs and uncertainty in farming systems. © 2021 by the authors. Licensee MDPI, Basel, Switzerland.","container-title":"Agronomy","DOI":"10.3390/agronomy11061214","ISSN":"20734395","issue":"6","language":"English","note":"publisher: MDPI AG","title":"Disaggregating the value of conservation agriculture to inform smallholder transition to sustainable farming: A mexican case study","URL":"https://www.scopus.com/inward/record.uri?eid=2-s2.0-85108835109&amp;doi=10.3390%2fagronomy11061214&amp;partnerID=40&amp;md5=05911882b0621e212e1959d79f5cb1f7","volume":"11","author":[{"family":"Monjardino","given":"M."},{"family":"Ridaura","given":"S.L."},{"family":"Van Loon","given":"J."},{"family":"Mottaleb","given":"K."},{"family":"Kruseman","given":"G."},{"family":"Zepeda","given":"A."},{"family":"Hernández","given":"E.O."},{"family":"Burgueño","given":"J."},{"family":"Singh","given":"R.G."},{"family":"Govaerts","given":"B."},{"family":"Erenstein","given":"O."}],"issued":{"date-parts":[["2021"]]},"citation-key":"monjardino_etal_2021"}}],"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Pr="008A6153">
              <w:rPr>
                <w:rFonts w:ascii="Times New Roman" w:hAnsi="Times New Roman" w:cs="Times New Roman"/>
              </w:rPr>
              <w:t>(Mutabazi et al. 2015; Ghahramani and Bowran 2018; Omerkhil et al. 2020; Monjardino et al. 2021)</w:t>
            </w:r>
            <w:r w:rsidRPr="00FF4B56">
              <w:rPr>
                <w:rFonts w:ascii="Times New Roman" w:eastAsia="Times New Roman" w:hAnsi="Times New Roman" w:cs="Times New Roman"/>
                <w:color w:val="000000"/>
                <w:lang w:eastAsia="en-GB"/>
              </w:rPr>
              <w:fldChar w:fldCharType="end"/>
            </w:r>
          </w:p>
        </w:tc>
      </w:tr>
      <w:tr w:rsidR="00663667" w:rsidRPr="00AF6801" w14:paraId="042075AD" w14:textId="7C860CED" w:rsidTr="00663667">
        <w:trPr>
          <w:trHeight w:val="288"/>
        </w:trPr>
        <w:tc>
          <w:tcPr>
            <w:tcW w:w="0" w:type="auto"/>
            <w:tcBorders>
              <w:top w:val="nil"/>
              <w:left w:val="nil"/>
              <w:bottom w:val="nil"/>
              <w:right w:val="nil"/>
            </w:tcBorders>
            <w:shd w:val="clear" w:color="000000" w:fill="FFFFFF"/>
          </w:tcPr>
          <w:p w14:paraId="4BB3AD08" w14:textId="77777777" w:rsidR="00663667" w:rsidRPr="008A6153" w:rsidRDefault="00663667" w:rsidP="00663667">
            <w:pPr>
              <w:spacing w:after="0" w:line="360" w:lineRule="auto"/>
              <w:rPr>
                <w:rFonts w:ascii="Times New Roman" w:eastAsia="Times New Roman" w:hAnsi="Times New Roman" w:cs="Times New Roman"/>
                <w:color w:val="000000"/>
                <w:lang w:eastAsia="en-GB"/>
              </w:rPr>
            </w:pPr>
          </w:p>
        </w:tc>
        <w:tc>
          <w:tcPr>
            <w:tcW w:w="1848" w:type="dxa"/>
            <w:tcBorders>
              <w:top w:val="nil"/>
              <w:left w:val="nil"/>
              <w:bottom w:val="nil"/>
              <w:right w:val="nil"/>
            </w:tcBorders>
            <w:shd w:val="clear" w:color="000000" w:fill="FFFFFF"/>
            <w:noWrap/>
            <w:hideMark/>
          </w:tcPr>
          <w:p w14:paraId="2BFC2570" w14:textId="02B09794" w:rsidR="00663667" w:rsidRPr="008A6153" w:rsidRDefault="00663667" w:rsidP="00663667">
            <w:pPr>
              <w:spacing w:after="0" w:line="360" w:lineRule="auto"/>
              <w:rPr>
                <w:rFonts w:ascii="Times New Roman" w:eastAsia="Times New Roman" w:hAnsi="Times New Roman" w:cs="Times New Roman"/>
                <w:color w:val="000000"/>
                <w:lang w:eastAsia="en-GB"/>
              </w:rPr>
            </w:pPr>
            <w:r w:rsidRPr="008A6153">
              <w:rPr>
                <w:rFonts w:ascii="Times New Roman" w:eastAsia="Times New Roman" w:hAnsi="Times New Roman" w:cs="Times New Roman"/>
                <w:color w:val="000000"/>
                <w:lang w:eastAsia="en-GB"/>
              </w:rPr>
              <w:t> </w:t>
            </w:r>
          </w:p>
        </w:tc>
        <w:tc>
          <w:tcPr>
            <w:tcW w:w="5310" w:type="dxa"/>
            <w:tcBorders>
              <w:top w:val="nil"/>
              <w:left w:val="nil"/>
              <w:bottom w:val="nil"/>
              <w:right w:val="nil"/>
            </w:tcBorders>
            <w:shd w:val="clear" w:color="000000" w:fill="FFFFFF"/>
            <w:noWrap/>
          </w:tcPr>
          <w:p w14:paraId="0334FD0D" w14:textId="516A964D" w:rsidR="00663667" w:rsidRPr="008A6153" w:rsidRDefault="00663667" w:rsidP="00663667">
            <w:pPr>
              <w:spacing w:after="0" w:line="360" w:lineRule="auto"/>
              <w:rPr>
                <w:rFonts w:ascii="Times New Roman" w:eastAsia="Times New Roman" w:hAnsi="Times New Roman" w:cs="Times New Roman"/>
                <w:color w:val="000000"/>
                <w:lang w:eastAsia="en-GB"/>
              </w:rPr>
            </w:pPr>
            <w:r w:rsidRPr="008A6153">
              <w:rPr>
                <w:rFonts w:ascii="Times New Roman" w:eastAsia="Times New Roman" w:hAnsi="Times New Roman" w:cs="Times New Roman"/>
                <w:color w:val="000000"/>
                <w:lang w:eastAsia="en-GB"/>
              </w:rPr>
              <w:t>Access to water of quality</w:t>
            </w:r>
          </w:p>
        </w:tc>
        <w:tc>
          <w:tcPr>
            <w:tcW w:w="1350" w:type="dxa"/>
            <w:tcBorders>
              <w:top w:val="nil"/>
              <w:left w:val="nil"/>
              <w:bottom w:val="nil"/>
              <w:right w:val="nil"/>
            </w:tcBorders>
            <w:shd w:val="clear" w:color="000000" w:fill="FFFFFF"/>
            <w:noWrap/>
          </w:tcPr>
          <w:p w14:paraId="22DC9A84" w14:textId="0114DC92" w:rsidR="00663667" w:rsidRPr="008A6153" w:rsidRDefault="00663667" w:rsidP="00663667">
            <w:pPr>
              <w:spacing w:after="0" w:line="360" w:lineRule="auto"/>
              <w:rPr>
                <w:rFonts w:ascii="Times New Roman" w:eastAsia="Times New Roman" w:hAnsi="Times New Roman" w:cs="Times New Roman"/>
                <w:color w:val="000000"/>
                <w:lang w:eastAsia="en-GB"/>
              </w:rPr>
            </w:pPr>
            <w:r w:rsidRPr="008A6153">
              <w:rPr>
                <w:rFonts w:ascii="Times New Roman" w:eastAsia="Times New Roman" w:hAnsi="Times New Roman" w:cs="Times New Roman"/>
                <w:color w:val="000000"/>
                <w:lang w:eastAsia="en-GB"/>
              </w:rPr>
              <w:t>4</w:t>
            </w:r>
          </w:p>
        </w:tc>
        <w:tc>
          <w:tcPr>
            <w:tcW w:w="5274" w:type="dxa"/>
            <w:tcBorders>
              <w:left w:val="nil"/>
              <w:right w:val="nil"/>
            </w:tcBorders>
            <w:shd w:val="clear" w:color="000000" w:fill="FFFFFF"/>
          </w:tcPr>
          <w:p w14:paraId="3DAADA02" w14:textId="7DD08CE8" w:rsidR="00663667" w:rsidRPr="00AB1EE8" w:rsidRDefault="00AB1EE8" w:rsidP="00663667">
            <w:pPr>
              <w:spacing w:after="0" w:line="360" w:lineRule="auto"/>
              <w:rPr>
                <w:rFonts w:ascii="Times New Roman" w:eastAsia="Times New Roman" w:hAnsi="Times New Roman" w:cs="Times New Roman"/>
                <w:color w:val="000000"/>
                <w:lang w:val="fr-FR" w:eastAsia="en-GB"/>
              </w:rPr>
            </w:pPr>
            <w:r>
              <w:rPr>
                <w:rFonts w:ascii="Times New Roman" w:eastAsia="Times New Roman" w:hAnsi="Times New Roman" w:cs="Times New Roman"/>
                <w:color w:val="000000"/>
                <w:lang w:eastAsia="en-GB"/>
              </w:rPr>
              <w:fldChar w:fldCharType="begin"/>
            </w:r>
            <w:r w:rsidRPr="008A6153">
              <w:rPr>
                <w:rFonts w:ascii="Times New Roman" w:eastAsia="Times New Roman" w:hAnsi="Times New Roman" w:cs="Times New Roman"/>
                <w:color w:val="000000"/>
                <w:lang w:eastAsia="en-GB"/>
              </w:rPr>
              <w:instrText xml:space="preserve"> ADDIN ZOTERO_ITEM CSL_CITATION {"citationID":"tkT7z2UT","properties":{"formattedCitation":"(Mugandani et al. 2022; Gemeda et al. 2023; Postigo et al. 2024; Alotaibi et al. 2024)","plainCitation":"(Mugandani et al. 2022; Gemeda et al. 2023; Postigo et al. 2024; Alotaibi et al. 2024)","noteIndex":0},"citationItems":[{"id":3335,"uris":["http://zotero.org/users/7734624/items/77NJ6K3P"],"itemData":{"id":3335,"type":"article-journal","abstract":"The assessment of the vulnerability to drought hazards in smallholder farming systems dependent on rain-fed agriculture has recently gained global popula</w:instrText>
            </w:r>
            <w:r>
              <w:rPr>
                <w:rFonts w:ascii="Times New Roman" w:eastAsia="Times New Roman" w:hAnsi="Times New Roman" w:cs="Times New Roman"/>
                <w:color w:val="000000"/>
                <w:lang w:eastAsia="en-GB"/>
              </w:rPr>
              <w:instrText>rity, given the need to identify and prioritize climate hotspots for climate adaptation. Over the past decade, numerous studies have focused on vulnerability assessments with respect to drought and other meteorological hazards. Nonetheless, less research has focused on applying common measurement frameworks to compare vulnerability in different communities and the sources of such vulnerability. Yet, the crucial question remains: who is more vulnerable and what contributes to this vulnerability? This article is a case study for assessing the vulnerability to drought of smallholder farmers in two wards in Chivi district, Masvingo Province, Zimbabwe. This study is timely, as climate change is increasingly affecting populations dependent on rainfed agriculture. This assessment has been conducted by calculating the Livelihood Vulnerability Index (LVI) and Livelihood Vulnerability Index of the Intergovernmental Panel on Climate Change (LVI-IPCC). This empirical study used data from 258 households from the two wards and triangulated it through Key Informant Interviews and Focus Group Discussions. To calculate the LVI, twenty-six subcomponents made up of seven major components, including socio-demographic variables; livelihood strategies; social capital; access to food, health, and water; and exposure to drought, were considered. To calculate the LVI-IPCC, we combined the three contributing factors of vulnerability (exposure, sensitivity, and adaptive capacity). Our results indicate that the LVI forward 14 is statistically higher than for ward 19 (F = 21.960; p ≤ 0.01) due to high exposure to drought, food insecurity, and compromised social networks. Concerning the LVI-IPCC, ward 14 was significantly more vulnerable to the impacts of drought than ward 19 (F = 7.718; p ≤ 0.01). Thus, reducing exposure to drought through early warning systems, building diversified agricultural systems, and social networks are of high priority to reduce the vulnerability of the farmers.","container-title":"Climate","DOI":"10.3390/cli10120189","ISSN":"2225-1154","issue":"12","journalAbbreviation":"Climate","language":"en","license":"https://creativecommons.org/licenses/by/4.0/","page":"189","source":"DOI.org (Crossref)","title":"Mapping and Managing Livelihoods Vulnerability to Drought: A Case Study of Chivi District in Zimbabwe","title-short":"Mapping and Managing Livelihoods Vulnerability to Drought","volume":"10","author":[{"family":"Mugandani","given":"Raymond"},{"family":"Muziri","given":"Tavagwisa"},{"family":"Murewi","given":"Cyril Tapiwa Farai"},{"family":"Mugadza","given":"Amanda"},{"family":"Chitata","given":"Tavengwa"},{"family":"Sungirai","given":"Marvelous"},{"family":"Zirebwa","given":"Farai Solomon"},{"family":"Manhondo","given":"Petronella"},{"family":"Mupfiga","given":"Elvis Tawanda"},{"family":"Nyamutowa","given":"Charles"},{"family":"Mudereri","given":"Bester Tawona"},{"family":"Mugari","given":"Zvenyika Eckson"},{"family":"Mwadzingeni","given":"Liboster"},{"family":"Mafongoya","given":"Paramu"}],"issued":{"date-parts":[["2022",11,29]]},"citation-key":"mugandani_etal_2022"}},{"id":3311,"uris":["http://zotero.org/users/7734624/items/JQMSVRNU"],"itemData":{"id":3311,"type":"article-journal","abstract":"This study assesses the perceptions and vulnerability of the farming communities to climate change in the southwestern parts of Ethiopia. Climate change vulnerability assessment is a prerequisite to designing climate change adaptation strategies. A multistage cluster sampling technique was used to select four of the six zones from the southwestern parts of Oromia. Close-ended and open-ended questionnaires were used to assess household perceptions of climate change and the degree of vulnerability to climate change by using five household capitals: natural, social, financial, physical, and human capital. Data were collected from 442 households in 4 districts: Jimma Arjo, Bako Tibe, Chewaka, and Sekoru. The vulnerability of the farming communities was assessed using the households’ livelihood vulnerability index. A total of forty indicators from five capitals were applied to calculate household livelihood vulnerability to climate change. Household perceptions of climate change had a statistically significant relationship with changes in rainfall pattern (75.6%, p &lt; 0.001), temperature pattern (69.7%, p &lt; 0.001), drought (41.6%, p = 0.016), flood (44.1%, p = 0.000), and occurrence of early (53.2%, p &lt; 0.001) and late rain (55.9%, p &lt; 0.001). The results show that households in the Sekoru district were the most vulnerable (0.61), while households in the Jimma Arjo district were less vulnerable (0.47) to the effect of climate change. Household vulnerability to climate change is mainly related to the occurrence of drought, lack of much-needed infrastructure facilities, and weak institutional support. Links with financial organizations are also lacking in the household. The findings of this study will help policymakers to address the impact of climate change. To support disaster risk management on the one hand and increase the resilience of vulnerable societies to climate change on the other, we recommend a detailed assessment of the remaining districts of the region.","container-title":"Climate","DOI":"10.3390/cli11090183","ISSN":"2225-1154","issue":"9","journalAbbreviation":"Climate","language":"en","license":"https://creativecommons.org/licenses/by/4.0/","page":"183","source":"DOI.org (Crossref)","title":"Climate Change Perception and Vulnerability Assessment of the Farming Communities in the Southwest Parts of Ethiopia","volume":"11","author":[{"family":"Gemeda","given":"Dessalegn Obsi"},{"family":"Korecha","given":"Diriba"},{"family":"Garedew","given":"Weyessa"}],"issued":{"date-parts":[["2023",9,5]]},"citation-key":"gemeda_etal_2023"}},{"id":3277,"uris":["http://zotero.org/users/7734624/items/H7L2VTQR"],"itemData":{"id":3277,"type":"article-journal","abstract":"Enhanced anthropogenic climatic variability challenges small farmers. In the Sumapaz páramo (Colombia), higher irregularity in precipitation and temperature reduces the quality of pasture and cattle health. Data from surveys, semi-structured interviews, and focus groups were analyzed to understand livestock farmers’ responses to the impacts of climatic variability. To estimate the communities’ resilience in the páramo, we used the capitals framework, the Baseline Resilience Indicator for Communities (BRIC), and cluster analysis. The responses of most households aim to reduce the impacts of climatic variability on the production system, chiefly intensifying practices such as the rotation of paddocks, livelihood diversification, purchase of grass, and buying and selling livestock. Interestingly, farmers did not recognize the value of the types of capital for responding to climatic variability. Results showed that the use of available physical, social, and economic capitals render the farming system resilient. Our probit model estimated that economic and human capitals are the largest and most significant contributors to communities’ capacity to respond to climatic variability. However, pre-existing non-climatic vulnerabilities are also important. For example, poverty hinders farmers from using their income in response to climatic variability. The place-based measurements used in this research are easily understood and applicable by local policy makers to address increasing climate variability.","container-title":"Land","DOI":"10.3390/land13040499","ISSN":"2073-445X","issue":"4","journalAbbreviation":"Land","language":"en","license":"https://creativecommons.org/licenses/by/4.0/","page":"499","source":"DOI.org (Crossref)","title":"Adaptive Responses and Resilience of Small Livestock Producers to Climate Variability in the Cruz Verde-Sumapaz Páramo, Colombia","volume":"13","author":[{"family":"Postigo","given":"Julio C."},{"family":"Guáqueta-Solórzano","given":"Victoria-Eugenia"},{"family":"Castañeda","given":"Edna"},{"family":"Ortiz-Guerrero","given":"Cesar Enrique"}],"issued":{"date-parts":[["2024",4,11]]},"citation-key":"postigo_etal_2024"}},{"id":3286,"uris":["http://zotero.org/users/7734624/items/XNDAQFCC"],"itemData":{"id":3286,"type":"article-journal","abstract":"Agriculture is vital to the Saudi Arabian economy since it provides food and other necessities to people living in rural areas, as well as those living in adjacent cities. Notwithstanding its considerable economic importance, the agricultural sector is confronted with formidable obstacles due to climate change, such as elevated temperatures, floods, extreme droughts, and decreased agricultural yields. Building a farming system capable of being climate resilient requires the comprehension of the vulnerabilities of farm households and related systems. This paper deals with the potential agricultural risks resulting from climate change in Saudi Arabia. In addition to concentrating on precipitation and temperature, the present research incorporates the three main components of the Climate Change Vulnerability Index (CCVI): sensitivity, exposure, and adaptive capability. The results of this research reveal a notable challenge that farmers in Saudi Arabia encounter, as they are very susceptible to the impacts of climate change. The Climate Change Vulnerability Index (CCVI) has a score of 0.730, signifying a substantial degree of vulnerability. The farmers in this region are very susceptible to uncertainties caused by climate change, as indicated by the significant exposure score of 0.725. This exposure comprises a wide range of concerns resulting from fluctuations in temperature, patterns of rainfall, and occurrences of severe weather, all of which have an immediate and negative effect on agriculture. Farmers in</w:instrText>
            </w:r>
            <w:r w:rsidRPr="00AB1EE8">
              <w:rPr>
                <w:rFonts w:ascii="Times New Roman" w:eastAsia="Times New Roman" w:hAnsi="Times New Roman" w:cs="Times New Roman"/>
                <w:color w:val="000000"/>
                <w:lang w:val="fr-FR" w:eastAsia="en-GB"/>
              </w:rPr>
              <w:instrText xml:space="preserve"> that region are more susceptible to the effects of climate change, which could jeopardize their livelihoods and agricultural operations, as shown by the susceptibility component (SVI) of 0.559. Moreover, the adaptive capacity (AVI) score of 0.567 highlights the fact that farmers have limited access to resources, skills, and experience, hindering their ability to tackle the challenges that have been caused by climate change in this region successfully. The results emphasize the immediate necessity for specific policies and assistance to enhance the resilience of agricultural communities in the area, as well as to mitigate the potential adverse effects of climate change on their livelihoods.","container-title":"Sustainability","DOI":"10.3390/su16104245","ISSN":"2071-1050","issue":"10","journalAbbreviation":"Sustainability","language":"en","license":"https://creativecommons.org/licenses/by/4.0/","page":"4245","source":"DOI.org (Crossref)","title":"Exploring Climate-Induced Agricultural Risk in Saudi Arabia: Evidence from Farming Communities of Medina Region","title-short":"Exploring Climate-Induced Agricultural Risk in Saudi Arabia","volume":"16","author":[{"family":"Alotaibi","given":"Bader Alhafi"},{"family":"Xu","given":"Weizhou"},{"family":"Shah","given":"Ashfaq Ahmad"},{"family":"Ullah","given":"Wahid"}],"issued":{"date-parts":[["2024",5,17]]},"citation-key":"alotaibi_etal_2024"}}],"schema":"https://github.com/citation-style-language/schema/raw/master/csl-citation.json"} </w:instrText>
            </w:r>
            <w:r>
              <w:rPr>
                <w:rFonts w:ascii="Times New Roman" w:eastAsia="Times New Roman" w:hAnsi="Times New Roman" w:cs="Times New Roman"/>
                <w:color w:val="000000"/>
                <w:lang w:eastAsia="en-GB"/>
              </w:rPr>
              <w:fldChar w:fldCharType="separate"/>
            </w:r>
            <w:r w:rsidRPr="00AB1EE8">
              <w:rPr>
                <w:rFonts w:ascii="Times New Roman" w:hAnsi="Times New Roman" w:cs="Times New Roman"/>
                <w:lang w:val="fr-FR"/>
              </w:rPr>
              <w:t>(Mugandani et al. 2022; Gemeda et al. 2023; Postigo et al. 2024; Alotaibi et al. 2024)</w:t>
            </w:r>
            <w:r>
              <w:rPr>
                <w:rFonts w:ascii="Times New Roman" w:eastAsia="Times New Roman" w:hAnsi="Times New Roman" w:cs="Times New Roman"/>
                <w:color w:val="000000"/>
                <w:lang w:eastAsia="en-GB"/>
              </w:rPr>
              <w:fldChar w:fldCharType="end"/>
            </w:r>
          </w:p>
        </w:tc>
      </w:tr>
      <w:tr w:rsidR="00663667" w:rsidRPr="00FF4B56" w14:paraId="3928273E" w14:textId="77777777" w:rsidTr="00406364">
        <w:trPr>
          <w:trHeight w:val="288"/>
        </w:trPr>
        <w:tc>
          <w:tcPr>
            <w:tcW w:w="0" w:type="auto"/>
            <w:tcBorders>
              <w:top w:val="nil"/>
              <w:left w:val="nil"/>
              <w:bottom w:val="nil"/>
              <w:right w:val="nil"/>
            </w:tcBorders>
            <w:shd w:val="clear" w:color="000000" w:fill="FFFFFF"/>
          </w:tcPr>
          <w:p w14:paraId="770640F0" w14:textId="77777777" w:rsidR="00663667" w:rsidRPr="00AB1EE8"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tcPr>
          <w:p w14:paraId="45F62B8D" w14:textId="77777777" w:rsidR="00663667" w:rsidRPr="00AB1EE8" w:rsidRDefault="00663667" w:rsidP="00663667">
            <w:pPr>
              <w:spacing w:after="0" w:line="360" w:lineRule="auto"/>
              <w:rPr>
                <w:rFonts w:ascii="Times New Roman" w:eastAsia="Times New Roman" w:hAnsi="Times New Roman" w:cs="Times New Roman"/>
                <w:color w:val="000000"/>
                <w:lang w:val="fr-FR" w:eastAsia="en-GB"/>
              </w:rPr>
            </w:pPr>
          </w:p>
        </w:tc>
        <w:tc>
          <w:tcPr>
            <w:tcW w:w="5310" w:type="dxa"/>
            <w:tcBorders>
              <w:top w:val="nil"/>
              <w:left w:val="nil"/>
              <w:bottom w:val="nil"/>
              <w:right w:val="nil"/>
            </w:tcBorders>
            <w:shd w:val="clear" w:color="000000" w:fill="FFFFFF"/>
            <w:noWrap/>
          </w:tcPr>
          <w:p w14:paraId="0FF19D83" w14:textId="78655D2F" w:rsidR="00663667" w:rsidRPr="00FF4B56"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Access to production contract</w:t>
            </w:r>
          </w:p>
        </w:tc>
        <w:tc>
          <w:tcPr>
            <w:tcW w:w="1350" w:type="dxa"/>
            <w:tcBorders>
              <w:top w:val="nil"/>
              <w:left w:val="nil"/>
              <w:bottom w:val="nil"/>
              <w:right w:val="nil"/>
            </w:tcBorders>
            <w:shd w:val="clear" w:color="000000" w:fill="FFFFFF"/>
            <w:noWrap/>
          </w:tcPr>
          <w:p w14:paraId="43346389" w14:textId="63B4D9F8" w:rsidR="00663667" w:rsidRPr="00FF4B56"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1</w:t>
            </w:r>
          </w:p>
        </w:tc>
        <w:tc>
          <w:tcPr>
            <w:tcW w:w="5274" w:type="dxa"/>
            <w:tcBorders>
              <w:left w:val="nil"/>
              <w:right w:val="nil"/>
            </w:tcBorders>
            <w:shd w:val="clear" w:color="000000" w:fill="FFFFFF"/>
          </w:tcPr>
          <w:p w14:paraId="4BDB5A68" w14:textId="2C1AEFB6" w:rsidR="00663667" w:rsidRPr="00FF4B56"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fldChar w:fldCharType="begin"/>
            </w:r>
            <w:r w:rsidRPr="00FF4B56">
              <w:rPr>
                <w:rFonts w:ascii="Times New Roman" w:eastAsia="Times New Roman" w:hAnsi="Times New Roman" w:cs="Times New Roman"/>
                <w:color w:val="000000"/>
                <w:lang w:eastAsia="en-GB"/>
              </w:rPr>
              <w:instrText xml:space="preserve"> ADDIN ZOTERO_ITEM CSL_CITATION {"citationID":"ZcjsSvVo","properties":{"formattedCitation":"(Vigani and Kathage 2019)","plainCitation":"(Vigani and Kathage 2019)","noteIndex":0},"citationItems":[{"id":921,"uris":["http://zotero.org/users/7734624/items/68EN98Y2"],"itemData":{"id":921,"type":"article-journal","abstract":"The impact of risk management on farm productivity is still being debated. Using survey data from French and Hungarian farms, we estimate the impacts of different risk management strategies and portfolios under varying levels of risk on total factor productivity. Results from a multinomial endogenous switching regression model show that the impacts can be positive or negative, depending on the risk management strategies adopted, the structure of the farming system, and the probability of risks. The choice of risk management strategies influences the farm's production costs and the allocation of resources. More complex risk management portfolios tend to have larger negative productivity impacts due to higher costs and the larger amount of resources subtracted from the production activity. Our results have important implications for risk management policies.","container-title":"American Journal of Agricultural Economics","DOI":"10.1093/ajae/aaz020","ISSN":"1467-8276","issue":"5","language":"en","note":"_eprint: https://onlinelibrary.wiley.com/doi/pdf/10.1093/ajae/aaz020","page":"1432-1454","source":"Wiley Online Library","title":"To Risk or Not to Risk? Risk Management and Farm Productivity","title-short":"To Risk or Not to Risk?","volume":"101","author":[{"family":"Vigani","given":"Mauro"},{"family":"Kathage","given":"Jonas"}],"issued":{"date-parts":[["2019"]]},"citation-key":"vigani_kathage_2019"}}],"schema":"https://github.com/citation-style-language/schema/raw/master/csl-citation.json"}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Pr="00FF4B56">
              <w:rPr>
                <w:rFonts w:ascii="Times New Roman" w:hAnsi="Times New Roman" w:cs="Times New Roman"/>
              </w:rPr>
              <w:t>(Vigani and Kathage 2019)</w:t>
            </w:r>
            <w:r w:rsidRPr="00FF4B56">
              <w:rPr>
                <w:rFonts w:ascii="Times New Roman" w:eastAsia="Times New Roman" w:hAnsi="Times New Roman" w:cs="Times New Roman"/>
                <w:color w:val="000000"/>
                <w:lang w:eastAsia="en-GB"/>
              </w:rPr>
              <w:fldChar w:fldCharType="end"/>
            </w:r>
          </w:p>
        </w:tc>
      </w:tr>
      <w:tr w:rsidR="00663667" w:rsidRPr="00FF4B56" w14:paraId="0D3B6016" w14:textId="5E72DDF6" w:rsidTr="00EF7700">
        <w:trPr>
          <w:trHeight w:val="288"/>
        </w:trPr>
        <w:tc>
          <w:tcPr>
            <w:tcW w:w="0" w:type="auto"/>
            <w:tcBorders>
              <w:top w:val="nil"/>
              <w:left w:val="nil"/>
              <w:bottom w:val="single" w:sz="4" w:space="0" w:color="auto"/>
              <w:right w:val="nil"/>
            </w:tcBorders>
            <w:shd w:val="clear" w:color="000000" w:fill="FFFFFF"/>
          </w:tcPr>
          <w:p w14:paraId="327423D8" w14:textId="77777777" w:rsidR="00663667" w:rsidRPr="00FF4B56" w:rsidRDefault="00663667" w:rsidP="00663667">
            <w:pPr>
              <w:spacing w:after="0" w:line="360" w:lineRule="auto"/>
              <w:rPr>
                <w:rFonts w:ascii="Times New Roman" w:eastAsia="Times New Roman" w:hAnsi="Times New Roman" w:cs="Times New Roman"/>
                <w:color w:val="000000"/>
                <w:lang w:eastAsia="en-GB"/>
              </w:rPr>
            </w:pPr>
          </w:p>
        </w:tc>
        <w:tc>
          <w:tcPr>
            <w:tcW w:w="1848" w:type="dxa"/>
            <w:tcBorders>
              <w:top w:val="nil"/>
              <w:left w:val="nil"/>
              <w:bottom w:val="single" w:sz="4" w:space="0" w:color="auto"/>
              <w:right w:val="nil"/>
            </w:tcBorders>
            <w:shd w:val="clear" w:color="000000" w:fill="FFFFFF"/>
            <w:noWrap/>
            <w:hideMark/>
          </w:tcPr>
          <w:p w14:paraId="6C4F2F68" w14:textId="30C937F3" w:rsidR="00663667" w:rsidRPr="00FF4B56"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 </w:t>
            </w:r>
          </w:p>
        </w:tc>
        <w:tc>
          <w:tcPr>
            <w:tcW w:w="5310" w:type="dxa"/>
            <w:tcBorders>
              <w:top w:val="nil"/>
              <w:left w:val="nil"/>
              <w:bottom w:val="single" w:sz="4" w:space="0" w:color="auto"/>
              <w:right w:val="nil"/>
            </w:tcBorders>
            <w:shd w:val="clear" w:color="000000" w:fill="FFFFFF"/>
            <w:noWrap/>
          </w:tcPr>
          <w:p w14:paraId="34DAA683" w14:textId="206AF32F" w:rsidR="00663667" w:rsidRPr="00FF4B56" w:rsidRDefault="00663667" w:rsidP="00663667">
            <w:pPr>
              <w:spacing w:after="0" w:line="360" w:lineRule="auto"/>
              <w:rPr>
                <w:rFonts w:ascii="Times New Roman" w:eastAsia="Times New Roman" w:hAnsi="Times New Roman" w:cs="Times New Roman"/>
                <w:color w:val="000000"/>
                <w:lang w:eastAsia="en-GB"/>
              </w:rPr>
            </w:pPr>
            <w:r w:rsidRPr="00EF7700">
              <w:rPr>
                <w:rFonts w:ascii="Times New Roman" w:eastAsia="Times New Roman" w:hAnsi="Times New Roman" w:cs="Times New Roman"/>
                <w:color w:val="000000"/>
                <w:lang w:eastAsia="en-GB"/>
              </w:rPr>
              <w:t>Access to feed and fuel from natural habitat</w:t>
            </w:r>
          </w:p>
        </w:tc>
        <w:tc>
          <w:tcPr>
            <w:tcW w:w="1350" w:type="dxa"/>
            <w:tcBorders>
              <w:top w:val="nil"/>
              <w:left w:val="nil"/>
              <w:bottom w:val="single" w:sz="4" w:space="0" w:color="auto"/>
              <w:right w:val="nil"/>
            </w:tcBorders>
            <w:shd w:val="clear" w:color="000000" w:fill="FFFFFF"/>
            <w:noWrap/>
          </w:tcPr>
          <w:p w14:paraId="4332C1A3" w14:textId="4200124A" w:rsidR="00663667" w:rsidRPr="00FF4B56" w:rsidRDefault="00663667" w:rsidP="00663667">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w:t>
            </w:r>
          </w:p>
        </w:tc>
        <w:tc>
          <w:tcPr>
            <w:tcW w:w="5274" w:type="dxa"/>
            <w:tcBorders>
              <w:left w:val="nil"/>
              <w:bottom w:val="single" w:sz="4" w:space="0" w:color="auto"/>
              <w:right w:val="nil"/>
            </w:tcBorders>
            <w:shd w:val="clear" w:color="000000" w:fill="FFFFFF"/>
          </w:tcPr>
          <w:p w14:paraId="77BA0DC4" w14:textId="53706A73" w:rsidR="00663667" w:rsidRPr="00FF4B56" w:rsidRDefault="00AB1EE8" w:rsidP="00663667">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fldChar w:fldCharType="begin"/>
            </w:r>
            <w:r>
              <w:rPr>
                <w:rFonts w:ascii="Times New Roman" w:eastAsia="Times New Roman" w:hAnsi="Times New Roman" w:cs="Times New Roman"/>
                <w:color w:val="000000"/>
                <w:lang w:eastAsia="en-GB"/>
              </w:rPr>
              <w:instrText xml:space="preserve"> ADDIN ZOTERO_ITEM CSL_CITATION {"citationID":"QdlClw1H","properties":{"formattedCitation":"(Kumar et al. 2024)","plainCitation":"(Kumar et al. 2024)","noteIndex":0},"citationItems":[{"id":3310,"uris":["http://zotero.org/users/7734624/items/UKZILLQ9"],"itemData":{"id":3310,"type":"article-journal","container-title":"Mitigation and Adaptation Strategies for Global Change","DOI":"10.1007/s11027-023-10097-y","ISSN":"1381-2386, 1573-1596","issue":"1","journalAbbreviation":"Mitig Adapt Strateg Glob Change","language":"en","page":"7","source":"DOI.org (Crossref)","title":"Differentiated socio-ecological system approach for vulnerability and adaptation assessment in the Central Himalaya","volume":"29","author":[{"family":"Kumar","given":"Praveen"},{"family":"Fürst","given":"Christine"},{"family":"Joshi","given":"P. K."}],"issued":{"date-parts":[["2024",1]]},"citation-key":"kumar_etal_2024"}}],"schema":"https://github.com/citation-style-language/schema/raw/master/csl-citation.json"} </w:instrText>
            </w:r>
            <w:r>
              <w:rPr>
                <w:rFonts w:ascii="Times New Roman" w:eastAsia="Times New Roman" w:hAnsi="Times New Roman" w:cs="Times New Roman"/>
                <w:color w:val="000000"/>
                <w:lang w:eastAsia="en-GB"/>
              </w:rPr>
              <w:fldChar w:fldCharType="separate"/>
            </w:r>
            <w:r w:rsidRPr="00AB1EE8">
              <w:rPr>
                <w:rFonts w:ascii="Times New Roman" w:hAnsi="Times New Roman" w:cs="Times New Roman"/>
              </w:rPr>
              <w:t>(Kumar et al. 2024)</w:t>
            </w:r>
            <w:r>
              <w:rPr>
                <w:rFonts w:ascii="Times New Roman" w:eastAsia="Times New Roman" w:hAnsi="Times New Roman" w:cs="Times New Roman"/>
                <w:color w:val="000000"/>
                <w:lang w:eastAsia="en-GB"/>
              </w:rPr>
              <w:fldChar w:fldCharType="end"/>
            </w:r>
          </w:p>
        </w:tc>
      </w:tr>
      <w:tr w:rsidR="00663667" w:rsidRPr="00AF6801" w14:paraId="4C860992" w14:textId="799F3934" w:rsidTr="00406364">
        <w:trPr>
          <w:trHeight w:val="288"/>
        </w:trPr>
        <w:tc>
          <w:tcPr>
            <w:tcW w:w="0" w:type="auto"/>
            <w:tcBorders>
              <w:top w:val="nil"/>
              <w:left w:val="nil"/>
              <w:bottom w:val="nil"/>
              <w:right w:val="nil"/>
            </w:tcBorders>
            <w:shd w:val="clear" w:color="000000" w:fill="FFFFFF"/>
          </w:tcPr>
          <w:p w14:paraId="6CAEADE0" w14:textId="77777777" w:rsidR="00663667" w:rsidRPr="00FF4B56" w:rsidRDefault="00663667" w:rsidP="00663667">
            <w:pPr>
              <w:spacing w:after="0" w:line="360" w:lineRule="auto"/>
              <w:rPr>
                <w:rFonts w:ascii="Times New Roman" w:eastAsia="Times New Roman" w:hAnsi="Times New Roman" w:cs="Times New Roman"/>
                <w:color w:val="000000"/>
                <w:lang w:eastAsia="en-GB"/>
              </w:rPr>
            </w:pPr>
          </w:p>
        </w:tc>
        <w:tc>
          <w:tcPr>
            <w:tcW w:w="1848" w:type="dxa"/>
            <w:tcBorders>
              <w:top w:val="nil"/>
              <w:left w:val="nil"/>
              <w:bottom w:val="nil"/>
              <w:right w:val="nil"/>
            </w:tcBorders>
            <w:shd w:val="clear" w:color="000000" w:fill="FFFFFF"/>
            <w:noWrap/>
            <w:hideMark/>
          </w:tcPr>
          <w:p w14:paraId="39E1E59D" w14:textId="60F9DD61" w:rsidR="00663667" w:rsidRPr="00FF4B56"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Reserves</w:t>
            </w:r>
          </w:p>
        </w:tc>
        <w:tc>
          <w:tcPr>
            <w:tcW w:w="5310" w:type="dxa"/>
            <w:tcBorders>
              <w:top w:val="nil"/>
              <w:left w:val="nil"/>
              <w:bottom w:val="nil"/>
              <w:right w:val="nil"/>
            </w:tcBorders>
            <w:shd w:val="clear" w:color="000000" w:fill="FFFFFF"/>
            <w:noWrap/>
            <w:hideMark/>
          </w:tcPr>
          <w:p w14:paraId="2A3285AA" w14:textId="65CFD1A8" w:rsidR="00663667" w:rsidRPr="00FF4B56"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Land size</w:t>
            </w:r>
          </w:p>
        </w:tc>
        <w:tc>
          <w:tcPr>
            <w:tcW w:w="1350" w:type="dxa"/>
            <w:tcBorders>
              <w:top w:val="nil"/>
              <w:left w:val="nil"/>
              <w:bottom w:val="nil"/>
              <w:right w:val="nil"/>
            </w:tcBorders>
            <w:shd w:val="clear" w:color="000000" w:fill="FFFFFF"/>
            <w:noWrap/>
            <w:hideMark/>
          </w:tcPr>
          <w:p w14:paraId="6F3E8520" w14:textId="3CF9B1DE" w:rsidR="00663667" w:rsidRPr="00FF4B56" w:rsidRDefault="00663667" w:rsidP="00663667">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23</w:t>
            </w:r>
          </w:p>
        </w:tc>
        <w:tc>
          <w:tcPr>
            <w:tcW w:w="5274" w:type="dxa"/>
            <w:tcBorders>
              <w:top w:val="nil"/>
              <w:left w:val="nil"/>
              <w:right w:val="nil"/>
            </w:tcBorders>
            <w:shd w:val="clear" w:color="000000" w:fill="FFFFFF"/>
          </w:tcPr>
          <w:p w14:paraId="6C627CA5" w14:textId="74DD0DD3" w:rsidR="00663667" w:rsidRPr="00FF4B56"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F14CCF">
              <w:rPr>
                <w:rFonts w:ascii="Times New Roman" w:eastAsia="Times New Roman" w:hAnsi="Times New Roman" w:cs="Times New Roman"/>
                <w:color w:val="000000"/>
                <w:lang w:eastAsia="en-GB"/>
              </w:rPr>
              <w:instrText xml:space="preserve"> ADDIN ZOTERO_ITEM CSL_CITATION {"citationID":"9gZOvox2","properties":{"formattedCitation":"(Keil et al. 2009; Mutabazi et al. 2015; Ghahramani and Moore 2016; Duncan et al. 2017; Jiri et al. 2017; Lopez-Ridaura et al. 2018; Souissi et al. 2018; Omerkhil et al. 2020; Shrestha et al. 2020; Panta et al. 2020; Ben Nasr et al. 2021; Hossard et al. 2021; Mohammed et al. 2021; Naz and Saqib 2021; Khan et al. 2021; Maggio et al. 2022; Varadan et al. 2022; Chawdhery et al. 2022; Abdollahzadeh et al. 2023; Gemeda et al. 2023; Marie Chimi et al. 2023; Postigo et al. 2024; Alotaibi et al. 2024)","plainCitation":"(Keil et al. 2009; Mutabazi et al. 2015; Ghahramani and Moore 2016; Duncan et al. 2017; Jiri et al. 2017; Lopez-Ridaura et al. 2018; Souissi et al. 2018; Omerkhil et al. 2020; Shrestha et al. 2020; Panta et al. 2020; Ben Nasr et al. 2021; Hossard et al. 2021; Mohammed et al. 2021; Naz and Saqib 2021; Khan et al. 2021; Maggio et al. 2022; Varadan et al. 2022; Chawdhery et al. 2022; Abdollahzadeh et al. 2023; Gemeda et al. 2023; Marie Chimi et al. 2023; Postigo et al. 2024; Alotaibi et al. 2024)","noteIndex":0},"citationItems":[{"id":930,"uris":["http://zotero.org/users/7734624/items/KBCYEHLF"],"itemData":{"id":930,"type":"article-journal","abstract":"Crop production in Southeast Asia is subject to considerable climate variability caused by the El Nino-Southern Oscillation phenomenon. El Nino causes comparatively dry conditions leading to substantial declines in crop yields, with severe consequences for the welfare of local farm households. Using an interdisciplinary modelling approach that combines regression analysis with linear programming (LP) and stochastic simulation, and integrates climatic and hydrologic modelling results, the objective of the present study is to assess the impact of El Nino on agricultural incomes of smallholder farmers in Central Sulawesi, Indonesia, and to derive suitable crop management strategies to mitigate income reductions. We identify 5 farm classes by cluster analysis. Our LP model maximises their cash balance at the end of the time period most severely affected by El Nino. Main activities are the cultivation of rice, maize and cocoa. Accounting for water supply, external Cobb-Douglas production functions generate output according to level of production intensity and predicted weather patterns. Stochastic Simulation accounts for variations in crop yields due to factors not captured by the production functions. Iterative model runs produce probability distributions of the model outcomes for each household class, whereby the downside risk of failing to achieve a specified minimum level of income is particularly policy relevant. The results illustrate that drought-related crop management recommendations must be tailored to farm households according to their location, farming system and resource endowment. Furthermore, Our findings demonstrate the importance of policy measures aimed at an ex post alleviation of drought impacts.","container-title":"Climate Research","DOI":"10.3354/cr00778","ISSN":"0936-577X","issue":"2","page":"155–169","title":"Vulnerability of smallholder farmers to ENSO-related drought in Indonesia UR -://WOS:000270149600006","title-short":"Vulnerability of smallholder farmers to ENSO-related drought in Indonesia","volume":"38","author":[{"family":"Keil","given":"A."},{"family":"Teufel","given":"N."},{"family":"Gunawan","given":"D."},{"family":"Leemhuis","given":"C."}],"issued":{"date-parts":[["2009",2]]},"citation-key":"keil_etal_2009"}},{"id":684,"uris":["http://zotero.org/users/7734624/items/IIGIISUT"],"itemData":{"id":684,"type":"article-journal","abstract":"Given the projected climatic changes, building resilient agricultural systems is of vital significance in protecting vulnerable agrarian communities in sub-Saharan Africa. Under this scenario, the article attempts to identify a set of resilience-building adaptive strategies (intensification, diversification, alteration, migration, etc.) among farmers in Morogoro, Tanzania, and crafts a composite index of these strategies using a principal component analysis-based weighting scheme. The analysis also reveals the latent structure and internal correlations of actions intended to build resilience of the farming systems. Subsequently, the linkages of livelihood resources (natural, human, social and financial capitals) to the resilience-building strategies are examined. A multiple regression analysis is employed to link the composite index to variables representing the four capitals. The results bring quantitative evidence to the linkages and highlight the need of enhancing livelihood resources to enhance the ability to undertake adaptive strategies that denotes the ability to withstand stresses and shocks from climatic changes. Actions to improve human capital (awareness campaigns on climate change impacts as well as possible adaptive strategies), social capital (strengthening social networks, improving tenure security), financial capital (increasing credit availability) and natural capital (measures to enhance agricultural potential, support for adaptive action in areas with low agricultural potential) are needed in order to impart resilience to the farming systems against the changing climate. © 2015, Springer-Verlag Berlin Heidelberg.","container-title":"Regional Environmental Change","DOI":"10.1007/s10113-015-0800-7","ISSN":"14363798","issue":"7","language":"English","note":"publisher: Springer Verlag","page":"1259-1268","title":"Influence of livelihood resources on adaptive strategies to enhance climatic resilience of farm households in Morogoro, Tanzania: an indicator-based analysis","volume":"15","author":[{"family":"Mutabazi","given":"K.D."},{"family":"Amjath-Babu","given":"T.S."},{"family":"Sieber","given":"S."}],"issued":{"date-parts":[["2015"]]},"citation-key":"mutabazi_etal_2015"}},{"id":935,"uris":["http://zotero.org/users/7734624/items/5GFN64NW"],"itemData":{"id":935,"type":"article-journal","abstract":"The state of Western Australia is a major producer and exporter of crops and livestock. Mixed farming systems are typical agricultural enterprises in the Western Australian wheatbelt where climate drives the productivity and profitability of these farms and therefore the effects of likely climate change on their performance need to be understood. Here the effects of climate change projected at 2030 were evaluated compared to a baseline period (1980–1999) on mixed farming systems at paddock, enterprise and whole farm scales using the coupled APSIM and GRAZPLAN biophysical simulation models. The yield of different crops, livestock production and gross margins were assessed under current and projected climates using current farming technology and management practices. Representative mixed-farm systems were selected along a climate transect. Modelling analysis suggests that current production levels and gross margins of mixed farm systems in Western Australia will not be sustained in 2030 climate conditions except in areas of moderately high-rainfall. Whole farm gross margin declined at all site×potential climate scenarios between 1% and 22% except in moderately high rainfall where gross margin increased by up to 4% under a ‘hot and moderate change in rainfall’ climate. Projected crop yields declined for most of the crop×site×potential climate combinations, with greatest declines under a hot and dry climate (at driest margin of transect) in which wheat, barley, canola, and lupin yield declined up to 16%, 15%, 21%, and 27%, respectively. Increase in yield was predicted for wheat and barley at some of the site×potential climate s. Wheat yield increased only under moderately high rainfall region by 6% while barley increased by 1%. Simulated cropping gross margin was also shown to decline by between &gt;1% and 23%, except for the moderately high-rainfall site where cropping gross margins were projected to increase by up to 3%. Changes in simulated livestock production were smaller and less variable than for crop production. The change in weight of livestock sold across sites×potential climate combinations ranged between −3% and +3%. Livestock gross margin varied between −11% and +6%. Modelling results indicated a greater fertilisation effect of the elevated CO2 on pasture production than on crop yield and biomass particularly in drier sites. But however, this could not offset negative impact of climate change under hot potential climates. The main negative environmental impacts from the projected climate change were declines in annual net primary production (ANPP), ground cover and water use efficiency mostly at drier sites. Whole farm N2O emission declined significantly for the majority of site×potential climate combinations, while smaller decreases in ruminant CH4 emission were predicted. In 2030, returns from livestock enterprises are predicted to be smaller, but less variable than from cropping and with increasing probability of success in drier regions. Reduced variability in financial return is important from the perspective of whole farm risk management. Shifts in enterprise mix in dryland mixed-farming systems towards increased livestock may be a helpful strategy in adapting to climate change and managing the associated financial risks.","container-title":"Agricultural Systems","DOI":"10.1016/j.agsy.2016.05.011","ISSN":"0308-521X","journalAbbreviation":"Agricultural Systems","language":"en","page":"142-155","source":"ScienceDirect","title":"Impact of climate changes on existing crop-livestock farming systems","volume":"146","author":[{"family":"Ghahramani","given":"Afshin"},{"family":"Moore","given":"Andrew D."}],"issued":{"date-parts":[["2016",7,1]]},"citation-key":"ghahramani_moore_2016"}},{"id":883,"uris":["http://zotero.org/users/7734624/items/9J9Q99MZ"],"itemData":{"id":883,"type":"article-journal","abstract":"Developing country deltas are important food producing areas and are home to large numbers of subsistence farmers. In particular, rice farmers dominate the populous deltas of South and Southeast Asia and face frequent climate hazards that have short- and long-term impacts on rice production and livelihoods. The aim of this study is to identify and explain proximal and ultimate factors (land access, cultural practices, and institutional support) that affect rice farmer resilience, that is, to explain why some farmers are more sensitive to climate shocks, why some farmers suffer long-term impacts from climate shocks, and what underlying “ultimate” factors reproduce this vulnerability over time. We undertake this analysis using qualitative interviews and household survey data from two districts in the Mahanadi Delta, Odisha, India. We show that climate hazards cause rice production shocks that are problematic for farmers because rice is predominantly used for household consumption in a context of unreliable off-farm income sources and a lack of insurance and credit. Our research emphasizes that “ultimate” drivers interact with the current mode of rice cultivation to reproduce a low resilience farming state. We argue that agricultural development interventions seeking to make rice farming more resilient to climate hazards should focus on boosting productivity and shock-resistance, but also be cognizant of the system within which rice farming is practiced and the contextual “ultimate” factors that reproduce vulnerability. © 2017 by the author(s).","container-title":"Ecology and Society","DOI":"10.5751/ES-09559-220403","ISSN":"17083087","issue":"4","language":"English","note":"publisher: Resilience Alliance","title":"Resilience to hazards: Rice farmers in the Mahanadi Delta, India","URL":"https://www.scopus.com/inward/record.uri?eid=2-s2.0-85040690432&amp;doi=10.5751%2fES-09559-220403&amp;partnerID=40&amp;md5=6e2c980a0807c4bd45914aca1feec990","volume":"22","author":[{"family":"Duncan","given":"J.M."},{"family":"Tompkins","given":"E.L."},{"family":"Dash","given":"J."},{"family":"Tripathy","given":"B."}],"issued":{"date-parts":[["2017"]]},"citation-key":"duncan_etal_2017"}},{"id":1132,"uris":["http://zotero.org/users/7734624/items/ACR7434B"],"itemData":{"id":1132,"type":"article-journal","abstract":"Purpose: This study aimed to determine factors that increase resilience and cause smallholder farmers to adapt better to climate change and vulnerability. Design/methodology/approach: In this study, the authors used the vulnerability to resilience model and binary logit model to analyse the factors influencing household decisions to adapt. Findings: Households with increased access to climate information through extension services were likely to have better adaptation abilities. It was also shown that younger farmers were likely to adapt to climate change given their flexibility to adopt new techniques and their access and use of modern information and technology. Larger households were found to have higher probability of adapting as most adaptation strategies are labour intensive. Household’s possession of livestock and access to credit significantly enhanced adaptation. However, households with higher farm income have lesser incentives to adapt to because their current farming practices might already be optimum. Research limitations/implications: Given that most of the smallholder farmers are vulnerable, such as women-headed households and the elderly, who are labour constrained, there is need for research and development of labour saving technologies to increase resilience to climate change and vulnerability. Originality/value: These findings underscore the importance of enabling farmer access to information and better technologies which enable them to increase adaptive capacity and resilience. © 2017, © Emerald Publishing Limited.","container-title":"International Journal of Climate Change Strategies and Management","DOI":"10.1108/IJCCSM-07-2016-0092","ISSN":"17568692","issue":"2","language":"English","note":"publisher: Emerald Group Publishing Ltd.","page":"151-165","title":"Building climate change resilience through adaptation in smallholder farming systems in semi-arid Zimbabwe","volume":"9","author":[{"family":"Jiri","given":"O."},{"family":"Mafongoya","given":"P.L."},{"family":"Chivenge","given":"P."}],"issued":{"date-parts":[["2017"]]},"citation-key":"jiri_etal_2017"}},{"id":351,"uris":["http://zotero.org/users/7734624/items/VMQZYXSU"],"itemData":{"id":351,"type":"article-journal","abstract":"One of the great challenges in agricultural development and sustainable intensiﬁcation is the assurance of social equity in food security oriented interventions. Development practitioners, researchers, and policy makers alike could beneﬁt from prior insight into what interventions or environmental shocks might diﬀerentially aﬀect farmers' food security status, in order to move towards more informed and equitable development. We examined the food security status and livelihood activities of 269 smallholder farm households (HHs) in Bihar, India. Proceeding with a four-step analysis, we ﬁrst applied a multivariate statistical methodology to diﬀerentiate ﬁve primary farming system types. We next applied an indicator of food security in the form of HH potential food availability (PFA), and examined the contribution of crop, livestock, and on- and oﬀ-farm income generation to PFA within each farm HH type. Lastly, we applied scenario analysis to examine the potential impact of the adoption of ‘climate smart’ agricultural (CSA) practices in the form of conservation agriculture (CA) and improved livestock husbandry, and environmental shocks on HH PFA. Our results indicate that compared to livestock interventions, CA may hold considerable potential to boost HH PFA, though primarily for wealthier and medium-scale cereal farmers. These farm HH types were however considerably more vulnerable to food insecurity risks resulting from simulated drought, while part-time farmers and resource-poor agricultural laborers generating income from oﬀ-farm pursuits were comparatively less vulnerable, due in part to their more diversiﬁed income sources and potential to migrate in search of work. Our results underscore the importance of prior planning for development initiatives aimed at increasing smallholder food security while maintaining social equity, while providing a robust methodology to vet the implications of agricultural interventions on an ex ante basis.","container-title":"Agricultural Systems","DOI":"10.1016/j.agsy.2017.09.007","ISSN":"0308521X","journalAbbreviation":"Agricultural Systems","language":"en","page":"57-68","source":"DOI.org (Crossref)","title":"Climate smart agriculture, farm household typologies and food security","volume":"159","author":[{"family":"Lopez-Ridaura","given":"Santiago"},{"family":"Frelat","given":"Romain"},{"family":"Wijk","given":"Mark T.","non-dropping-particle":"van"},{"family":"Valbuena","given":"Diego"},{"family":"Krupnik","given":"Timothy J."},{"family":"Jat","given":"M.L."}],"issued":{"date-parts":[["2018",1]]},"citation-key":"lopez-ridaura_etal_2018"}},{"id":877,"uris":["http://zotero.org/users/7734624/items/GDJ5BBWZ"],"itemData":{"id":877,"type":"article-journal","abstract":"This study considers a quantitative approach for assessing the performance of Tunisian farming systems to face climate change. It is based on the resilience concept and the calculation, with a modelling chain, of three indicators: land stock, labour stock, and income flux. Two system states, “base” and “climate change”, and a time horizon of 2010-2025, are developed and compared for representative farming systems. The study shows that 55% of the farming systems were identified as being resilient to climate change. They are diversified and mostly grow cereals, vegetables, and forage crops combined with livestock, increasing their capability to mitigate climate change by reorganizing crop activities. 35% of the farms identified as being non-resilient are dominated by orchards, or cereals and orchards. They showed an important drop in farm income (-45%), mainly due to their inability to adapt their cropping systems to water stress and soil salinity. Finally, only 10% were identified as being poorly resilient farming systems. Those farms have mainly intensified cereal cropping systems based on a strategy of purchasing land to increase the surface area of profitable activities (forage and livestock). Overall, the methodology can be adapted for other dry land areas in the Mediterranean region and help experts and policy-makers to propose and test strategies for adapting to climate change.","container-title":"REGIONAL ENVIRONMENTAL CHANGE","DOI":"10.1007/s10113-017-1130-8","ISSN":"1436-3798","issue":"3","language":"English","note":"publisher-place: TIERGARTENSTRASSE 17, D-69121 HEIDELBERG, GERMANY\npublisher: SPRINGER HEIDELBERG\ntype: Article","page":"637-650","title":"Impact assessment of climate change on farming systems in the South Mediterranean area: a Tunisian case study","volume":"18","author":[{"family":"Souissi","given":"Imen"},{"family":"Boisson","given":"Jean Marie"},{"family":"Mekki","given":"Insaf"},{"family":"Therond","given":"Olivier"},{"family":"Flichman","given":"Guillermo"},{"family":"Wery","given":"Jacques"},{"family":"Belhouchette","given":"Hatem"}],"issued":{"date-parts":[["2018",3]]},"citation-key":"souissi_etal_2018"}},{"id":884,"uris":["http://zotero.org/users/7734624/items/EW86LG9V"],"itemData":{"id":884,"type":"article-journal","abstract":"Smallholder farmers in Afghanistan are already facing various risks in agricultural production due to past continuous insurgencies. Climate change is likely to amplify the risk and make them even more vulnerable. The present study attempted to evaluate the vulnerability profiles of smallholder farmers due to climate change using the IPCC Framework. Primary data on relevant parameters for assessing climate change-led social vulnerability in the region were collected by classifying study region into two zones: the plain and the hills of Yangi Qala District in Takhar province, Afghanistan. Thirteen villages from each zone were selected at random, and face-to-face interviews were conducted with ten randomly selected households in each of the selected villages in both zones based on a pre-tested questionnaire. The questionnaire contained indicators for all three dimensions of vulnerability: exposure, sensitivity and adaptive capacity. The collected data were subjected to a proposed vulnerability index, after estimating the indices of the three dimensions of vulnerability. The Iyenger and Sudershan weighting method was used to assess the contribution of each vulnerability dimension. Vulnerability was classified according to different categories based on beta distribution to evaluate the villages’ vulnerability status. The results showed that about 23% of all 26 sampled villages in both zones had low exposure, 26% moderate exposure and 51% high exposure to climate-change hazards and extreme weather events. High sensitivity was observed in 51%, moderate sensitivity in 7%, and low sensitivity in 42% of villages. High adaptive capacity to climate change was observed in 38% of villages, 19% were moderately adaptive and 42% showed a low adaptive capacity. High vulnerability was observed in 50% of villages, 4% were moderately vulnerable, and 46% had low vulnerability. A high proportion of smallholder farmers in the hilly zone in the sampled district were highly vulnerable, exposed and sensitive with a low adaptive capacity to climate change compared to the plain zone. The high vulnerability in the hilly zone was attributed to limited resources with a low adjustment capability to counter the disturbances, especially in crop cultivation, in response to climate change. A handful of low-cost and local approaches such as improving farmer extension services, introducing small-scale local infrastructure projects, reinforcing informal safety nets and protecting natural ecosystems could be viable cost-effective options that would also be sustainable given their low recurring costs and the limited maintenance required. © 2019 Elsevier Ltd","container-title":"Ecological Indicators","DOI":"10.1016/j.ecolind.2019.105863","ISSN":"1470160X","language":"English","note":"publisher: Elsevier B.V.","title":"Climate change vulnerability and adaptation strategies for smallholder farmers in Yangi Qala District, Takhar, Afghanistan","URL":"https://www.scopus.com/inward/record.uri?eid=2-s2.0-85074213101&amp;doi=10.1016%2fj.ecolind.2019.105863&amp;partnerID=40&amp;md5=f5d3dc5880670f5df717e2c3344acd81","volume":"110","author":[{"family":"Omerkhil","given":"N."},{"family":"Chand","given":"T."},{"family":"Valente","given":"D."},{"family":"Alatalo","given":"J.M."},{"family":"Pandey","given":"R."}],"issued":{"date-parts":[["2020"]]},"citation-key":"omerkhil_etal_2020"}},{"id":948,"uris":["http://zotero.org/users/7734624/items/WACGP4UF"],"itemData":{"id":948,"type":"article-journal","abstract":"Liver fluke infection (fascioliasis) is a parasitic disease which affects the health and welfare of ruminants. It is a concern for the livestock industry and is considered as a growing threat to the industry because changing climatic conditions are projected to be more favorable to increased frequency and intensity of liver fluke outbreaks. Recent reports highlighted that the incidence and geographic range of liver fluke has increased in the UK over the last decade and estimated to increase the average risk of liver fluke in the UK due to increasing temperature and rainfall. This paper explores financial impacts of the disease with and without climate change effects on Scottish livestock farms using a farm-level economic model. The model is based on farming system analysis and uses linear programming technique to maximize farm net profit within farm resources. Farm level data from a sample of 160 Scottish livestock farms is used under a no disease baseline scenario and two disease scenarios (with and without climate change). These two disease scenarios are compared with the baseline scenario to estimate the financial impact of the disease at farm levels. The results suggest a 12% reduction in net profit on an average dairy farm compared to 6% reduction on an average beef farm under standard disease conditions. The losses increase by 2-fold on a dairy farm and 6-fold on a beef farm when climate change effects are included with disease conditions on farms. There is a large variability within farm groups with profitable farms incurring relatively lesser economic losses than non-profitable farms. There is a substantial increase in number of vulnerable farms both in dairy (+20%) and beef farms (+27%) under the disease alongside climate change conditions. © Copyright © 2020 Shrestha, Barratt, Fox, Vosough Ahmadi and Hutchings.","container-title":"Frontiers in Veterinary Science","DOI":"10.3389/fvets.2020.564795","ISSN":"22971769","language":"English","note":"publisher: Frontiers Media S.A.","title":"Financial Impacts of Liver Fluke on Livestock Farms Under Climate Change–A Farm Level Assessment","URL":"https://www.scopus.com/inward/record.uri?eid=2-s2.0-85098055962&amp;doi=10.3389%2ffvets.2020.564795&amp;partnerID=40&amp;md5=f286db0add6f72e76a11e41c8c8f05e6","volume":"7","author":[{"family":"Shrestha","given":"S."},{"family":"Barratt","given":"A."},{"family":"Fox","given":"N.J."},{"family":"Vosough Ahmadi","given":"B."},{"family":"Hutchings","given":"M.R."}],"issued":{"date-parts":[["2020"]]},"citation-key":"shrestha_etal_2020"}},{"id":926,"uris":["http://zotero.org/users/7734624/items/98Y7UZEG"],"itemData":{"id":926,"type":"article-journal","abstract":"Erosion is a major concern of hill maize farming system. Watersheds with steep slope and fragile land are more prone to erosion. A perception based semi structured questionnaire survey was carried out in Thakani and Sindhukot of Melamchi municipality in Sindhupalchowk district to study relationships of erosion in maize field along with assessment of vulnerability and factors affecting adoption of prevention measures. Index ranking method and descriptive statistics were used to rank the perception of farmers pertaining to occurrence, causes and available control measures of erosion. Logit regression further assessed the determinants of adoption of erosion prevention measures where as vulnerability was assessed using integrated vulnerability assessment approach following Intergovernmental Panel on Climate Change (IPCC) guideline. Most of the surveyed farmers responded heavy rainfall as major cause of the erosion followed by weak geography whereas the intensity of erosion was moderately increasing. Majority of the respondents (72.5%) have not adopted any erosion prevention measures mainly due to no support from government and low income. Among various adaptation measures, most of the farmers have shifted cultivation time, improved drainage system and decreased weeding frequency. The logit regression showed that among the independent variables, income, education, gender, access to extension services and involvement in organizations are positively significant to the adoption decision. This implies farmers in prone area need support from government to adopt prevention measures. Low income household dependent on agriculture and marginal farmers were more vulnerable to erosion as they have low adaptive capacity and resilience power.","container-title":"SN APPLIED SCIENCES","DOI":"10.1007/s42452-020-03747-2","ISSN":"2523-3963","issue":"12","language":"English","note":"publisher-place: GEWERBESTRASSE 11, CHAM, CH-6330, SWITZERLAND\npublisher: SPRINGER INTERNATIONAL PUBLISHING AG\ntype: Article","title":"Soil erosion vulnerability and adaptation strategies in maize field of Sindhukhola sub-watershed region, Nepal","volume":"2","author":[{"family":"Panta","given":"Bibek"},{"family":"Bhandari","given":"Thaneshwar"},{"family":"Paudel","given":"Basanta"}],"issued":{"date-parts":[["2020",11,3]]},"citation-key":"panta_etal_2020"}},{"id":698,"uris":["http://zotero.org/users/7734624/items/X9APIH2K"],"itemData":{"id":698,"type":"article-journal","abstract":"The agricultural sector plays a strategic role in the Tunisian economy, particularly in rural areas. Resilience and adaptation to climate change are the main challenges facing this sector. This paper aims to analyze climate change resilience of agricultural production systems in Tunisian semi-arid areas and to propose options for policy interventions. A path Structural Equation Model (SEM) was used to predict the resilience of these systems using the partial least squares method (PLS). Results show that farming systems in Tunisian semi-arid areas remain threatened against negative impact of climate change since 80% of farms in the sample have shown low resilience levels. The most important determinants of agricultural systems’ resilience are farmers’ income and access to food, adaptive capacity, and access to productive and non-productive assets. Results indicate also that integrated systems, income diversification, along with cooperation and collective action are the key options to enhance resilience of rural households and farming systems. It is recommended to raise awareness of stakeholders and decision-makers about climate change challenges and to develop integrated approaches to better engaging with local stakeholders and institutions in adaptation programs and strategies development. © 2021, The Author(s), under exclusive licence to Springer-Verlag GmbH, DE part of Springer Nature.","container-title":"Environmental Science and Pollution Research","DOI":"10.1007/s11356-021-13089-0","ISSN":"09441344","issue":"34","language":"English","note":"publisher: Springer Science and Business Media Deutschland GmbH","page":"46797-46808","title":"Assessing and building climate change resilience of farming systems in Tunisian semi-arid areas","volume":"28","author":[{"family":"Ben Nasr","given":"J."},{"family":"Chaar","given":"H."},{"family":"Bouchiba","given":"F."},{"family":"Zaibet","given":"L."}],"issued":{"date-parts":[["2021"]]},"citation-key":"bennasr_etal_2021"}},{"id":900,"uris":["http://zotero.org/users/7734624/items/ESZ3PZ8X"],"itemData":{"id":900,"type":"article-journal","abstract":"The Mediterranean region is expected to be a hotspot for climate change, making the resilience of farming systems a major challenge. Some studies have used quantitative models at the farm scale to analyze the resilience of farming systems but with little involvement of stakeholders. We used a participatory approach with local actors on the Saïs plain of Morocco to design possible future states and qualitatively assess the resilience of typical farm types (FTs) experiencing major change. Our approach combined individual interviews of farmers and local actors, mainly public, with participatory collective meetings to identify representative FTs and their performance, project their evolutions and future performance in the face of change, and evaluate their resilience. Performance, defined according to literature, interviews and meetings, included different types of capital, income, yields, markets, support of public policies, and water access. Four FTs were considered: highly irrigated horticulture (FT1), rainfed cereals (FT2), partly irrigated cereal-legumes (FT3), and mostly irrigated fruit-tree/horticulture (FT4). The primary driver for FT2 and FT3 was climate change; for FT1 and FT4, it was limiting access to water resources. Participants designed more diversified systems for all FTs in relation to those changes. Rankings of FT performance did not change between current and future states. Performance did not evolve significantly, but FT4 was seen as the most resilient and FT2 the least. These qualitative results differ somewhat from other studies mobilizing quantitative approaches, but they highlight the potential of local adaptation to limit the impacts of global change on vulnerable agriculture. © 2021, The Author(s), under exclusive licence to Springer-Verlag GmbH Germany, part of Springer Nature.","container-title":"Regional Environmental Change","DOI":"10.1007/s10113-021-01764-4","ISSN":"14363798","issue":"2","language":"English","note":"publisher: Springer Science and Business Media Deutschland GmbH","title":"Assessing the resilience of farming systems on the Saïs plain, Morocco","URL":"https://www.scopus.com/inward/record.uri?eid=2-s2.0-85103359646&amp;doi=10.1007%2fs10113-021-01764-4&amp;partnerID=40&amp;md5=924a3e87533f83436132d881f83b85fc","volume":"21","author":[{"family":"Hossard","given":"L."},{"family":"Fadlaoui","given":"A."},{"family":"Ricote","given":"E."},{"family":"Belhouchette","given":"H."}],"issued":{"date-parts":[["2021"]]},"citation-key":"hossard_etal_2021"}},{"id":898,"uris":["http://zotero.org/users/7734624/items/QIC727NG"],"itemData":{"id":898,"type":"article-journal","abstract":"Climate change threatens the livelihoods of smallholder farmers in the Global South. In semi-arid northern Ghana, where over 73% of the population is engaged in smallholder agriculture, climate-induced food insecurity is of major concern. Livelihood diversification is acknowledged to have the potential to improve climate resilience in smallholder farming systems through risk spreading. That notwithstanding, little is known about the links between livelihood diversification strategies and climate resilience in such vulnerable settings. Drawing data from a cross-sectional survey with 1100 smallholder households in semi-arid northern Ghana, this study contributes to the literature by examining the association between livelihood diversification and climate change resilience. Findings from logistic regression analysis revealed that smallholder farming households that practiced only farm diversification (OR = 4.66; p ≤ 0.001) and a combination of both farm and nonfarm diversification (OR = 6.28; p ≤ 0.001) had significantly higher odds of reporting stronger resilience to climate change compared to those who did not employ any diversification strategy. The study further revealed that land preparation techniques, source of climate information, and religion were significantly associated with smallholder farmers’ perceived climate change resilience. These findings point to the need for agricultural policy to promote both farm and nonfarm livelihoods as complementary risk-spreading strategies. Exploring the synergies between farm and nonfarm livelihoods may prove beneficial in semi-arid agrarian contexts. In doing so, critical contextual dynamics such as source of farm power and sources of climate information must not be overlooked. © 2021, The Author(s), under exclusive licence to Springer Nature B.V. part of Springer Nature.","container-title":"Climatic Change","DOI":"10.1007/s10584-021-03034-y","ISSN":"01650009","issue":"3-4","language":"English","note":"publisher: Springer Science and Business Media B.V.","title":"Livelihood diversification strategies and resilience to climate change in semi-arid northern Ghana","URL":"https://www.scopus.com/inward/record.uri?eid=2-s2.0-85101542820&amp;doi=10.1007%2fs10584-021-03034-y&amp;partnerID=40&amp;md5=704671630e15cee5760b492459f91982","volume":"164","author":[{"family":"Mohammed","given":"K."},{"family":"Batung","given":"E."},{"family":"Kansanga","given":"M."},{"family":"Nyantakyi-Frimpong","given":"H."},{"family":"Luginaah","given":"I."}],"issued":{"date-parts":[["2021"]]},"citation-key":"mohammed_etal_2021"}},{"id":899,"uris":["http://zotero.org/users/7734624/items/YI6CCDC8"],"itemData":{"id":899,"type":"article-journal","abstract":"Gender and vulnerability are important issues to examine in the context of flooding caused by climate change. Men and women around the world adapt differently to climate change effects and natural disasters. Therefore, this study examines men and women’s level of vulnerabilities and their choices of livelihood practices in char farming households in Zanjira, Bangladesh. The study used primary and secondary data. Both qualitative and quantitative were collected. Quantitative data were collected from a household survey of 115 men and 114 women using a questionnaire. Qualitative data were collected through 15 key informant interviews, 30 focus group discussions, and 18 in-depth interviews. Quantitative and qualitative methods were used to assess men and women’s vulnerabilities, including three indices of vulnerability measuring access to livelihood assets were used. A hierarchical regression model was used to perform a gender-based analysis. The percentile score for men was 0.430 units higher than for women, revealing that male respondents were less vulnerable than female respondents in the study area. The results of the regression model showed that the use of gender as an explanatory variable increased the explanatory power of the model and was highly significant. The overall findings of quantitative and qualitative data analysis revealed that floods’ impacts were different for men and women and that women were more vulnerable overall, in part because of gender-related sociocultural norms. These differentials in vulnerabilities affected men and women’s ability to respond and recover from floods and adapt to new opportunities when disaster strikes. © 2021, The Author(s), under exclusive licence to Springer Nature B.V. part of Springer Nature.","container-title":"Natural Hazards","DOI":"10.1007/s11069-020-04482-y","ISSN":"0921030X","issue":"1","language":"English","note":"publisher: Springer Science and Business Media B.V.","page":"655-677","title":"Gender-based differences in flood vulnerability among men and women in the char farming households of Bangladesh","volume":"106","author":[{"family":"Naz","given":"F."},{"family":"Saqib","given":"S.E."}],"issued":{"date-parts":[["2021"]]},"citation-key":"naz_saqib_2021"}},{"id":925,"uris":["http://zotero.org/users/7734624/items/9WJDHG8S"],"itemData":{"id":925,"type":"article-journal","abstract":"In developing countries like Pakistan, agriculture constitutes the primary source of support for the majority of rural and the adjacent urban population. Despite the large part it plays in the economy, it faces significant challenges caused by climate change, such as rising temperatures, floods, droughts, and yield losses. In Pakistan, rice, which is the second most essential food crop and livelihood source for the millions of farm households, is facing significant yield reduction due to climate change. It is pertinent to consider the vulnerabilities of farm households and related factors to create a climatic-resilient farming system. The current study is aimed at mapping the vulnerability of rice-growing communities of Punjab province while considering climatic challenges beyond temperatures and rainfall changes. The Climate Change Vulnerability Index (CCVI) was calculated for four rice-growing districts of Punjab province using the Intergovernmental Panel on Climate Change's three-indicator approach (sensitivity, exposition, and adaptive capacity). According to the results, farmers in the study area are highly vulnerable to climate change (CCVI 0.81). Specifically, the indices of vulnerability components showed that farmers have a high level of exposure (EVI 0.72) and susceptibility (SVI 0.59) to the climatic uncertainties with the least adaptive capacity (AVI 0.50). Further, the vulnerability analysis across different rice-growing regions showed that farmers, particularly in the low-yield region, are more vulnerable (EVI 0.73, SVI 0.61, AVI 0.49, CCVI 0.85) than the farmers in the high-yield region (EVI 0.71, SVI 0.58, AVI 0.51, CCVI 0.78). These findings imply that regional priority must be given despite the difference in farm performance to reduce production losses. Besides, climate-smart adaptation initiatives should be facilitated at the farm and regional levels through the implementation of appropriate policies and investment plans.","container-title":"ENVIRONMENTAL SCIENCE AND POLLUTION RESEARCH","DOI":"10.1007/s11356-020-10758-4","ISSN":"0944-1344","issue":"4, SI","language":"English","note":"publisher-place: TIERGARTENSTRASSE 17, D-69121 HEIDELBERG, GERMANY\npublisher: SPRINGER HEIDELBERG\ntype: Article","page":"4229-4244","title":"Mapping farmers' vulnerability to climate change and its induced hazards: evidence from the rice-growing zones of Punjab, Pakistan","volume":"28","author":[{"family":"Khan","given":"Nasir Abbas"},{"family":"Gao","given":"Qijie"},{"family":"Abid","given":"Muhammad"},{"family":"Shah","given":"Ashfaq Ahmad"}],"issued":{"date-parts":[["2021",1]]},"citation-key":"khan_etal_2021"}},{"id":3361,"uris":["http://zotero.org/users/7734624/items/RH6ZIHNH"],"itemData":{"id":3361,"type":"article-journal","abstract":"In this article, we use spatially granular climate data merged with four waves of household survey data in Uganda to examine empirically the relationships among high temperatures, total value of crop production, and the adoption and adoption duration of two sustainable agricultural practices (organic fertilizer adoption and maize–legume intercropping). We do this using a fixed‐effect model with instrumental variables to address potential endogeneity issues. Our findings indicate that the adoption of these practices has a positive effect on the total value of crop production, and such effect increases monotonically as temperatures increase from long‐term averages. Moreover, the number of years a farmer uses the practice is associated with higher total value of crop production, and this relationship holds across the full distribution of high temperature deviations. Taken together, the results suggest that promoting the adoption, and particularly the sustained adoption, of these practices can help to address the risks posed by rising temperatures to Ugandan agriculture and the livelihoods of farmers who depend on it.","container-title":"American Journal of Agricultural Economics","DOI":"10.1111/ajae.12229","ISSN":"0002-9092, 1467-8276","issue":"1","journalAbbreviation":"American J Agri Economics","language":"en","page":"385-403","source":"DOI.org (Crossref)","title":"Adapting to High Temperatures: Effect of Farm Practices and Their Adoption Duration on Total Value of Crop Production in Uganda","title-short":"Adapting to High Temperatures","volume":"104","author":[{"family":"Maggio","given":"Giuseppe"},{"family":"Mastrorillo","given":"Marina"},{"family":"Sitko","given":"Nicholas J."}],"issued":{"date-parts":[["2022",1]]},"citation-key":"maggio_etal_2022"}},{"id":3612,"uris":["http://zotero.org/users/7734624/items/RX5DCEGB"],"itemData":{"id":3612,"type":"article-journal","abstract":"The complexities of smallholder farming systems pose a challenge in demonstrating the potential benefits or risks of new technologies and policies. Using Integrated Analysis Tool, a rule-based dynamic simulation model, this study tried to improve the performance of major farming systems in the Tamil Nadu State of India. Amongst the four major farming systems viz. Black gram-based (BFS), Paddy-based (PFS), and Integrated Farming Systems (IFS) in Villupuram district and Dryland Farming System (DFS) in Virudhunagar district, IFS was found to be the most profitable and resilient based on their performance simulated for a 3-year rotation. Setting IFS as a benchmark, potential interventions were evaluated under other farming systems to improve their relative performance. The analysis allowed understanding the interactions in smallholder farming systems and the potential impact of interventions in a whole farm way considering the cash flows, cost intensity, and input-output trade-offs. While multi-bloom technology in black gram increased the net profit of BFS without much stress on input and labour, area expansion under rainfed groundnut incurred high expenditure. Trading-off paddy with maize and groundnut significantly increased the net profit of PFS but replacing sugarcane with tapioca and turmeric was not remunerative. Improved livestock management practices have substantially increased the net profit of DFS wherein crop yield could not be enhanced substantially without the prospects of good irrigation infrastructure. The irrigation endowed PFS has achieved 90% performance, whereas the water-starved BFS and DFS could achieve only 65% performance of IFS. We conclude that agricultural policy must not only focus on potential interventions that are profitable but also consider what is acceptable to the farmer, considering synergies and trade-offs between competing resources at the farm level.","container-title":"Outlook on Agriculture","DOI":"10.1177/00307270221077380","ISSN":"0030-7270","issue":"2","journalAbbreviation":"Outlook Agric","language":"en","note":"publisher: SAGE Publications Ltd","page":"197-212","source":"SAGE Journals","title":"Technology, infrastructure and enterprise trade-off: Strengthening smallholder farming systems in Tamil Nadu State of India for sustainable income and food security","title-short":"Technology, infrastructure and enterprise trade-off","volume":"51","author":[{"family":"Varadan","given":"R Jayakumara"},{"family":"Mamidanna","given":"Sravya"},{"family":"Kumar","given":"Shalander"},{"family":"Ahmed","given":"SK Zamir"},{"family":"Jaisankar","given":"I"}],"issued":{"date-parts":[["2022",6,1]]},"citation-key":"varadan_etal_2022"}},{"id":3259,"uris":["http://zotero.org/users/7734624/items/DG63YPC4"],"itemData":{"id":3259,"type":"article-journal","abstract":"The climate change impacts of South Asia (SA) are inextricably linked with increased monsoon variability and a clearly deteriorating trend with more frequent deficit monsoons. One of the most climate-vulnerable nations in the eastern and central Indo-Gangetic Basin is Bangladesh. There have been numerous studies on the effects of climate change in Bangladesh; however, most of them tended to just look at a small fraction of the impact elements or were climatic projections without accounting for the effects on agriculture. Additionally, simulation studies using the CERES-Rice and CERES-Wheat models were conducted for rice and wheat to evaluate the effects of climate change on Bangladeshi agriculture. However, up to now, Bangladesh has not implemented farming system ideas by integrating cropping systems with other income-generating activities. This study was conducted as part of the Indo-Gangetic Basin (IGB) regional evaluations using the protocols and integrated assessment processes of the Agricultural Model Intercomparison and Improvement Project (AgMIP). It was also done to calibrate crop models (APSIM and DSSAT) using rice and wheat. To assist policymakers in creating national and regional plans for anticipated future agricultural systems, our work on the integrated evaluation of climate change impacts on agricultural systems produced realistic predictions. The outcome of this research prescribes a holistic assessment of climate change on future production systems by including all the relevant enterprises in the agriculture sector. The findings of the study suggested two major strategies to minimize the yield and increase the profitability in a rice–wheat cropping system. Using a short-term HYV (High Yielding Variety) of rice can shift the sowing time of wheat by 7 days in advance compared to the traditional sowing days of mid-November. In addition, increasing the irrigation amount by 50 mm for wheat showed a better yield by 1.5–32.2% in different scenarios. These climate change adaptation measures could increase the per capita income by as high as 3.6% on the farm level.","container-title":"International Journal of Environmental Research and Public Health","DOI":"10.3390/ijerph192315829","ISSN":"1660-4601","issue":"23","journalAbbreviation":"IJERPH","language":"en","license":"https://creativecommons.org/licenses/by/4.0/","page":"15829","source":"DOI.org (Crossref)","title":"Climate Change Impacts Assessment Using Crop Simulation Model Intercomparison Approach in Northern Indo-Gangetic Basin of Bangladesh","volume":"19","author":[{"family":"Chawdhery","given":"Md Rafique Ahasan"},{"family":"Al-Mueed","given":"Murtuza"},{"family":"Wazed","given":"Md Abdul"},{"family":"Emran","given":"Shah-Al"},{"family":"Chowdhury","given":"Md Abeed Hossain"},{"family":"Hussain","given":"Sk Ghulam"}],"issued":{"date-parts":[["2022",11,28]]},"citation-key":"chawdhery_etal_2022"}},{"id":3346,"uris":["http://zotero.org/users/7734624/items/89PSQCE6"],"itemData":{"id":3346,"type":"article-journal","container-title":"Agricultural Systems","DOI":"10.1016/j.agsy.2022.103537","ISSN":"0308521X","journalAbbreviation":"Agricultural Systems","language":"en","page":"103537","source":"DOI.org (Crossref)","title":"Adaptive capacity of farming systems to climate change in Iran: Application of composite index approach","title-short":"Adaptive capacity of farming systems to climate change in Iran","volume":"204","author":[{"family":"Abdollahzadeh","given":"Gholamhossein"},{"family":"Sharifzadeh","given":"Mohammad Sharif"},{"family":"Sklenička","given":"Petr"},{"family":"Azadi","given":"Hossein"}],"issued":{"date-parts":[["2023",1]]},"citation-key":"abdollahzadeh_etal_2023"}},{"id":3311,"uris":["http://zotero.org/users/7734624/items/JQMSVRNU"],"itemData":{"id":3311,"type":"article-journal","abstract":"This study assesses the perceptions and vulnerability of the farming communities to climate change in the southwestern parts of Ethiopia. Climate change vulnerability assessment is a prerequisite to designing climate change adaptation strategies. A multistage cluster sampling technique was used to select four of the six zones from the southwestern parts of Oromia. Close-ended and open-ended questionnaires were used to assess household perceptions of climate change and the degree of vulnerability to climate change by using five household capitals: natural, social, financial, physical, and human capital. Data were collected from 442 households in 4 districts: Jimma Arjo, Bako Tibe, Chewaka, and Sekoru. The vulnerability of the farming communities was assessed using the households’ livelihood vulnerability index. A total of forty indicators from five capitals were applied to calculate household livelihood vulnerability to climate change. Household perceptions of climate change had a statistically significant relationship with changes in rainfall pattern (75.6%, p &lt; 0.001), temperature pattern (69.7%, p &lt; 0.001), drought (41.6%, p = 0.016), flood (44.1%, p = 0.000), and occurrence of early (53.2%, p &lt; 0.001) and late rain (55.9%, p &lt; 0.001). The results show that households in the Sekoru district were the most vulnerable (0.61), while households in the Jimma Arjo district were less vulnerable (0.47) to the effect of climate change. Household vulnerability to climate change is mainly related to the occurrence of drought, lack of much-needed infrastructure facilities, and weak institutional support. Links with financial organizations are also lacking in the household. The findings of this study will help policymakers to address the impact of climate change. To support disaster risk management on the one hand and increase the resilience of vulnerable societies to climate change on the other, we recommend a detailed assessment of the remaining districts of the region.","container-title":"Climate","DOI":"10.3390/cli11090183","ISSN":"2225-1154","issue":"9","journalAbbreviation":"Climate","language":"en","license":"https://creativecommons.org/licenses/by/4.0/","page":"183","source":"DOI.org (Crossref)","title":"Climate Change Perception and Vulnerability Assessment of the Farming Communities in the Southwest Parts of Ethiopia","volume":"11","author":[{"family":"Gemeda","given":"Dessalegn Obsi"},{"family":"Korecha","given":"Diriba"},{"family":"Garedew","given":"Weyessa"}],"issued":{"date-parts":[["2023",9,5]]},"citation-key":"gemeda_etal_2023"}},{"id":3309,"uris":["http://zotero.org/users/7734624/items/TE7LJQNF"],"itemData":{"id":3309,"type":"article-journal","container-title":"Research in Globalization","DOI":"10.1016/j.resglo.2023.100138","ISSN":"2590051X","journalAbbreviation":"Research in Globalization","language":"en","page":"100138","source":"DOI.org (Crossref)","title":"Vulnerability of family farming systems to climate change: The case of the forest-savannah transition zone, Centre Region of Cameroon","title-short":"Vulnerability of family farming systems to climate change","volume":"7","author":[{"family":"Marie Chimi","given":"Pierre"},{"family":"Armand Mala","given":"William"},{"family":"Ngamsou Abdel","given":"Karimou"},{"family":"Louis Fobane","given":"Jean"},{"family":"Manga Essouma","given":"François"},{"family":"Hermann Matick","given":"John"},{"family":"Yldephonse Nyonce Pokam","given":"Eusebe"},{"family":"Tcheferi","given":"Imma"},{"family":"Martin Bell","given":"Joseph"}],"issued":{"date-parts":[["2023",12]]},"citation-key":"mariechimi_etal_2023"}},{"id":3277,"uris":["http://zotero.org/users/7734624/items/H7L2VTQR"],"itemData":{"id":3277,"type":"article-journal","abstract":"Enhanced anthropogenic climatic variability challenges small farmers. In the Sumapaz páramo (Colombia), higher irregularity in precipitation and temperature reduces the quality of pasture and cattle health. Data from surveys, semi-structured interviews, and focus groups were analyzed to understand livestock farmers’ responses to the impacts of climatic variability. To estimate the communities’ resilience in the páramo, we used the capitals framework, the Baseline Resilience Indicator for Communities (BRIC), and cluster analysis. The responses of most households aim to reduce the impacts of climatic variability on the production system, chiefly intensifying practices such as the rotation of paddocks, livelihood diversification, purchase of grass, and buying and selling livestock. Interestingly, farmers did not recognize the value of the types of capital for responding to climatic variability. Results showed that the use of available physical, social, and economic capitals render the farming system resilient. Our probit model estimated that economic and human capitals are the largest and most significant contributors to communities’ capacity to respond to climatic variability. However, pre-existing non-climatic vulnerabilities are also important. For example, poverty hinders farmers from using their income in response to climatic variability. The place-based measurements used in this research are easily understood and applicable by local policy makers to address increasing climate variability.","container-title":"Land","DOI":"10.3390/land13040499","ISSN":"2073-445X","issue":"4","journalAbbreviation":"Land","language":"en","license":"https://creativecommons.org/licenses/by/4.0/","page":"499","source":"DOI.org (Crossref)","title":"Adaptive Responses and Resilience of Small Livestock Producers to Climate Variability in the Cruz Verde-Sumapaz Páramo, Colombia","volume":"13","author":[{"family":"Postigo","given":"Julio C."},{"family":"Guáqueta-Solórzano","given":"Victoria-Eugenia"},{"family":"Castañeda","given":"Edna"},{"family":"Ortiz-Guerrero","given":"Cesar Enrique"}],"issued":{"date-parts":[["2024",4,11]]},"citation-key":"postigo_etal_2024"}},{"id":3286,"uris":["http://zotero.org/users/7734624/items/XNDAQFCC"],"itemData":{"id":3286,"type":"article-journal","abstract":"Agriculture is vital to the Saudi Arabian economy since it provides food and other necessities to people living in rural areas, as well as those living in adjacent cities. Notwithstanding its considerable economic importance, the agricultural sector is confronted with formidable obstacles due to climate change, such as elevated temperatures, floods, extreme droughts, and decreased agricultural yields. Building a farming system capable of being climate resilient requires the comprehension of the vulnerabilities of farm households and related systems. This paper deals with the potential agricultural risks resulting from climate change in Saudi Arabia. In addition to concentrating on precipitation and temperature, the present research incorporates the three main components of the Climate Change Vulnerability Index (CCVI): sensitivity, exposure, and adaptive capability. The results of this research reveal a notable challenge that farmers in Saudi Arabia encounter, as they are very susceptible to the impacts of climate change. The Climate Change Vulnerability Index (CCVI) has a score of 0.730, signifying a substantial degree of vulnerability. The farmers in this region are very susceptible to uncertainties caused by climate change, as indicated by the significant exposure score of 0.725. This exposure comprises a wide range of concerns resulting from fluctuations in temperature, patterns of rainfall, and occurrences of severe weather, all of which have an immediate and negative effect on agriculture. Farmers in</w:instrText>
            </w:r>
            <w:r w:rsidR="00F14CCF" w:rsidRPr="00F14CCF">
              <w:rPr>
                <w:rFonts w:ascii="Times New Roman" w:eastAsia="Times New Roman" w:hAnsi="Times New Roman" w:cs="Times New Roman"/>
                <w:color w:val="000000"/>
                <w:lang w:val="fr-FR" w:eastAsia="en-GB"/>
              </w:rPr>
              <w:instrText xml:space="preserve"> that region are more susceptible to the effects of climate change, which could jeopardize their livelihoods and agricultural operations, as shown by the susceptibility component (SVI) of 0.559. Moreover, the adaptive capacity (AVI) score of 0.567 highlights the fact that farmers have limited access to resources, skills, and experience, hindering their ability to tackle the challenges that have been caused by climate change in this region successfully. The results emphasize the immediate necessity for specific policies and assistance to enhance the resilience of agricultural communities in the area, as well as to mitigate the potential adverse effects of climate change on their livelihoods.","container-title":"Sustainability","DOI":"10.3390/su16104245","ISSN":"2071-1050","issue":"10","journalAbbreviation":"Sustainability","language":"en","license":"https://creativecommons.org/licenses/by/4.0/","page":"4245","source":"DOI.org (Crossref)","title":"Exploring Climate-Induced Agricultural Risk in Saudi Arabia: Evidence from Farming Communities of Medina Region","title-short":"Exploring Climate-Induced Agricultural Risk in Saudi Arabia","volume":"16","author":[{"family":"Alotaibi","given":"Bader Alhafi"},{"family":"Xu","given":"Weizhou"},{"family":"Shah","given":"Ashfaq Ahmad"},{"family":"Ullah","given":"Wahid"}],"issued":{"date-parts":[["2024",5,17]]},"citation-key":"alotaibi_etal_2024"}}],"schema":"https://github.com/citation-style-language/schema/raw/master/csl-citation.json"}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F14CCF" w:rsidRPr="00F14CCF">
              <w:rPr>
                <w:rFonts w:ascii="Times New Roman" w:hAnsi="Times New Roman" w:cs="Times New Roman"/>
                <w:lang w:val="fr-FR"/>
              </w:rPr>
              <w:t>(Keil et al. 2009; Mutabazi et al. 2015; Ghahramani and Moore 2016; Duncan et al. 2017; Jiri et al. 2017; Lopez-Ridaura et al. 2018; Souissi et al. 2018; Omerkhil et al. 2020; Shrestha et al. 2020; Panta et al. 2020; Ben Nasr et al. 2021; Hossard et al. 2021; Mohammed et al. 2021; Naz and Saqib 2021; Khan et al. 2021; Maggio et al. 2022; Varadan et al. 2022; Chawdhery et al. 2022; Abdollahzadeh et al. 2023; Gemeda et al. 2023; Marie Chimi et al. 2023; Postigo et al. 2024; Alotaibi et al. 2024)</w:t>
            </w:r>
            <w:r w:rsidRPr="00FF4B56">
              <w:rPr>
                <w:rFonts w:ascii="Times New Roman" w:eastAsia="Times New Roman" w:hAnsi="Times New Roman" w:cs="Times New Roman"/>
                <w:color w:val="000000"/>
                <w:lang w:eastAsia="en-GB"/>
              </w:rPr>
              <w:fldChar w:fldCharType="end"/>
            </w:r>
          </w:p>
        </w:tc>
      </w:tr>
      <w:tr w:rsidR="00663667" w:rsidRPr="00AF6801" w14:paraId="530B8E59" w14:textId="72875C80" w:rsidTr="00406364">
        <w:trPr>
          <w:trHeight w:val="288"/>
        </w:trPr>
        <w:tc>
          <w:tcPr>
            <w:tcW w:w="0" w:type="auto"/>
            <w:tcBorders>
              <w:top w:val="nil"/>
              <w:left w:val="nil"/>
              <w:bottom w:val="nil"/>
              <w:right w:val="nil"/>
            </w:tcBorders>
            <w:shd w:val="clear" w:color="000000" w:fill="FFFFFF"/>
          </w:tcPr>
          <w:p w14:paraId="0A4BDBAB" w14:textId="77777777" w:rsidR="00663667" w:rsidRPr="00FF4B56"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hideMark/>
          </w:tcPr>
          <w:p w14:paraId="4D2A0413" w14:textId="7FAF7C98" w:rsidR="00663667" w:rsidRPr="00FF4B56"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val="fr-FR" w:eastAsia="en-GB"/>
              </w:rPr>
              <w:t> </w:t>
            </w:r>
          </w:p>
        </w:tc>
        <w:tc>
          <w:tcPr>
            <w:tcW w:w="5310" w:type="dxa"/>
            <w:tcBorders>
              <w:top w:val="nil"/>
              <w:left w:val="nil"/>
              <w:bottom w:val="nil"/>
              <w:right w:val="nil"/>
            </w:tcBorders>
            <w:shd w:val="clear" w:color="000000" w:fill="FFFFFF"/>
            <w:noWrap/>
            <w:hideMark/>
          </w:tcPr>
          <w:p w14:paraId="5FEB252B" w14:textId="6B31EE79" w:rsidR="00663667" w:rsidRPr="00FF4B56"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val="fr-FR" w:eastAsia="en-GB"/>
              </w:rPr>
              <w:t>Labour stock</w:t>
            </w:r>
          </w:p>
        </w:tc>
        <w:tc>
          <w:tcPr>
            <w:tcW w:w="1350" w:type="dxa"/>
            <w:tcBorders>
              <w:top w:val="nil"/>
              <w:left w:val="nil"/>
              <w:bottom w:val="nil"/>
              <w:right w:val="nil"/>
            </w:tcBorders>
            <w:shd w:val="clear" w:color="000000" w:fill="FFFFFF"/>
            <w:noWrap/>
            <w:hideMark/>
          </w:tcPr>
          <w:p w14:paraId="5AFDBB69" w14:textId="191ED6D2" w:rsidR="00663667" w:rsidRPr="00FF4B56"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val="fr-FR" w:eastAsia="en-GB"/>
              </w:rPr>
              <w:t>1</w:t>
            </w:r>
            <w:r>
              <w:rPr>
                <w:rFonts w:ascii="Times New Roman" w:eastAsia="Times New Roman" w:hAnsi="Times New Roman" w:cs="Times New Roman"/>
                <w:color w:val="000000"/>
                <w:lang w:val="fr-FR" w:eastAsia="en-GB"/>
              </w:rPr>
              <w:t>8</w:t>
            </w:r>
          </w:p>
        </w:tc>
        <w:tc>
          <w:tcPr>
            <w:tcW w:w="5274" w:type="dxa"/>
            <w:tcBorders>
              <w:left w:val="nil"/>
              <w:right w:val="nil"/>
            </w:tcBorders>
            <w:shd w:val="clear" w:color="000000" w:fill="FFFFFF"/>
          </w:tcPr>
          <w:p w14:paraId="4DF49169" w14:textId="67C648B7" w:rsidR="00663667" w:rsidRPr="00FF4B56"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F14CCF">
              <w:rPr>
                <w:rFonts w:ascii="Times New Roman" w:eastAsia="Times New Roman" w:hAnsi="Times New Roman" w:cs="Times New Roman"/>
                <w:color w:val="000000"/>
                <w:lang w:val="fr-FR" w:eastAsia="en-GB"/>
              </w:rPr>
              <w:instrText xml:space="preserve"> ADDIN ZOTERO_ITEM CSL_CITATION {"citationID":"CnHz01ye","properties":{"formattedCitation":"(Keil et al. 2009; Rodriguez et al. 2011; Mutabazi et al. 2015; Jiri et al. 2017; Lopez-Ridaura et al. 2018; Souissi et al. 2018; Omerkhil et al. 2020; Ben Nasr et al. 2021; Hossard et al. 2021; Mishra et al. 2021; Mohammed et al. 2021; Khan et al. 2021; Chukwuone and Amaechina 2021; Abdollahzadeh et al. 2023; Soltani and Mellah 2023; Kumar et al. 2024; Postigo et al. 2024; Alotaibi et al. 2024)","plainCitation":"(Keil et al. 2009; Rodriguez et al. 2011; Mutabazi et al. 2015; Jiri et al. 2017; Lopez-Ridaura et al. 2018; Souissi et al. 2018; Omerkhil et al. 2020; Ben Nasr et al. 2021; Hossard et al. 2021; Mishra et al. 2021; Mohammed et al. 2021; Khan et al. 2021; Chukwuone and Amaechina 2021; Abdollahzadeh et al. 2023; Soltani and Mellah 2023; Kumar et al. 2024; Postigo et al. 2024; Alotaibi et al. 2024)","noteIndex":0},"citationItems":[{"id":930,"uris":["http://zotero.org/users/7734624/items/KBCYEHLF"],"itemData":{"id":930,"type":"article-journal","abstract":"Crop production in Southeast Asia is subject to considerable climate variability caused by the El Nino-Southern Oscillation phenomenon. El Nino causes comparatively dry conditions leading to substantial declines in crop yields, with severe consequences for the welfare of local farm households. Using an interdisciplinary modelling approach that combines regression analysis with linear programming (LP) and stochastic simulation, and integrates climatic and hydrologic modelling results, the objective of the present study is to assess the impact of El Nino on agricultural incomes of smallholder farmers in Central Sulawesi, Indonesia, and to derive suitable crop management strategies to mitigate income reductions. We identify 5 farm classes by cluster analysis. Our LP model maximises their cash balance at the end of the time period most severely affected by El Nino. Main activities are the cultivation of rice, maize and cocoa. Accounting for water supply, external Cobb-Douglas production functions generate output according to level of production intensity and predicted weather patterns. Stochastic Simulation accounts for variations in crop yields due to factors not captured by the production functions. Iterative model runs produce probability distributions of the model outcomes for each household class, whereby the downside risk of failing to achieve a specified minimum level of income is particularly policy relevant. The results illustrate that drought-related crop management recommendations must be tailored to farm households according to their location, farming system and resource endowment. Furthermore, Our findings demonstrate the importance of policy measures aimed at an ex post alleviation of drought impacts.","container-title":"Climate Research","DOI":"10.3354/cr00778","ISSN":"0936-577X","issue":"2","page":"155–169","title":"Vulnerability of smallholder farmers to ENSO-related drought in Indonesia UR -://WOS:000270149600006","title-short":"Vulnerability of smallholder farmers to ENSO-related drought in Indonesia","volume":"38","author":[{"family":"Keil","given":"A."},{"family":"Teufel","given":"N."},{"family":"Gunawan","given":"D."},{"family":"Leemhuis","given":"C."}],"issued":{"date-parts":[["2009",2]]},"citation-key":"keil_etal_2009"}},{"id":699,"uris":["http://zotero.org/users/7734624/items/7UJAZIWX"],"itemData":{"id":699,"type":"article-journal","abstract":"This paper examines the idea that plasticity in farm management introduces resilience to change and allows farm businesses to perform when operating in highly variable environments. We also argue for the need to develop and apply more integrative assessments of farm performance that combine the use of modelling tools with deliberative processes involving farmers and researchers in a co-learning process, to more effectively identify and implement more productive and resilient farm businesses. In a plastic farming system, farm management is highly contingent on environmental conditions. In plastic farming systems farm managers constantly vary crops and inputs based on the availability of limited and variable resources (e.g. land, water, finances, labour, machinery, etc.), and signals from its operating environment (e.g. climate, markets), with the objective of maximising a number of, often competing, objectives (e.g. maximise profits, minimise risks, etc.). In contrast in more rigid farming systems farm management is more calendar driven and relatively fixed sequences of crops are regularly followed over time and across the farm. Here we describe the application of a whole farm simulation model to (i) compare, in silico, the sensitivity of two farming systems designs of contrasting levels of plasticity, operating in two contrasting environments, when exposed to a stressor in the form of climate change scenarios:(ii) investigate the presence of interactions and feedbacks at the field and farm levels capable of modifying the intensity and direction of the responses to climate signals: and (iii) discuss the need for the development and application of more integrative assessments in the analysis of impacts and adaptation options to climate change. In both environments, the more plastic farm management strategy had higher median profits and was less risky for the baseline and less intensive climate change scenarios (2030). However, for the more severe climate change scenarios (2070), the benefit of plastic strategies tended to disappear. These results suggest that, to a point, farming systems having higher levels of plasticity would enable farmers to more effectively respond to climate shifts, thus ensuring the economic viability of the farm business. Though, as the intensity of the stress increases (e.g. 2070 climate change scenario) more significant changes in the farming system might be required to adapt. We also found that in the case studies analysed here, most of the impacts from the climate change scenarios on farm profit and economic risk originated from important reductions in cropping intensity and changes in crop mix rather than from changes in the yields of individual crops. Changes in cropping intensity and crop mix were explained by the combination of reductions in the number of sowing opportunities around critical times in the cropping calendar, and to operational constraints at the whole farm level i.e. limited work capacity in an environment having fewer and more concentrated sowing opportunities. This indicates that indirect impacts from shifts in climate on farm operations can be more important than direct impacts from climate on the yield of individual crops. The results suggest that due to the complexity of farm businesses, impact assessments and opportunities for adaptation to climate change might also need to be pursued at higher integration levels than the crop or the field. We conclude that plasticity can be a desirable characteristic in farming systems operating in highly variable environments, and that integrated whole farm systems analyses of impacts and adaptation to climate change are required to identify important interactions between farm management decision rules, availability of resources, and farmer's preference. Crown Copyright (C) 2011 Published by Elsevier B.V. All rights reserved.","container-title":"Field Crops Research","DOI":"10.1016/j.fcr.2011.02.012","ISSN":"0378-4290","issue":"2","page":"157–170","title":"The intrinsic plasticity of farm businesses and their resilience to change. An Australian example UR -://WOS:000296107300004","title-short":"The intrinsic plasticity of farm businesses and their resilience to change. An Australian example","volume":"124","author":[{"family":"Rodriguez","given":"D."},{"family":"deVoil","given":"P."},{"family":"Power","given":"B."},{"family":"Cox","given":"H."},{"family":"Crimp","given":"S."},{"family":"Meinke","given":"H."}],"issued":{"date-parts":[["2011",11]]},"citation-key":"rodriguez_etal_2011"}},{"id":684,"uris":["http://zotero.org/users/7734624/items/IIGIISUT"],"itemData":{"id":684,"type":"article-journal","abstract":"Given the projected climatic changes, building resilient agricultural systems is of vital significance in protecting vulnerable agrarian communities in sub-Saharan Africa. Under this scenario, the article attempts to identify a set of resilience-building adaptive strategies (intensification, diversification, alteration, migration, etc.) among farmers in Morogoro, Tanzania, and crafts a composite index of these strategies using a principal component analysis-based weighting scheme. The analysis also reveals the latent structure and internal correlations of actions intended to build resilience of the farming systems. Subsequently, the linkages of livelihood resources (natural, human, social and financial capitals) to the resilience-building strategies are examined. A multiple regression analysis is employed to link the composite index to variables representing the four capitals. The results bring quantitative evidence to the linkages and highlight the need of enhancing livelihood resources to enhance the ability to undertake adaptive strategies that denotes the ability to withstand stresses and shocks from climatic changes. Actions to improve human capital (awareness campaigns on climate change impacts as well as possible adaptive strategies), social capital (strengthening social networks, improving tenure security), financial capital (increasing credit availability) and natural capital (measures to enhance agricultural potential, support for adaptive action in areas with low agricultural potential) are needed in order to impart resilience to the farming systems against the changing climate. © 2015, Springer-Verlag Berlin Heidelberg.","container-title":"Regional Environmental Change","DOI":"10.1007/s10113-015-0800-7","ISSN":"14363798","issue":"7","language":"English","note":"publisher: Springer Verlag","page":"1259-1268","title":"Influence of livelihood resources on adaptive strategies to enhance climatic resilience of farm households in Morogoro, Tanzania: an indicator-based analysis","volume":"15","author":[{"family":"Mutabazi","given":"K.D."},{"family":"Amjath-Babu","given":"T.S."},{"family":"Sieber","given":"S."}],"issued":{"date-parts":[["2015"]]},"citation-key":"mutabazi_etal_2015"}},{"id":1132,"uris":["http://zotero.org/users/7734624/items/ACR7434B"],"itemData":{"id":1132,"type":"article-journal","abstract":"Purpose: This study aimed to determine factors that increase resilience and cause smallholder farmers to adapt better to climate change and vulnerability. Design/methodology/approach: In this study, the authors used the vulnerability to resilience model and binary logit model to analyse the factors influencing household decisions to adapt. Findings: Households with increased access to climate information through extension services were likely to have better adaptation abilities. It was also shown that younger farmers were likely to adapt to climate change given their flexibility to adopt new techniques and their access and use of modern information and technology. Larger households were found to have higher probability of adapting as most adaptation strategies are labour intensive. Household’s possession of livestock and access to credit significantly enhanced adaptation. However, households with higher farm income have lesser incentives to adapt to because their current farming practices might already be optimum. Research limitations/implications: Given that most of the smallholder farmers are vulnerable, such as women-headed households and the elderly, who are labour constrained, there is need for research and development of labour saving technologies to increase resilience to climate change and vulnerability. Originality/value: These findings underscore the importance of enabling farmer access to information and better technologies which enable them to increase adaptive capacity and resilience. © 2017, © Emerald Publishing Limited.","container-title":"International Journal of Climate Change Strategies and Management","DOI":"10.1108/IJCCSM-07-2016-0092","ISSN":"17568692","issue":"2","language":"English","note":"publisher: Emerald Group Publishing Ltd.","page":"151-165","title":"Building climate change resilience through adaptation in smallholder farming systems in semi-arid Zimbabwe","volume":"9","author":[{"family":"Jiri","given":"O."},{"family":"Mafongoya","given":"P.L."},{"family":"Chivenge","given":"P."}],"issued":{"date-parts":[["2017"]]},"citation-key":"jiri_etal_2017"}},{"id":351,"uris":["http://zotero.org/users/7734624/items/VMQZYXSU"],"itemData":{"id":351,"type":"article-journal","abstract":"One of the great challenges in agricultural development and sustainable intensiﬁcation is the assurance of social equity in food security oriented interventions. Development practitioners, researchers, and policy makers alike could beneﬁt from prior insight into what interventions or environmental shocks might diﬀerentially aﬀect farmers' food security status, in order to move towards more informed and equitable development. We examined the food security status and livelihood activities of 269 smallholder farm households (HHs) in Bihar, India. Proceeding with a four-step analysis, we ﬁrst applied a multivariate statistical methodology to diﬀerentiate ﬁve primary farming system types. We next applied an indicator of food security in the form of HH potential food availability (PFA), and examined the contribution of crop, livestock, and on- and oﬀ-farm income generation to PFA within each farm HH type. Lastly, we applied scenario analysis to examine the potential impact of the adoption of ‘climate smart’ agricultural (CSA) practices in the form of conservation agriculture (CA) and improved livestock husbandry, and environmental shocks on HH PFA. Our results indicate that compared to livestock interventions, CA may hold considerable potential to boost HH PFA, though primarily for wealthier and medium-scale cereal farmers. These farm HH types were however considerably more vulnerable to food insecurity risks resulting from simulated drought, while part-time farmers and resource-poor agricultural laborers generating income from oﬀ-farm pursuits were comparatively less vulnerable, due in part to their more diversiﬁed income sources and potential to migrate in search of work. Our results underscore the importance of prior planning for development initiatives aimed at increasing smallholder food security while maintaining social equity, while providing a robust methodology to vet the implications of agricultural interventions on an ex ante basis.","container-title":"Agricultural Systems","DOI":"10.1016/j.agsy.2017.09.007","ISSN":"0308521X","journalAbbreviation":"Agricultural Systems","language":"en","page":"57-68","source":"DOI.org (Crossref)","title":"Climate smart agriculture, farm household typologies and food security","volume":"159","author":[{"family":"Lopez-Ridaura","given":"Santiago"},{"family":"Frelat","given":"Romain"},{"family":"Wijk","given":"Mark T.","non-dropping-particle":"van"},{"family":"Valbuena","given":"Diego"},{"family":"Krupnik","given":"Timothy J."},{"family":"Jat","given":"M.L."}],"issued":{"date-parts":[["2018",1]]},"citation-key":"lopez-ridaura_etal_2018"}},{"id":877,"uris":["http://zotero.org/users/7734624/items/GDJ5BBWZ"],"itemData":{"id":877,"type":"article-journal","abstract":"This study considers a quantitative approach for assessing the performance of Tunisian farming systems to face climate change. It is based on the resilience concept and the calculation, with a modelling chain, of three indicators: land stock, labour stock, and income flux. Two system states, “base” and “climate change”, and a time horizon of 2010-2025, are developed and compared for representative farming systems. The study shows that 55% of the farming systems were identified as being resilient to climate change. They are diversified and mostly grow cereals, vegetables, and forage crops combined with livestock, increasing their capability to mitigate climate change by reorganizing crop activities. 35% of the farms identified as being non-resilient are dominated by orchards, or cereals and orchards. They showed an important drop in farm income (-45%), mainly due to their inability to adapt their cropping systems to water stress and soil salinity. Finally, only 10% were identified as being poorly resilient farming systems. Those farms have mainly intensified cereal cropping systems based on a strategy of purchasing land to increase the surface area of profitable activities (forage and livestock). Overall, the methodology can be adapted for other dry land areas in the Mediterranean region and help experts and policy-makers to propose and test strategies for adapting to climate change.","container-title":"REGIONAL ENVIRONMENTAL CHANGE","DOI":"10.1007/s10113-017-1130-8","ISSN":"1436-3798","issue":"3","language":"English","note":"publisher-place: TIERGARTENSTRASSE 17, D-69121 HEIDELBERG, GERMANY\npublisher: SPRINGER HEIDELBERG\ntype: Article","page":"637-650","title":"Impact assessment of climate change on farming systems in the South Mediterranean area: a Tunisian case study","volume":"18","author":[{"family":"Souissi","given":"Imen"},{"family":"Boisson","given":"Jean Marie"},{"family":"Mekki","given":"Insaf"},{"family":"Therond","given":"Olivier"},{"family":"Flichman","given":"Guillermo"},{"family":"Wery","given":"Jacques"},{"family":"Belhouchette","given":"Hatem"}],"issued":{"date-parts":[["2018",3]]},"citation-key":"souissi_etal_2018"}},{"id":884,"uris":["http://zotero.org/users/7734624/items/EW86LG9V"],"itemData":{"id":884,"type":"article-journal","abstract":"Smallholder farmers in Afghanistan are already facing various risks in agricultural production due to past continuous insurgencies. Climate change is likely to amplify the risk and make them even more vulnerable. The present study attempted to evaluate the vulnerability profiles of smallholder farmers due to climate change using the IPCC Framework. Primary data on relevant parameters for assessing climate change-led social vulnerability in the region were collected by classifying study region into two zones: the plain and the hills of Yangi Qala District in Takhar province, Afghanistan. Thirteen villages from each zone were selected at random, and face-to-face interviews were conducted with ten randomly selected households in each of the selected villages in both zones based on a pre-tested questionnaire. The questionnaire contained indicators for all three dimensions of vulnerability: exposure, sensitivity and adaptive capacity. The collected data were subjected to a proposed vulnerability index, after estimating the indices of the three dimensions of vulnerability. The Iyenger and Sudershan weighting method was used to assess the contribution of each vulnerability dimension. Vulnerability was classified according to different categories based on beta distribution to evaluate the villages’ vulnerability status. The results showed that about 23% of all 26 sampled villages in both zones had low exposure, 26% moderate exposure and 51% high exposure to climate-change hazards and extreme weather events. High sensitivity was observed in 51%, moderate sensitivity in 7%, and low sensitivity in 42% of villages. High adaptive capacity to climate change was observed in 38% of villages, 19% were moderately adaptive and 42% showed a low adaptive capacity. High vulnerability was observed in 50% of villages, 4% were moderately vulnerable, and 46% had low vulnerability. A high proportion of smallholder farmers in the hilly zone in the sampled district were highly vulnerable, exposed and sensitive with a low adaptive capacity to climate change compared to the plain zone. The high vulnerability in the hilly zone was attributed to limited resources with a low adjustment capability to counter the disturbances, especially in crop cultivation, in response to climate change. A handful of low-cost and local approaches such as improving farmer extension services, introducing small-scale local infrastructure projects, reinforcing informal safety nets and protecting natural ecosystems could be viable cost-effective options that would also be sustainable given their low recurring costs and the limited maintenance required. © 2019 Elsevier Ltd","container-title":"Ecological Indicators","DOI":"10.1016/j.ecolind.2019.105863","ISSN":"1470160X","language":"English","note":"publisher: Elsevier B.V.","title":"Climate change vulnerability and adaptation strategies for smallholder farmers in Yangi Qala District, Takhar, Afghanistan","URL":"https://www.scopus.com/inward/record.uri?eid=2-s2.0-85074213101&amp;doi=10.1016%2fj.ecolind.2019.105863&amp;partnerID=40&amp;md5=f5d3dc5880670f5df717e2c3344acd81","volume":"110","author":[{"family":"Omerkhil","given":"N."},{"family":"Chand","given":"T."},{"family":"Valente","given":"D."},{"family":"Alatalo","given":"J.M."},{"family":"Pandey","given":"R."}],"issued":{"date-parts":[["2020"]]},"citation-key":"omerkhil_etal_2020"}},{"id":698,"uris":["http://zotero.org/users/7734624/items/X9APIH2K"],"itemData":{"id":698,"type":"article-journal","abstract":"The agricultural sector plays a strategic role in the Tunisian economy, particularly in rural areas. Resilience and adaptation to climate change are the main challenges facing this sector. This paper aims to analyze climate change resilience of agricultural production systems in Tunisian semi-arid areas and to propose options for policy interventions. A path Structural Equation Model (SEM) was used to predict the resilience of these systems using the partial least squares method (PLS). Results show that farming systems in Tunisian semi-arid areas remain threatened against negative impact of climate change since 80% of farms in the sample have shown low resilience levels. The most important determinants of agricultural systems’ resilience are farmers’ income and access to food, adaptive capacity, and access to productive and non-productive assets. Results indicate also that integrated systems, income diversification, along with cooperation and collective action are the key options to enhance resilience of rural households and farming systems. It is recommended to raise awareness of stakeholders and decision-makers about climate change challenges and to develop integrated approaches to better engaging with local stakeholders and institutions in adaptation programs and strategies development. © 2021, The Author(s), under exclusive licence to Springer-Verlag GmbH, DE part of Springer Nature.","container-title":"Environmental Science and Pollution Research","DOI":"10.1007/s11356-021-13089-0","ISSN":"09441344","issue":"34","language":"English","note":"publisher: Springer Science and Business Media Deutschland GmbH","page":"46797-46808","title":"Assessing and building climate change resilience of farming systems in Tunisian semi-arid areas","volume":"28","author":[{"family":"Ben Nasr","given":"J."},{"family":"Chaar","given":"H."},{"family":"Bouchiba","given":"F."},{"family":"Zaibet","given":"L."}],"issued":{"date-parts":[["2021"]]},"citation-key":"bennasr_etal_2021"}},{"id":900,"uris":["http://zotero.org/users/7734624/items/ESZ3PZ8X"],"itemData":{"id":900,"type":"article-journal","abstract":"The Mediterranean region is expected to be a hotspot for climate change, making the resilience of farming systems a major challenge. Some studies have used quantitative models at the farm scale to analyze the resilience of farming systems but with little involvement of stakeholders. We used a participatory approach with local actors on the Saïs plain of Morocco to design possible future states and qualitatively assess the resilience of typical farm types (FTs) experiencing major change. Our approach combined individual interviews of farmers and local actors, mainly public, with participatory collective meetings to identify representative FTs and their performance, project their evolutions and future performance in the face of change, and evaluate their resilience. Performance, defined according to literature, interviews and meetings, included different types of capital, income, yields, markets, support of public policies, and water access. Four FTs were considered: highly irrigated horticulture (FT1), rainfed cereals (FT2), partly irrigated cereal-legumes (FT3), and mostly irrigated fruit-tree/horticulture (FT4). The primary driver for FT2 and FT3 was climate change; for FT1 and FT4, it was limiting access to water resources. Participants designed more diversified systems for all FTs in relation to those changes. Rankings of FT performance did not change between current and future states. Performance did not evolve significantly, but FT4 was seen as the most resilient and FT2 the least. These qualitative results differ somewhat from other studies mobilizing quantitative approaches, but they highlight the potential of local adaptation to limit the impacts of global change on vulnerable agriculture. © 2021, The Author(s), under exclusive licence to Springer-Verlag GmbH Germany, part of Springer Nature.","container-title":"Regional Environmental Change","DOI":"10.1007/s10113-021-01764-4","ISSN":"14363798","issue":"2","language":"English","note":"publisher: Springer Science and Business Media Deutschland GmbH","title":"Assessing the resilience of farming systems on the Saïs plain, Morocco","URL":"https://www.scopus.com/inward/record.uri?eid=2-s2.0-85103359646&amp;doi=10.1007%2fs10113-021-01764-4&amp;partnerID=40&amp;md5=924a3e87533f83436132d881f83b85fc","volume":"21","author":[{"family":"Hossard","given":"L."},{"family":"Fadlaoui","given":"A."},{"family":"Ricote","given":"E."},{"family":"Belhouchette","given":"H."}],"issued":{"date-parts":[["2021"]]},"citation-key":"hossard_etal_2021"}},{"id":695,"uris":["http://zotero.org/users/7734624/items/7QDCJQTN"],"itemData":{"id":695,"type":"article-journal","abstract":"Given the challenges presented by climate change, water shortages, and land degradation, sustainable agriculture approaches that increase farming systems’ yield and resilience are required more than eve, particularly in rainfed areas.The findings reported here derive from a regional collaborative project (http://www.sri-lmb.ait.asia/). More than 15,000 farmers participated in the field trials located in 33 districts of 11 provinces in the Lower-Mekong-Basin (LMB). The number of experiments conducted was more than 1,500. Relative to the pre-project baseline survey, project data show that System of Rice Intensification practices helped to improve conditions across the LMB region. Average rice yield increased by 52%, net economic returns were raised by 70%. Labour productivity increased by 64%; water productivity by 61%; and the efficiency of mineral fertilizer-use rose by 163%. The total energy input required for farming operations was decreased by 34%, while emissions of greenhouse gas were significantly reduced, by 14% with irrigated rice production, and by 17% per-hectare in rainfed cropping.The results of this farmer-participatory research characterize climate-smart agricultural practices that can promote household-food-security and support market-oriented development at low cost, especially in rainfed areas that have not figured prominently in development plans. © 2021 Informa UK Limited, trading as Taylor &amp; Francis Group.","container-title":"International Journal of Agricultural Sustainability","DOI":"10.1080/14735903.2020.1866852","ISSN":"14735903","issue":"2","language":"English","note":"publisher: Taylor and Francis Ltd.","page":"152-174","title":"Food security and climate-smart agriculture in the lower Mekong basin of Southeast Asia: evaluating impacts of system of rice intensification with special reference to rainfed agriculture","volume":"19","author":[{"family":"Mishra","given":"A."},{"family":"Ketelaar","given":"J.W."},{"family":"Uphoff","given":"N."},{"family":"Whitten","given":"M."}],"issued":{"date-parts":[["2021"]]},"citation-key":"mishra_etal_2021"}},{"id":898,"uris":["http://zotero.org/users/7734624/items/QIC727NG"],"itemData":{"id":898,"type":"article-journal","abstract":"Climate change threatens the livelihoods of smallholder farmers in the Global South. In semi-arid northern Ghana, where over 73% of the population is engaged in smallholder agriculture, climate-induced food insecurity is of major concern. Livelihood diversification is acknowledged to have the potential to improve climate resilience in smallholder farming systems through risk spreading. That notwithstanding, little is known about the links between livelihood diversification strategies and climate resilience in such vulnerable settings. Drawing data from a cross-sectional survey with 1100 smallholder households in semi-arid northern Ghana, this study contributes to the literature by examining the association between livelihood diversification and climate change resilience. Findings from logistic regression analysis revealed that smallholder farming households that practiced only farm diversification (OR = 4.66; p ≤ 0.001) and a combination of both farm and nonfarm diversification (OR = 6.28; p ≤ 0.001) had significantly higher odds of reporting stronger resilience to climate change compared to those who did not employ any diversification strategy. The study further revealed that land preparation techniques, source of climate information, and religion were significantly associated with smallholder farmers’ perceived climate change resilience. These findings point to the need for agricultural policy to promote both farm and nonfarm livelihoods as complementary risk-spreading strategies. Exploring the synergies between farm and nonfarm livelihoods may prove beneficial in semi-arid agrarian contexts. In doing so, critical contextual dynamics such as source of farm power and sources of climate information must not be overlooked. © 2021, The Author(s), under exclusive licence to Springer Nature B.V. part of Springer Nature.","container-title":"Climatic Change","DOI":"10.1007/s10584-021-03034-y","ISSN":"01650009","issue":"3-4","language":"English","note":"publisher: Springer Science and Business Media B.V.","title":"Livelihood diversification strategies and resilience to climate change in semi-arid northern Ghana","URL":"https://www.scopus.com/inward/record.uri?eid=2-s2.0-85101542820&amp;doi=10.1007%2fs10584-021-03034-y&amp;partnerID=40&amp;md5=704671630e15cee5760b492459f91982","volume":"164","author":[{"family":"Mohammed","given":"K."},{"family":"Batung","given":"E."},{"family":"Kansanga","given":"M."},{"family":"Nyantakyi-Frimpong","given":"H."},{"family":"Luginaah","given":"I."}],"issued":{"date-parts":[["2021"]]},"citation-key":"mohammed_etal_2021"}},{"id":925,"uris":["http://zotero.org/users/7734624/items/9WJDHG8S"],"itemData":{"id":925,"type":"article-journal","abstract":"In developing countries like Pakistan, agriculture constitutes the primary source of support for the majority of rural and the adjacent urban population. Despite the large part it plays in the economy, it faces significant challenges caused by climate change, such as rising temperatures, floods, droughts, and yield losses. In Pakistan, rice, which is the second most essential food crop and livelihood source for the millions of farm households, is facing significant yield reduction due to climate change. It is pertinent to consider the vulnerabilities of farm households and related factors to create a climatic-resilient farming system. The current study is aimed at mapping the vulnerability of rice-growing communities of Punjab province while considering climatic challenges beyond temperatures and rainfall changes. The Climate Change Vulnerability Index (CCVI) was calculated for four rice-growing districts of Punjab province using the Intergovernmental Panel on Climate Change's three-indicator approach (sensitivity, exposition, and adaptive capacity). According to the results, farmers in the study area are highly vulnerable to climate change (CCVI 0.81). Specifically, the indices of vulnerability components showed that farmers have a high level of exposure (EVI 0.72) and susceptibility (SVI 0.59) to the climatic uncertainties with the least adaptive capacity (AVI 0.50). Further, the vulnerability analysis across different rice-growing regions showed that farmers, particularly in the low-yield region, are more vulnerable (EVI 0.73, SVI 0.61, AVI 0.49, CCVI 0.85) than the farmers in the high-yield region (EVI 0.71, SVI 0.58, AVI 0.51, CCVI 0.78). These findings imply that regional priority must be given despite the difference in farm performance to reduce production losses. Besides, climate-smart adaptation initiatives should be facilitated at the farm and regional levels through the implementation of appropriate policies and investment plans.","container-title":"ENVIRONMENTAL SCIENCE AND POLLUTION RESEARCH","DOI":"10.1007/s11356-020-10758-4","ISSN":"0944-1344","issue":"4, SI","language":"English","note":"publisher-place: TIERGARTENSTRASSE 17, D-69121 HEIDELBERG, GERMANY\npublisher: SPRINGER HEIDELBERG\ntype: Article","page":"4229-4244","title":"Mapping farmers' vulnerability to climate change and its induced hazards: evidence from the rice-growing zones of Punjab, Pakistan","volume":"28","author":[{"family":"Khan","given":"Nasir Abbas"},{"family":"Gao","given":"Qijie"},{"family":"Abid","given":"Muhammad"},{"family":"Shah","given":"Ashfaq Ahmad"}],"issued":{"date-parts":[["2021",1]]},"citation-key":"khan_etal_2021"}},{"id":3388,"uris":["http://zotero.org/users/7734624/items/USA8HP4B"],"itemData":{"id":3388,"type":"article-journal","container-title":"Environmental Development","DOI":"10.1016/j.envdev.2021.100627","ISSN":"22114645","journalAbbreviation":"Environmental Development","language":"en","page":"100627","source":"DOI.org (Crossref)","title":"Factors affecting climate change coping strategies used by smallholder farmers under root crop farming systems in derived savannah ecology zone of Nigeria","volume":"39","author":[{"family":"Chukwuone","given":"Nnaemeka Andegbe"},{"family":"Amaechina","given":"Ebele Chinelo"}],"issued":{"date-parts":[["2021",9]]},"citation-key":"chukwuone_amaechina_2021"}},{"id":3346,"uris":["http://zotero.org/users/7734624/items/89PSQCE6"],"itemData":{"id":3346,"type":"article-journal","container-title":"Agricultural Systems","DOI":"10.1016/j.agsy.2022.103537","ISSN":"0308521X","journalAbbreviation":"Agricultural Systems","language":"en","page":"103537","source":"DOI.org (Crossref)","title":"Adaptive capacity of farming systems to climate change in Iran: Application of composite index approach","title-short":"Adaptive capacity of farming systems to climate change in Iran","volume":"204","author":[{"family":"Abdollahzadeh","given":"Gholamhossein"},{"family":"Sharifzadeh","given":"Mohammad Sharif"},{"family":"Sklenička","given":"Petr"},{"family":"Azadi","given":"Hossein"}],"issued":{"date-parts":[["2023",1]]},"citation-key":"abdollahzadeh_etal_2023"}},{"id":3343,"uris":["http://zotero.org/users/7734624/items/JDJQPVNK"],"itemData":{"id":3343,"type":"article-journal","container-title":"Environmental Management","DOI":"10.1007/s00267-022-01604-z","ISSN":"0364-152X, 1432-1009","issue":"1","journalAbbreviation":"Environmental Management","language":"en","page":"74-86","source":"DOI.org (Crossref)","title":"Exploring farmers’ adaptation strategies to water shortage under climate change in the Tunisian semi-arid region","volume":"71","author":[{"family":"Soltani","given":"Lamia"},{"family":"Mellah","given":"Thuraya"}],"issued":{"date-parts":[["2023",1]]},"citation-key":"soltani_mellah_2023"}},{"id":3310,"uris":["http://zotero.org/users/7734624/items/UKZILLQ9"],"itemData":{"id":3310,"type":"article-journal","container-title":"Mitigation and Adaptation Strategies for Global Change","DOI":"10.1007/s11027-023-10097-y","ISSN":"1381-2386, 1573-1596","issue":"1","journalAbbreviation":"Mitig Adapt Strateg Glob Change","language":"en","page":"7","source":"DOI.org (Crossref)","title":"Differentiated socio-ecological system approach for vulnerability and adaptation assessment in the Central Himalaya","volume":"29","author":[{"family":"Kumar","given":"Praveen"},{"family":"Fürst","given":"Christine"},{"family":"Joshi","given":"P. K."}],"issued":{"date-parts":[["2024",1]]},"citation-key":"kumar_etal_2024"}},{"id":3277,"uris":["http://zotero.org/users/7734624/items/H7L2VTQR"],"itemData":{"id":3277,"type":"article-journal","abstract":"Enhanced anthropogenic climatic variability challenges small farmers. In the Sumapaz páramo (Colombia), higher irregularity in precipitation and temperature reduces the quality of pasture and cattle health. Data from surveys, semi-structured interviews, and focus groups were analyzed to understand livestock farmers’ responses to the impacts of climatic variability. To estimate the communities’ resilience in the páramo, we used the capitals framework, the Baseline Resilience Indicator for Communities (BRIC), and cluster analysis. The responses of most households aim to reduce the impacts of climatic variability on the production system, chiefly intensifying practices such as the rotation of paddocks, livelihood diversification, purchase of grass, and buying and selling livestock. Interestingly, farmers did not recognize the value of the types of capital for responding to climatic variability. Results showed that the use of available physical, social, and economic capitals render the farming system resilient. Our probit model estimated that economic and human capitals are the largest and most significant contributors to communities’ capacity to respond to climatic variability. However, pre-existing non-climatic vulnerabilities are also important. For example, poverty hinders farmers from using their income in response to climatic variability. The place-based measurements used in this research are easily understood and applicable by local policy makers to address increasing climate variability.","container-title":"Land","DOI":"10.3390/land13040499","ISSN":"2073-445X","issue":"4","journalAbbreviation":"Land","language":"en","license":"https://creativecommons.org/licenses/by/4.0/","page":"499","source":"DOI.org (Crossref)","title":"Adaptive Responses and Resilience of Small Livestock Producers to Climate Variability in the Cruz Verde-Sumapaz Páramo, Colombia","volume":"13","author":[{"family":"Postigo","given":"Julio C."},{"family":"Guáqueta-Solórzano","given":"Victoria-Eugenia"},{"family":"Castañeda","given":"Edna"},{"family":"Ortiz-Guerrero","given":"Cesar Enrique"}],"issued":{"date-parts":[["2024",4,11]]},"citation-key":"postigo_etal_2024"}},{"id":3286,"uris":["http://zotero.org/users/7734624/items/XNDAQFCC"],"itemData":{"id":3286,"type":"article-journal","abstract":"Agriculture is vital to the Saudi Arabian economy since it provides food and other necessities to people living in rural areas, as well as those living in adjacent cities. Notwithstanding its considerable economic importance, the agricultural sector is confronted with formidable obstacles due to climate change, such as elevated temperatures, floods, extreme droughts, and decreased agricultural yields. Building a farming system capable of being climate resilient requires the comprehension of the vulnerabilities of farm households and related systems. This paper deals with the potential agricultural risks resulting from climate change in Saudi Arabia. In addition to concentrating on precipitation and temperature, the present research incorporates the three main components of the Climate Change Vulnerability Index (CCVI): sensitivity, exposure, and adaptive capability. The results of this research reveal a notable challenge that farmers in Saudi Arabia encounter, as they are very susceptible to the impacts of climate change. The Climate Change Vulnerability Index (CCVI) has a score of 0.730, signifying a substantial degree of vulnerability. The farmers in this region are very susceptible to uncertainties caused by climate change, as indicated by the significant exposure score of 0.725. This exposure comprises a wide range of concerns resulting from fluctuations in temperature, patterns of rainfall, and occurrences of severe weather, all of which have an immediate and negative effect on agriculture. Farmers in that region are more susceptible to the effects of climate change, which could jeopardize their livelihoods and agricultural operations, as shown by the susceptibility component (SVI) of 0.559. Moreover, the adaptive capacity (AVI) score of 0.567 highlights the fact that farmers have limited access to resources, skills, and experience, hindering their ability to tackle the challenges that have been caused by climate change in this region successfully. The results emphasize the immediate necessity for specific policies and assistance to enhance the resilience of agricultural communities in the area, as well as to mitigate the potential adverse effects of climate change on their livelihoods.","container-title":"Sustainability","DOI":"10.3390/su16104245","ISSN":"2071-1050","issue":"10","journalAbbreviation":"Sustainability","language":"en","license":"https://creativecommons.org/licenses/by/4.0/","page":"4245","source":"DOI.org (Crossref)","title":"Exploring Climate-Induced Agricultural Risk in Saudi Arabia: Evidence from Farming Communities of Medina Region","title-short":"Exploring Climate-Induced Agricultural Risk in Saudi Arabia","volume":"16","author":[{"family":"Alotaibi","given":"Bader Alhafi"},{"family":"Xu","given":"Weizhou"},{"family":"Shah","given":"Ashfaq Ahmad"},{"family":"Ullah","given":"Wahid"}],"issued":{"date-parts":[["2024",5,17]]},"citation-key":"alotaibi_etal_2024"}}],"schema":"https://github.com/citation-style-language/schema/raw/master/csl-citation.json"}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F14CCF" w:rsidRPr="00F14CCF">
              <w:rPr>
                <w:rFonts w:ascii="Times New Roman" w:hAnsi="Times New Roman" w:cs="Times New Roman"/>
                <w:lang w:val="fr-FR"/>
              </w:rPr>
              <w:t xml:space="preserve">(Keil et al. 2009; Rodriguez et al. 2011; Mutabazi et al. 2015; Jiri et al. 2017; Lopez-Ridaura et al. 2018; Souissi et al. 2018; Omerkhil et al. 2020; Ben Nasr et al. 2021; Hossard et al. 2021; Mishra et al. 2021; Mohammed et </w:t>
            </w:r>
            <w:r w:rsidR="00F14CCF" w:rsidRPr="00F14CCF">
              <w:rPr>
                <w:rFonts w:ascii="Times New Roman" w:hAnsi="Times New Roman" w:cs="Times New Roman"/>
                <w:lang w:val="fr-FR"/>
              </w:rPr>
              <w:lastRenderedPageBreak/>
              <w:t>al. 2021; Khan et al. 2021; Chukwuone and Amaechina 2021; Abdollahzadeh et al. 2023; Soltani and Mellah 2023; Kumar et al. 2024; Postigo et al. 2024; Alotaibi et al. 2024)</w:t>
            </w:r>
            <w:r w:rsidRPr="00FF4B56">
              <w:rPr>
                <w:rFonts w:ascii="Times New Roman" w:eastAsia="Times New Roman" w:hAnsi="Times New Roman" w:cs="Times New Roman"/>
                <w:color w:val="000000"/>
                <w:lang w:eastAsia="en-GB"/>
              </w:rPr>
              <w:fldChar w:fldCharType="end"/>
            </w:r>
          </w:p>
        </w:tc>
      </w:tr>
      <w:tr w:rsidR="00663667" w:rsidRPr="00AF6801" w14:paraId="094C2D4D" w14:textId="3C7C71DD" w:rsidTr="00406364">
        <w:trPr>
          <w:trHeight w:val="288"/>
        </w:trPr>
        <w:tc>
          <w:tcPr>
            <w:tcW w:w="0" w:type="auto"/>
            <w:tcBorders>
              <w:top w:val="nil"/>
              <w:left w:val="nil"/>
              <w:bottom w:val="nil"/>
              <w:right w:val="nil"/>
            </w:tcBorders>
            <w:shd w:val="clear" w:color="000000" w:fill="FFFFFF"/>
          </w:tcPr>
          <w:p w14:paraId="2A3538AA" w14:textId="77777777" w:rsidR="00663667" w:rsidRPr="00FF4B56"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hideMark/>
          </w:tcPr>
          <w:p w14:paraId="7D60D90D" w14:textId="71E99CE7" w:rsidR="00663667" w:rsidRPr="00FF4B56"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val="fr-FR" w:eastAsia="en-GB"/>
              </w:rPr>
              <w:t> </w:t>
            </w:r>
          </w:p>
        </w:tc>
        <w:tc>
          <w:tcPr>
            <w:tcW w:w="5310" w:type="dxa"/>
            <w:tcBorders>
              <w:top w:val="nil"/>
              <w:left w:val="nil"/>
              <w:bottom w:val="nil"/>
              <w:right w:val="nil"/>
            </w:tcBorders>
            <w:shd w:val="clear" w:color="000000" w:fill="FFFFFF"/>
            <w:noWrap/>
            <w:hideMark/>
          </w:tcPr>
          <w:p w14:paraId="0773B712" w14:textId="29C05807" w:rsidR="00663667" w:rsidRPr="00FF4B56" w:rsidRDefault="00663667" w:rsidP="00663667">
            <w:pPr>
              <w:spacing w:after="0" w:line="360" w:lineRule="auto"/>
              <w:rPr>
                <w:rFonts w:ascii="Times New Roman" w:eastAsia="Times New Roman" w:hAnsi="Times New Roman" w:cs="Times New Roman"/>
                <w:color w:val="000000"/>
                <w:lang w:val="fr-FR" w:eastAsia="en-GB"/>
              </w:rPr>
            </w:pPr>
            <w:proofErr w:type="spellStart"/>
            <w:r w:rsidRPr="00FF4B56">
              <w:rPr>
                <w:rFonts w:ascii="Times New Roman" w:eastAsia="Times New Roman" w:hAnsi="Times New Roman" w:cs="Times New Roman"/>
                <w:color w:val="000000"/>
                <w:lang w:val="fr-FR" w:eastAsia="en-GB"/>
              </w:rPr>
              <w:t>Stocking</w:t>
            </w:r>
            <w:proofErr w:type="spellEnd"/>
            <w:r w:rsidRPr="00FF4B56">
              <w:rPr>
                <w:rFonts w:ascii="Times New Roman" w:eastAsia="Times New Roman" w:hAnsi="Times New Roman" w:cs="Times New Roman"/>
                <w:color w:val="000000"/>
                <w:lang w:val="fr-FR" w:eastAsia="en-GB"/>
              </w:rPr>
              <w:t xml:space="preserve"> </w:t>
            </w:r>
            <w:proofErr w:type="spellStart"/>
            <w:r w:rsidRPr="00FF4B56">
              <w:rPr>
                <w:rFonts w:ascii="Times New Roman" w:eastAsia="Times New Roman" w:hAnsi="Times New Roman" w:cs="Times New Roman"/>
                <w:color w:val="000000"/>
                <w:lang w:val="fr-FR" w:eastAsia="en-GB"/>
              </w:rPr>
              <w:t>density</w:t>
            </w:r>
            <w:proofErr w:type="spellEnd"/>
          </w:p>
        </w:tc>
        <w:tc>
          <w:tcPr>
            <w:tcW w:w="1350" w:type="dxa"/>
            <w:tcBorders>
              <w:top w:val="nil"/>
              <w:left w:val="nil"/>
              <w:bottom w:val="nil"/>
              <w:right w:val="nil"/>
            </w:tcBorders>
            <w:shd w:val="clear" w:color="000000" w:fill="FFFFFF"/>
            <w:noWrap/>
            <w:hideMark/>
          </w:tcPr>
          <w:p w14:paraId="7D42DE04" w14:textId="2F3EFC37" w:rsidR="00663667" w:rsidRPr="00FF4B56"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val="fr-FR" w:eastAsia="en-GB"/>
              </w:rPr>
              <w:t>1</w:t>
            </w:r>
            <w:r>
              <w:rPr>
                <w:rFonts w:ascii="Times New Roman" w:eastAsia="Times New Roman" w:hAnsi="Times New Roman" w:cs="Times New Roman"/>
                <w:color w:val="000000"/>
                <w:lang w:val="fr-FR" w:eastAsia="en-GB"/>
              </w:rPr>
              <w:t>6</w:t>
            </w:r>
          </w:p>
        </w:tc>
        <w:tc>
          <w:tcPr>
            <w:tcW w:w="5274" w:type="dxa"/>
            <w:tcBorders>
              <w:left w:val="nil"/>
              <w:right w:val="nil"/>
            </w:tcBorders>
            <w:shd w:val="clear" w:color="000000" w:fill="FFFFFF"/>
          </w:tcPr>
          <w:p w14:paraId="0D29061A" w14:textId="62F6A089" w:rsidR="00663667" w:rsidRPr="00807AB0"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F14CCF">
              <w:rPr>
                <w:rFonts w:ascii="Times New Roman" w:eastAsia="Times New Roman" w:hAnsi="Times New Roman" w:cs="Times New Roman"/>
                <w:color w:val="000000"/>
                <w:lang w:val="fr-FR" w:eastAsia="en-GB"/>
              </w:rPr>
              <w:instrText xml:space="preserve"> ADDIN ZOTERO_ITEM CSL_CITATION {"citationID":"AJIQGCDc","properties":{"formattedCitation":"(Millar et al. 2009; Komarek et al. 2012; Scott 2013; Phelan et al. 2015; Iglesias et al. 2016; Ghahramani and Moore 2016; Lopez-Ridaura et al. 2018; Descheemaeker et al. 2018; Bilotto et al. 2019, 2021; Shrestha et al. 2020; Homann-Kee Tui et al. 2021; Varadan et al. 2022; Monjardino et al. 2022; Pinsard et al. 2023)","plainCitation":"(Millar et al. 2009; Komarek et al. 2012; Scott 2013; Phelan et al. 2015; Iglesias et al. 2016; Ghahramani and Moore 2016; Lopez-Ridaura et al. 2018; Descheemaeker et al. 2018; Bilotto et al. 2019, 2021; Shrestha et al. 2020; Homann-Kee Tui et al. 2021; Varadan et al. 2022; Monjardino et al. 2022; Pinsard et al. 2023)","noteIndex":0},"citationItems":[{"id":658,"uris":["http://zotero.org/users/7734624/items/AXK3HLF8"],"itemData":{"id":658,"type":"article-journal","abstract":"The Grain &amp; Graze Whole-Farm Model was developed as a simple modelling tool to identify better strategies to improve the income of farmers and overcome grassland degradation. Using information on farm structure, crop and forage production systems, livestock production systems and variable costs involved in all enterprises, maximum whole-farm gross margins are obtained for an optimum or a prescribed mix of enterprises. The incorporation of production systems for different rainfall scenarios enables climatic risks and water use efficiencies of different enterprises to be investigated. Model simulations demonstrated the potential improvements that could be achieved in dollar water use efficiency ($WUE), by changes in management and/or changes in enterprise. The design of the model makes it a valuable tool for evaluating new systems, as it easy to develop new crop, pasture and livestock systems. Innovative farming systems such as pasture cropping and alley farming are included in the model. © 2009 CSIRO.","container-title":"Animal Production Science","DOI":"10.1071/AN09024","ISSN":"18360939","issue":"10","language":"English","page":"788-796","title":"An exploratory tool for analysis of forage and livestock production options","volume":"49","author":[{"family":"Millar","given":"G.D."},{"family":"Jones","given":"R.E."},{"family":"Michalk","given":"D.L."},{"family":"Brady","given":"S."}],"issued":{"date-parts":[["2009"]]},"citation-key":"millar_etal_2009"}},{"id":628,"uris":["http://zotero.org/users/7734624/items/PLNKZ6RQ"],"itemData":{"id":628,"type":"article-journal","abstract":"Simulation models can help to identify the whole-farm economic and biophysical impacts of smallholder farmers altering their farming systems. Incorporating long-term climate-induced variability in crop and livestock production enables the implications for agricultural household income and risk to be explored over a range of seasonal conditions. In this study, a simulation model is used to answer the following question: can reducing the area used for grain production by allocating more land to lucerne (Medicago sativa) and increasing livestock numbers improve total net farm income, reduce income variability and maintain grain self-sufficiency for farmers in the Qingyang Prefecture of Gansu Province, China? This was examined for three representative farm types found in the region: a low land-labour ratio farm household, a subsistence-oriented farm household, and a livestock-focused farm household. The Integrated Analysis Tool (IAT), a simulation model of a household farming system, was used to combine crop and forage production simulations, a livestock production model and a household socio-economic model to explore the impact of changes to farming systems over a 40year simulation period. Data from 90 surveyed households were used to define the structure of the three farm household types and to calibrate the IAT model specifically for Qingyang Prefecture. Additional livestock increased total household net incomes, increased net livestock incomes and reduced net crop incomes for the subsistence-oriented and livestock-focused farm households. For these households, the greater commitment to livestock also reduced grain self-sufficiency due to increased frequency of purchasing grain for home-consumption. Nevertheless, additional livestock reduced income variability for these households whilst improving total net income. The methodology used is useful for understanding changes in farming systems as it focuses on the feasibility and profitability of alternative enterprise mixes and incorporates climate variability. The results support current debates on targeting livestock policies towards smallholders as subsistence-oriented farm households appear to be the largest beneficiaries from livestock interventions. The analysis demonstrates that tradeoffs between net income and grain self-sufficiency are important for households, especially when they are moving from subsistence-based to market-based production.","container-title":"Agricultural Systems","DOI":"10.1016/j.agsy.2012.02.001","ISSN":"0308-521X","journalAbbreviation":"Agricultural Systems","language":"en","page":"16-24","source":"ScienceDirect","title":"Whole-farm effects of livestock intensification in smallholder systems in Gansu, China","volume":"109","author":[{"family":"Komarek","given":"Adam M."},{"family":"McDonald","given":"Cam K."},{"family":"Bell","given":"Lindsay W."},{"family":"Whish","given":"Jeremy P. M."},{"family":"Robertson","given":"Michael J."},{"family":"MacLeod","given":"Neil D."},{"family":"Bellotti","given":"William D."}],"issued":{"date-parts":[["2012",6,1]]},"citation-key":"komarek_etal_2012"}},{"id":2921,"uris":["http://zotero.org/users/7734624/items/V4HXFVX5"],"itemData":{"id":2921,"type":"article-journal","abstract":"This paper examines the concept of resilience and its increasing application within rural studies in the face of both economic uncertainty and ecological crisis. Two approaches to resilience are firstly explored: an equilibrium (or bounce-back) approach, based on ‘return to normal’ assumptions, and an evolutionary (or bounce-forward) approach characterised by an emphasis on adaptive capacity and transformation. While resilience overlaps with the existing literature within rural studies and rural development, the paper argues that resilience thinking opens up new perspectives and provides the potential to ‘re-frame’ rural studies debates, provides a bridging concept. Two key contributions of resilience are identified: Firstly, resilience offers alternative analytical methods and insights for rural studies, particularly when drawing on evolutionary economic geography ideas of path dependencies and path creation, a relational perspective of rural space, and identification of place attributes which may enhance or undermine resilience. Secondly, resilience provides an alternative policy narrative for rural development practice. This includes an emphasis on adaptive networked governance, embedding ecological concerns into rural development practices and a call for blending the local and global in rural development processes. The paper concludes by identifying future research directions for rural resilience.","container-title":"Geography Compass","DOI":"10.1111/gec3.12066","ISSN":"1749-8198","issue":"9","language":"en","license":"© 2013 The Author(s). Geography Compass © 2013 John Wiley &amp; Sons Ltd","note":"_eprint: https://onlinelibrary.wiley.com/doi/pdf/10.1111/gec3.12066","page":"597-610","source":"Wiley Online Library","title":"Resilience: a Conceptual Lens for Rural Studies?","title-short":"Resilience","volume":"7","author":[{"family":"Scott","given":"Mark"}],"issued":{"date-parts":[["2013"]]},"citation-key":"scott_2013"}},{"id":934,"uris":["http://zotero.org/users/7734624/items/9IKMB9G3"],"itemData":{"id":934,"type":"article-journal","abstract":"Improved knowledge of the effects of climate change on farming systems can help increase long-term production, economic performance, and mitigate risk. Here we assessed the effects of stocking rate and seasonal calving times on pasture and milk production under short and long term climate changes on dairy farms in Tasmania, Australia. Annual and monthly perennial ryegrass pasture production was simulated from 1971 to 2065 to examine trends in pasture productivity, forage requirements, and impacts on milk production in 2015 and 2050. The projected future climate for the study region indicates a mean warming of up to 1.4°C, with moderate declines in rainfall of up to 5%. Despite lower rainfall, climate change will likely have a positive impact on pasture yields, with annual production increasing by 13–16%, even though summer growth is reduced and inter-annual variability is increased. We found that greater pasture production is conducive to greater forage conservation, and together these factors allow intensification of stocking rates. These effects increase milk yields by 3–16% per annum and reduce reliance on purchased feeds, which together implies greater profitability of cool-temperate Australian dairy systems under future climates. We also found that total milk production in a spring calving system allows greater stocking rates and pasture utilisation compared with an autumn calving system, and whilst milk produced per animal declines under higher stocking rates, milk yield per hectare increases. Overall, our results suggest that global warming and climate change will positively affect pasture growth rates in Tasmania, and that greater production and conservation of home-grown feeds will be conducive to increased farm milk yields, provided that stocking rates are intensified sustainably.","container-title":"Agricultural Systems","DOI":"10.1016/j.agsy.2015.05.005","ISSN":"0308-521X","journalAbbreviation":"Agricultural Systems","language":"en","page":"46-54","source":"ScienceDirect","title":"Management opportunities for boosting productivity of cool-temperate dairy farms under climate change","volume":"138","author":[{"family":"Phelan","given":"David C."},{"family":"Harrison","given":"Matthew T."},{"family":"Kemmerer","given":"Ernst P."},{"family":"Parsons","given":"David"}],"issued":{"date-parts":[["2015",9,1]]},"citation-key":"phelan_etal_2015"}},{"id":685,"uris":["http://zotero.org/users/7734624/items/X3W42748"],"itemData":{"id":685,"type":"article-journal","abstract":"Extensive grazing activities in the Mediterranean area will have to confront an increasing risk of drought. This threat poses a challenge to the long-term viability of these activities that play an important role in rural development and have traditionally shaped highly valued ecosystems such as the Dehesa landscape in the Iberian Peninsula. The aim of this research is to assess the economic impact of drought on this extensive livestock farming system and evaluate the potential of adaptation strategies such as reducing the stocking rate. A dynamic and stochastic bioeconomic model is developed to account for the complex climatic, ecologic and economic relationships at play during drought. We simulate the 1999–2010 weather time series to characterize seasonal patterns and evaluate the risk caused by drought spells. We assess the consequences of drought in terms of duration, frequency and intensity, finding that economic losses increase at an increasing rate with long lasting droughts. Our findings reveal different patterns between climate and economic risk variables. The risk of a climate shock concentrates in spring and the beginning of autumn while the risk of suffering economic losses occurs with a 3–4 weeks delay and lasts for a longer period of time. We integrate Monte Carlo routines in our simulation model to assess risk exposure and propose the use of Value-at-Risk to capture downside risk at different thresholds. Our simulation results show that the farmer may have to confront annual economic losses above 22.9% with a 5% probability in the current or baseline scenario. Finally, we use the model as a tool to evaluate the potential of adaptation strategies such as increasing or reducing the stocking rate. We find that the former has rather limited impact on average income as compared to the later but both show significant impacts on risk exposure, which may entail important economic consequences. In particular, we find that increasing the stocking rate by 20% decreases the probability of incurring moderate losses, from 45.0% to 40.6%. Furthermore, it also increases the probability of favourable outcomes, from 50.0% to 52.0%. However, this comes at the expense of a significant increase in the chance of experiencing severe economic impacts, from 5 to 6.9%. On the contrary, reducing the stocking rate by 20% reduces the chance of severe impacts from 5% to 3.7%, but also entails an increase in the probability of moderate losses and a significant drop in the probability of experiencing a favourable outcome. © 2016 Elsevier B.V.","container-title":"Agricultural Systems","DOI":"10.1016/j.agsy.2016.07.017","ISSN":"0308521X","language":"English","note":"publisher: Elsevier Ltd","page":"65-74","title":"Assessing drought risk in Mediterranean Dehesa grazing lands","volume":"149","author":[{"family":"Iglesias","given":"E."},{"family":"Báez","given":"K."},{"family":"Diaz-Ambrona","given":"C.H."}],"issued":{"date-parts":[["2016"]]},"citation-key":"iglesias_etal_2016"}},{"id":935,"uris":["http://zotero.org/users/7734624/items/5GFN64NW"],"itemData":{"id":935,"type":"article-journal","abstract":"The state of Western Australia is a major producer and exporter of crops and livestock. Mixed farming systems are typical agricultural enterprises in the Western Australian wheatbelt where climate drives the productivity and profitability of these farms and therefore the effects of likely climate change on their performance need to be understood. Here the effects of climate change projected at 2030 were evaluated compared to a baseline period (1980–1999) on mixed farming systems at paddock, enterprise and whole farm scales using the coupled APSIM and GRAZPLAN biophysical simulation models. The yield of different crops, livestock production and gross margins were assessed under current and projected climates using current farming technology and management practices. Representative mixed-farm systems were selected along a climate transect. Modelling analysis suggests that current production levels and gross margins of mixed farm systems in Western Australia will not be sustained in 2030 climate conditions except in areas of moderately high-rainfall. Whole farm gross margin declined at all site×potential climate scenarios between 1% and 22% except in moderately high rainfall where gross margin increased by up to 4% under a ‘hot and moderate change in rainfall’ climate. Projected crop yields declined for most of the crop×site×potential climate combinations, with greatest declines under a hot and dry climate (at driest margin of transect) in which wheat, barley, canola, and lupin yield declined up to 16%, 15%, 21%, and 27%, respectively. Increase in yield was predicted for wheat and barley at some of the site×potential climate s. Wheat yield increased only under moderately high rainfall region by 6% while barley increased by 1%. Simulated cropping gross margin was also shown to decline by between &gt;1% and 23%, except for the moderately high-rainfall site where cropping gross margins were projected to increase by up to 3%. Changes in simulated livestock production were smaller and less variable than for crop production. The change in weight of livestock sold across sites×potential climate combinations ranged between −3% and +3%. Livestock gross margin varied between −11% and +6%. Modelling results indicated a greater fertilisation effect of the elevated CO2 on pasture production than on crop yield and biomass particularly in drier sites. But however, this could not offset negative impact of climate change under hot potential climates. The main negative environmental impacts from the projected climate change were declines in annual net primary production (ANPP), ground cover and water use efficiency mostly at drier sites. Whole farm N2O emission declined significantly for the majority of site×potential climate combinations, while smaller decreases in ruminant CH4 emission were predicted. In 2030, returns from livestock enterprises are predicted to be smaller, but less variable than from cropping and with increasing probability of success in drier regions. Reduced variability in financial return is important from the perspective of whole farm risk management. Shifts in enterprise mix in dryland mixed-farming systems towards increased livestock may be a helpful strategy in adapting to climate change and managing the associated financial risks.","container-title":"Agricultural Systems","DOI":"10.1016/j.agsy.2016.05.011","ISSN":"0308-521X","journalAbbreviation":"Agricultural Systems","language":"en","page":"142-155","source":"ScienceDirect","title":"Impact of climate changes on existing crop-livestock farming systems","volume":"146","author":[{"family":"Ghahramani","given":"Afshin"},{"family":"Moore","given":"Andrew D."}],"issued":{"date-parts":[["2016",7,1]]},"citation-key":"ghahramani_moore_2016"}},{"id":351,"uris":["http://zotero.org/users/7734624/items/VMQZYXSU"],"itemData":{"id":351,"type":"article-journal","abstract":"One of the great challenges in agricultural development and sustainable intensiﬁcation is the assurance of social equity in food security oriented interventions. Development practitioners, researchers, and policy makers alike could beneﬁt from prior insight into what interventions or environmental shocks might diﬀerentially aﬀect farmers' food security status, in order to move towards more informed and equitable development. We examined the food security status and livelihood activities of 269 smallholder farm households (HHs) in Bihar, India. Proceeding with a four-step analysis, we ﬁrst applied a multivariate statistical methodology to diﬀerentiate ﬁve primary farming system types. We next applied an indicator of food security in the form of HH potential food availability (PFA), and examined the contribution of crop, livestock, and on- and oﬀ-farm income generation to PFA within each farm HH type. Lastly, we applied scenario analysis to examine the potential impact of the adoption of ‘climate smart’ agricultural (CSA) practices in the form of conservation agriculture (CA) and improved livestock husbandry, and environmental shocks on HH PFA. Our results indicate that compared to livestock interventions, CA may hold considerable potential to boost HH PFA, though primarily for wealthier and medium-scale cereal farmers. These farm HH types were however considerably more vulnerable to food insecurity risks resulting from simulated drought, while part-time farmers and resource-poor agricultural laborers generating income from oﬀ-farm pursuits were comparatively less vulnerable, due in part to their more diversiﬁed income sources and potential to migrate in search of work. Our results underscore the importance of prior planning for development initiatives aimed at increasing smallholder food security while maintaining social equity, while providing a robust methodology to vet the implications of agricultural interventions on an ex ante basis.","container-title":"Agricultural Systems","DOI":"10.1016/j.agsy.2017.09.007","ISSN":"0308521X","journalAbbreviation":"Agricultural Systems","language":"en","page":"57-68","source":"DOI.org (Crossref)","title":"Climate smart agriculture, farm household typologies and food security","volume":"159","author":[{"family":"Lopez-Ridaura","given":"Santiago"},{"family":"Frelat","given":"Romain"},{"family":"Wijk","given":"Mark T.","non-dropping-particle":"van"},{"family":"Valbuena","given":"Diego"},{"family":"Krupnik","given":"Timothy J."},{"family":"Jat","given":"M.L."}],"issued":{"date-parts":[["2018",1]]},"citation-key":"lopez-ridaura_etal_2018"}},{"id":1058,"uris":["http://zotero.org/users/7734624/items/6SWCRLFE"],"itemData":{"id":1058,"type":"article-journal","abstract":"Large uncertainties about the impacts of climate change and adaptation options on the livestock component of heterogeneous African farming systems hamper tailored decision making towards climate-smart agriculture. This study addressed this knowledge gap through the development and use of a dynamic modelling framework integrating climate, crop, pasture and livestock models. The framework was applied to a population of 91 farms located in semi-arid Zimbabwe to assess effects on livestock production resulting from climate change and management interventions. Climate scenarios representing relative “cool-wet”, “hot-dry” and “middle” conditions by mid-century (2040–2070) for two representative concentration pathways were compared with the baseline climate. On-farm fodder resources and rangeland grass production were simulated with the crop model APSIM and the pasture model GRASP respectively. The simulated fodder availability was used in the livestock model LIVSIM to generate various production indicators including milk, offtake, mortality, manure, and net revenue. We investigated the effects of two adaptation packages targeting soil fertility management and crop diversification and quantified the sensitivity to climate change of both current and improved systems. Livestock productivity was constrained by dry-season feed gaps, which were particularly severe for crude protein and caused by the reliance on rangeland grazing and crop residues, both of low quality in the dry season. Effects on grass and stover production depended on the climate scenario and the crop, but year-to-year variation generally increased. Relative changes in livestock net revenue compared to the baseline climate varied from a 6% increase to a 43% decrease, and the proportion of farmers negatively affected varied from 20% to 100%, depending on the climate scenario. Adverse effects of climate change on average livestock production usually coincided with increased year-to-year variability and risk. Farms with larger stocking density faced more severe feed gaps and were more sensitive to climate change than less densely stocked farms. The first adaptation package resulted in increased stover production and a small increase in livestock productivity. The inclusion of grain and forage legumes with the second package increased milk productivity and net revenues more profoundly by 30%. This was attributed to the alleviation of dry-season feed gaps, which also reduced the sensitivity to climate change compared to the current system. Clearly, individual farms were affected differently by climate change and by improved farm management, illustrating that disaggregated impact assessments are needed to effectively inform decision making towards climate change adaptation.","container-title":"Agricultural Systems","DOI":"10.1016/j.agsy.2017.05.004","ISSN":"0308-521X","journalAbbreviation":"Agricultural Systems","language":"en","page":"282-295","source":"ScienceDirect","title":"Effects of climate change and adaptation on the livestock component of mixed farming systems: A modelling study from semi-arid Zimbabwe","title-short":"Effects of climate change and adaptation on the livestock component of mixed farming systems","volume":"159","author":[{"family":"Descheemaeker","given":"Katrien"},{"family":"Zijlstra","given":"Mink"},{"family":"Masikati","given":"Patricia"},{"family":"Crespo","given":"Olivier"},{"family":"Homann-Kee Tui","given":"Sabine"}],"issued":{"date-parts":[["2018",1,1]]},"citation-key":"descheemaeker_etal_2018"}},{"id":671,"uris":["http://zotero.org/users/7734624/items/GXLQ6LRH"],"itemData":{"id":671,"type":"article-journal","abstract":"Beef grazing systems need to improve their environmental sustainability while increasing productivity to meet future demand. In a context of climate and prices variability, the main aim of our study was to explore the current trend in cow-calf operations of including backgrounding strategies on productivity, profitability and greenhouse gas (GHG) emissions in a representative beef cattle system from the Laprida Basin (Flooding Pampas, Argentina), applying an integrated assessment with modelling tools. The mean liveweight gain (LWG) of pure cow-calf systems was lower than systems that included backgrounding, it decreased as stocking rates (SR) increased, and it was increased when the stocker contribution (0.2 to 0.4 steer/cow rate), sales weights (steers 390 kg LW and heifers 320 kg LW) and supplementation level (&gt;1% LW) were higher. Liveweight production and operating profits showed a curvilinear response to SR, reaching a plateau close to 0.5 cows ha−1. As expected, GHG emissions intensity (EI; kg CO2e kg−1 LW produced) was higher in pure cow-calf scenarios. If a grazing intensity (i.e. ratio between biomass removed by grazing and biomass available for grazing) beyond 0.6 was to be avoided to prevent long-term overgrazing and trade-offs among the variables assessed, the best option was to decrease SR to 0.45 cows ha−1. On such stocking rate, LWG was improved by 8% (±SD; ±3%), but LW production, operating profits, and GHG emissions intensity were reduced by 1% (±2%), 9% (±4%) and 10% (±1%), respectively, compared with 0.50 cows ha−1. The best risk-efficient combinations were depicted by backgrounding options and the variation of profit was mainly explained by prices variability (CV = 40 ± 3%) and, to a lesser extent by climate variability (CV = 11 ± 3%). Therefore, backgrounding strategies provide opportunities to farmers to increase farm productivity and profitability at the lowest risk for a given level of expected return, while reducing greenhouse gas emissions per unit of product.","container-title":"Agricultural Systems","DOI":"10.1016/j.agsy.2019.102688","ISSN":"0308-521X","journalAbbreviation":"Agricultural Systems","language":"en","page":"102688","source":"ScienceDirect","title":"Backgrounding strategy effects on farm productivity, profitability and greenhouse gas emissions of cow-calf systems in the Flooding Pampas of Argentina","volume":"176","author":[{"family":"Bilotto","given":"Franco"},{"family":"Recavarren","given":"Paulo"},{"family":"Vibart","given":"Ronaldo"},{"family":"Machado","given":"Claudio F."}],"issued":{"date-parts":[["2019",11,1]]},"citation-key":"bilotto_etal_2019"}},{"id":654,"uris":["http://zotero.org/users/7734624/items/SJQBTD8Q"],"itemData":{"id":654,"type":"article-journal","abstract":"The effects of climate variability are projected to increase in the future threatening the expected outcomes of grazing-based animal production, feed use efficiency, and development of sustainable farming livelihoods. The identification of profitable farm management strategies to overcome critical inter-annual feed supply deficits is a worldwide management problem for grazing-based livestock systems and such information is essential for designing resilient feed-bases against climate variability. Increasingly, beef breeding herd (cow-calf) farmers in the Flooding Pampas region of Argentina have added backgrounding enterprises to deal with inter-annual system risks, but the impact of adopting such livestock managements under different forage growth patterns has not been widely investigated in the region. The aims of our study were to explore the marginal value of feed (MVF; it quantifies the economic value of an extra kg DM or MJ of metabolizable energy) in a representative beef cattle farm from the Flooding Pampas region. By combining this variable with the replacement cost method, different feed alternatives available for farmers to increase feed-on-offer were compared, under climate and price variability. The feed scenarios were baseline [unchanged herbage mass accumulation (HMA)] or with an extra 10% of the annual HMA in different seasons (summer, autumn, winter, spring or all year around), within a full range of beef cattle systems (stocking rates and steer/cow rates with different target market liveweights for steers and heifers). These scenarios were tested by integrating forage, livestock and economic models in series. Drier years reached higher MVF, and cumulative curves showed greater absolute values and probabilities of obtaining a higher MVF in winter or spring, and lowest in summer. The backgrounding management alternatives provide opportunities to increase the MVF (by up to 20% &gt;0.09 US$ per extra kg DM added in winter at 0.55 cows ha−1 with a 0.4 steer/cow rate), enabling the purchase of high-quality forages (&gt;0.07 US$ kg−1 DM). However, high stocking rate and grazing intensity (&gt;0.6) may reduce the inter-annual farm performance (LW sales ha−1 and profitability). The framework developed in this study has provided new insights for diversifying into the use of complementary forage sources in the farm feed-base to improve farm resilience against climate and price variability in the Flooding Pampas of Argentina.","container-title":"Agricultural Systems","DOI":"10.1016/j.agsy.2020.103010","ISSN":"0308-521X","journalAbbreviation":"Agricultural Systems","language":"en","page":"103010","source":"ScienceDirect","title":"Estimation of the inter-annual marginal value of additional feed and its replacement cost for beef cattle systems in the Flooding Pampas of Argentina","volume":"187","author":[{"family":"Bilotto","given":"Franco"},{"family":"Vibart","given":"Ronaldo"},{"family":"Wall","given":"Andrew"},{"family":"Machado","given":"Claudio F."}],"issued":{"date-parts":[["2021",2,1]]},"citation-key":"bilotto_etal_2021"}},{"id":948,"uris":["http://zotero.org/users/7734624/items/WACGP4UF"],"itemData":{"id":948,"type":"article-journal","abstract":"Liver fluke infection (fascioliasis) is a parasitic disease which affects the health and welfare of ruminants. It is a concern for the livestock industry and is considered as a growing threat to the industry because changing climatic conditions are projected to be more favorable to increased frequency and intensity of liver fluke outbreaks. Recent reports highlighted that the incidence and geographic range of liver fluke has increased in the UK over the last decade and estimated to increase the average risk of liver fluke in the UK due to increasing temperature and rainfall. This paper explores financial impacts of the disease with and without climate change effects on Scottish livestock farms using a farm-level economic model. The model is based on farming system analysis and uses linear programming technique to maximize farm net profit within farm resources. Farm level data from a sample of 160 Scottish livestock farms is used under a no disease baseline scenario and two disease scenarios (with and without climate change). These two disease scenarios are compared with the baseline scenario to estimate the financial impact of the disease at farm levels. The results suggest a 12% reduction in net profit on an average dairy farm compared to 6% reduction on an average beef farm under standard disease conditions. The losses increase by 2-fold on a dairy farm and 6-fold on a beef farm when climate change effects are included with disease conditions on farms. There is a large variability within farm groups with profitable farms incurring relatively lesser economic losses than non-profitable farms. There is a substantial increase in number of vulnerable farms both in dairy (+20%) and beef farms (+27%) under the disease alongside climate change conditions. © Copyright © 2020 Shrestha, Barratt, Fox, Vosough Ahmadi and Hutchings.","container-title":"Frontiers in Veterinary Science","DOI":"10.3389/fvets.2020.564795","ISSN":"22971769","language":"English","note":"publisher: Frontiers Media S.A.","title":"Financial Impacts of Liver Fluke on Livestock Farms Under Climate Change–A Farm Level Assessment","URL":"https://www.scopus.com/inward/record.uri?eid=2-s2.0-85098055962&amp;doi=10.3389%2ffvets.2020.564795&amp;partnerID=40&amp;md5=f286db0add6f72e76a11e41c8c8f05e6","volume":"7","author":[{"family":"Shrestha","given":"S."},{"family":"Barratt","given":"A."},{"family":"Fox","given":"N.J."},{"family":"Vosough Ahmadi","given":"B."},{"family":"Hutchings","given":"M.R."}],"issued":{"date-parts":[["2020"]]},"citation-key":"shrestha_etal_2020"}},{"id":1057,"uris":["http://zotero.org/users/7734624/items/GBHGFLYH"],"itemData":{"id":1057,"type":"article-journal","abstract":"Decision makers need accurate information to address climate variability and change and accelerate transformation to sustainability. A stakeholder-driven, science-based multi-model approach has been developed and used by the Agricultural Model Intercomparison and Improvement Project (AgMIP) to generate actionable information for adaptation planning processes. For a range of mid-century climate projections—likely to be hotter, drier, and more variable—contrasting future socio-economic scenarios (Representative Agricultural Pathways, RAPs) were co-developed with stakeholders to portray a sustainable development scenario and a rapid economic growth pathway. The unique characteristic of this application is the integration of a multi-modeling approach with stakeholder engagement to co-develop scenarios and adaptation strategies. Distribution of outcomes were simulated with climate, crop, livestock, and economic impact assessment models for smallholder crop livestock farmers in a typical dryland agro-ecological zone in Zimbabwe, characterized by low and erratic rainfall and nutrient depleted soils. Results showed that in Nkayi District, Western Zimbabwe, climate change would threaten most of the farms, and, in particular, those with large cattle herds due to feed shortages. Adaptation strategies that showed the most promise included diversification using legume production, soil fertility improvement, and investment in conducive market environments. The switch to more legumes in the farming systems reduced the vulnerability of the very poor as well as the more resourced farmers. Overall, the sustainable development scenario consistently addressed institutional failures and motivated productivity-enhancing, environmentally sound technologies and inclusive development approaches. This yielded more favorable outcomes than investment in quick economic wins from commercializing agriculture.","container-title":"Climatic Change","DOI":"10.1007/s10584-021-03151-8","ISSN":"1573-1480","issue":"1","journalAbbreviation":"Climatic Change","language":"en","page":"10","source":"Springer Link","title":"Climate change impacts and adaptation for dryland farming systems in Zimbabwe: a stakeholder-driven integrated multi-model assessment","title-short":"Climate change impacts and adaptation for dryland farming systems in Zimbabwe","volume":"168","author":[{"family":"Homann-Kee Tui","given":"Sabine"},{"family":"Descheemaeker","given":"Katrien"},{"family":"Valdivia","given":"Roberto O."},{"family":"Masikati","given":"Patricia"},{"family":"Sisito","given":"Gevious"},{"family":"Moyo","given":"Elisha N."},{"family":"Crespo","given":"Olivier"},{"family":"Ruane","given":"Alex C."},{"family":"Rosenzweig","given":"Cynthia"}],"issued":{"date-parts":[["2021",9,25]]},"citation-key":"homann-keetui_etal_2021"}},{"id":3612,"uris":["http://zotero.org/users/7734624/items/RX5DCEGB"],"itemData":{"id":3612,"type":"article-journal","abstract":"The complexities of smallholder farming systems pose a challenge in demonstrating the potential benefits or risks of new technologies and policies. Using Integrated Analysis Tool, a rule-based dynamic simulation model, this study tried to improve the performance of major farming systems in the Tamil Nadu State of India. Amongst the four major farming systems viz. Black gram-based (BFS), Paddy-based (PFS), and Integrated Farming Systems (IFS) in Villupuram district and Dryland Farming System (DFS) in Virudhunagar district, IFS was found to be the most profitable and resilient based on their performance simulated for a 3-year rotation. Setting IFS as a benchmark, potential interventions were evaluated under other farming systems to improve their relative performance. The analysis allowed understanding the interactions in smallholder farming systems and the potential impact of interventions in a whole farm way considering the cash flows, cost intensity, and input-output trade-offs. While multi-bloom technology in black gram increased the net profit of BFS without much stress on input and labour, area expansion under rainfed groundnut incurred high expenditure. Trading-off paddy with maize and groundnut significantly increased the net profit of PFS but replacing sugarcane with tapioca and turmeric was not remunerative. Improved livestock management practices have substantially increased the net profit of DFS wherein crop yield could not be enhanced substantially without the prospects of good irrigation infrastructure. The irrigation endowed PFS has achieved 90% performance, whereas the water-starved BFS and DFS could achieve only 65% performance of IFS. We conclude that agricultural policy must not only focus on potential interventions that are profitable but also consider what is acceptable to the farmer, considering synergies and trade-offs between competing resources at the farm level.","container-title":"Outlook on Agriculture","DOI":"10.1177/00307270221077380","ISSN":"0030-7270","issue":"2","journalAbbreviation":"Outlook Agric","language":"en","note":"publisher: SAGE Publications Ltd","page":"197-212","source":"SAGE Journals","title":"Technology, infrastructure and enterprise trade-off: Strengthening smallholder farming systems in Tamil Nadu State of India for sustainable income and food security","title-short":"Technology, infrastructure and enterprise trade-off","volume":"51","author":[{"family":"Varadan","given":"R Jayakumara"},{"family":"Mamidanna","given":"Sravya"},{"family":"Kumar","given":"Shalander"},{"family":"Ahmed","given":"SK Zamir"},{"family":"Jaisankar","given":"I"}],"issued":{"date-parts":[["2022",6,1]]},"citation-key":"varadan_etal_2022"}},{"id":3360,"uris":["http://zotero.org/users/7734624/items/62UBYFFE"],"itemData":{"id":3360,"type":"article-journal","container-title":"Agricultural Systems","DOI":"10.1016/j.agsy.2022.103519","ISSN":"0308521X","journalAbbreviation":"Agricultural Systems","language":"en","page":"103519","source":"DOI.org (Crossref)","title":"Improved legume pastures increase economic value, resilience and sustainability of crop-livestock systems","volume":"203","author":[{"family":"Monjardino","given":"Marta"},{"family":"Loi","given":"Angelo"},{"family":"Thomas","given":"Dean T."},{"family":"Revell","given":"Clinton K."},{"family":"Flohr","given":"Bonnie M."},{"family":"Llewellyn","given":"Rick S."},{"family":"Norman","given":"Hayley C."}],"issued":{"date-parts":[["2022",12]]},"citation-key":"monjardino_etal_2022"}},{"id":3256,"uris":["http://zotero.org/users/7734624/items/R2G3F2GY"],"itemData":{"id":3256,"type":"article-journal","container-title":"Agronomy for Sustainable Development","DOI":"10.1007/s13593-023-00883-y","ISSN":"1774-0746, 1773-0155","issue":"2","journalAbbreviation":"Agron. Sustain. Dev.","language":"en","page":"33","source":"DOI.org (Crossref)","title":"Strategies for future robust meat production and climate change mitigation under imported input constraints in Alentejo, Portugal","volume":"43","author":[{"family":"Pinsard","given":"Corentin"},{"family":"Morais","given":"Tiago G."},{"family":"Domingos","given":"Tiago"},{"family":"Accatino","given":"Francesco"},{"family":"Teixeira","given":"Ricardo F. M."}],"issued":{"date-parts":[["2023",4]]},"citation-key":"pinsard_etal_2023"}}],"schema":"https://github.com/citation-style-language/schema/raw/master/csl-citation.json"}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F14CCF" w:rsidRPr="00F14CCF">
              <w:rPr>
                <w:rFonts w:ascii="Times New Roman" w:hAnsi="Times New Roman" w:cs="Times New Roman"/>
                <w:lang w:val="fr-FR"/>
              </w:rPr>
              <w:t>(Millar et al. 2009; Komarek et al. 2012; Scott 2013; Phelan et al. 2015; Iglesias et al. 2016; Ghahramani and Moore 2016; Lopez-Ridaura et al. 2018; Descheemaeker et al. 2018; Bilotto et al. 2019, 2021; Shrestha et al. 2020; Homann-Kee Tui et al. 2021; Varadan et al. 2022; Monjardino et al. 2022; Pinsard et al. 2023)</w:t>
            </w:r>
            <w:r w:rsidRPr="00FF4B56">
              <w:rPr>
                <w:rFonts w:ascii="Times New Roman" w:eastAsia="Times New Roman" w:hAnsi="Times New Roman" w:cs="Times New Roman"/>
                <w:color w:val="000000"/>
                <w:lang w:eastAsia="en-GB"/>
              </w:rPr>
              <w:fldChar w:fldCharType="end"/>
            </w:r>
          </w:p>
        </w:tc>
      </w:tr>
      <w:tr w:rsidR="00663667" w:rsidRPr="00AF6801" w14:paraId="63D2A89D" w14:textId="77777777" w:rsidTr="00406364">
        <w:trPr>
          <w:trHeight w:val="288"/>
        </w:trPr>
        <w:tc>
          <w:tcPr>
            <w:tcW w:w="0" w:type="auto"/>
            <w:tcBorders>
              <w:top w:val="nil"/>
              <w:left w:val="nil"/>
              <w:bottom w:val="nil"/>
              <w:right w:val="nil"/>
            </w:tcBorders>
            <w:shd w:val="clear" w:color="000000" w:fill="FFFFFF"/>
          </w:tcPr>
          <w:p w14:paraId="5505BD40" w14:textId="77777777" w:rsidR="00663667" w:rsidRPr="00FF4B56"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tcPr>
          <w:p w14:paraId="583A2C98" w14:textId="77777777" w:rsidR="00663667" w:rsidRPr="00FF4B56" w:rsidRDefault="00663667" w:rsidP="00663667">
            <w:pPr>
              <w:spacing w:after="0" w:line="360" w:lineRule="auto"/>
              <w:rPr>
                <w:rFonts w:ascii="Times New Roman" w:eastAsia="Times New Roman" w:hAnsi="Times New Roman" w:cs="Times New Roman"/>
                <w:color w:val="000000"/>
                <w:lang w:val="fr-FR" w:eastAsia="en-GB"/>
              </w:rPr>
            </w:pPr>
          </w:p>
        </w:tc>
        <w:tc>
          <w:tcPr>
            <w:tcW w:w="5310" w:type="dxa"/>
            <w:tcBorders>
              <w:top w:val="nil"/>
              <w:left w:val="nil"/>
              <w:bottom w:val="nil"/>
              <w:right w:val="nil"/>
            </w:tcBorders>
            <w:shd w:val="clear" w:color="000000" w:fill="FFFFFF"/>
            <w:noWrap/>
          </w:tcPr>
          <w:p w14:paraId="4ACDB615" w14:textId="59429911" w:rsidR="00663667" w:rsidRPr="00FF4B56" w:rsidRDefault="00663667" w:rsidP="00663667">
            <w:pPr>
              <w:spacing w:after="0" w:line="360" w:lineRule="auto"/>
              <w:rPr>
                <w:rFonts w:ascii="Times New Roman" w:eastAsia="Times New Roman" w:hAnsi="Times New Roman" w:cs="Times New Roman"/>
                <w:color w:val="000000"/>
                <w:lang w:val="fr-FR" w:eastAsia="en-GB"/>
              </w:rPr>
            </w:pPr>
            <w:proofErr w:type="spellStart"/>
            <w:r w:rsidRPr="00FF4B56">
              <w:rPr>
                <w:rFonts w:ascii="Times New Roman" w:eastAsia="Times New Roman" w:hAnsi="Times New Roman" w:cs="Times New Roman"/>
                <w:color w:val="000000"/>
                <w:lang w:val="fr-FR" w:eastAsia="en-GB"/>
              </w:rPr>
              <w:t>Soil</w:t>
            </w:r>
            <w:proofErr w:type="spellEnd"/>
            <w:r w:rsidRPr="00FF4B56">
              <w:rPr>
                <w:rFonts w:ascii="Times New Roman" w:eastAsia="Times New Roman" w:hAnsi="Times New Roman" w:cs="Times New Roman"/>
                <w:color w:val="000000"/>
                <w:lang w:val="fr-FR" w:eastAsia="en-GB"/>
              </w:rPr>
              <w:t xml:space="preserve"> </w:t>
            </w:r>
            <w:proofErr w:type="spellStart"/>
            <w:r w:rsidRPr="00FF4B56">
              <w:rPr>
                <w:rFonts w:ascii="Times New Roman" w:eastAsia="Times New Roman" w:hAnsi="Times New Roman" w:cs="Times New Roman"/>
                <w:color w:val="000000"/>
                <w:lang w:val="fr-FR" w:eastAsia="en-GB"/>
              </w:rPr>
              <w:t>fertility</w:t>
            </w:r>
            <w:proofErr w:type="spellEnd"/>
          </w:p>
        </w:tc>
        <w:tc>
          <w:tcPr>
            <w:tcW w:w="1350" w:type="dxa"/>
            <w:tcBorders>
              <w:top w:val="nil"/>
              <w:left w:val="nil"/>
              <w:bottom w:val="nil"/>
              <w:right w:val="nil"/>
            </w:tcBorders>
            <w:shd w:val="clear" w:color="000000" w:fill="FFFFFF"/>
            <w:noWrap/>
          </w:tcPr>
          <w:p w14:paraId="50CF2EED" w14:textId="6EBA3E03" w:rsidR="00663667" w:rsidRPr="00FF4B56" w:rsidRDefault="00663667" w:rsidP="00663667">
            <w:pPr>
              <w:spacing w:after="0" w:line="360" w:lineRule="auto"/>
              <w:rPr>
                <w:rFonts w:ascii="Times New Roman" w:eastAsia="Times New Roman" w:hAnsi="Times New Roman" w:cs="Times New Roman"/>
                <w:color w:val="000000"/>
                <w:lang w:val="fr-FR" w:eastAsia="en-GB"/>
              </w:rPr>
            </w:pPr>
            <w:r>
              <w:rPr>
                <w:rFonts w:ascii="Times New Roman" w:eastAsia="Times New Roman" w:hAnsi="Times New Roman" w:cs="Times New Roman"/>
                <w:color w:val="000000"/>
                <w:lang w:val="fr-FR" w:eastAsia="en-GB"/>
              </w:rPr>
              <w:t>16</w:t>
            </w:r>
          </w:p>
        </w:tc>
        <w:tc>
          <w:tcPr>
            <w:tcW w:w="5274" w:type="dxa"/>
            <w:tcBorders>
              <w:left w:val="nil"/>
              <w:right w:val="nil"/>
            </w:tcBorders>
            <w:shd w:val="clear" w:color="000000" w:fill="FFFFFF"/>
          </w:tcPr>
          <w:p w14:paraId="37481822" w14:textId="6C1507CA" w:rsidR="00663667" w:rsidRPr="00F14CCF"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F14CCF">
              <w:rPr>
                <w:rFonts w:ascii="Times New Roman" w:eastAsia="Times New Roman" w:hAnsi="Times New Roman" w:cs="Times New Roman"/>
                <w:color w:val="000000"/>
                <w:lang w:val="fr-FR" w:eastAsia="en-GB"/>
              </w:rPr>
              <w:instrText xml:space="preserve"> ADDIN ZOTERO_ITEM CSL_CITATION {"citationID":"sUEMa0qx","properties":{"formattedCitation":"(Schaap et al. 2013; Tibesigwa et al. 2017; Descheemaeker et al. 2018; Souissi et al. 2018; Dobkowitz et al. 2020; Mishra et al. 2021; Homann-Kee Tui et al. 2021; Gugissa et al. 2022; Dardonville et al. 2022; Koch et al. 2022; Abdollahzadeh et al. 2023; Bhowmik et al. 2023; Marie Chimi et al. 2023; Kumar et al. 2024; Postigo et al. 2024; Alotaibi et al. 2024)","plainCitation":"(Schaap et al. 2013; Tibesigwa et al. 2017; Descheemaeker et al. 2018; Souissi et al. 2018; Dobkowitz et al. 2020; Mishra et al. 2021; Homann-Kee Tui et al. 2021; Gugissa et al. 2022; Dardonville et al. 2022; Koch et al. 2022; Abdollahzadeh et al. 2023; Bhowmik et al. 2023; Marie Chimi et al. 2023; Kumar et al. 2024; Postigo et al. 2024; Alotaibi et al. 2024)","noteIndex":0},"citationItems":[{"id":659,"uris":["http://zotero.org/users/7734624/items/S5UHC584"],"itemData":{"id":659,"type":"article-journal","abstract":"In the arable farming region Flevoland in The Netherlands climate change, including extreme events and pests and diseases, will likely pose risks to a variety of crops including high value crops such as seed potato, ware potato and seed onion. A well designed adaptation strategy at the farm level can reduce risks for farmers in Flevoland. Currently, most of the impact assessments rely heavily on (modelling) techniques that cannot take into account extreme events and pests and diseases and cannot address all crops, and are thus not suited as input for a comprehensive adaptation strategy at the farm level.To identify major climate risks and impacts and develop an adaptation measure portfolio for the most relevant risks we complemented crop growth modelling with a semi-quantitative and participatory approach, the Agro Climatic Calendar (ACC), A cost-benefit analysis and stakeholder workshops were used to identify robust adaptation measures and design an adaptation strategy for contrasting scenarios in 2050.For Flevoland, potential yields of main crops were projected to increase, but five main climate risks were identified, and these are likely to offset the positive impacts. Optimized adaptation strategies differ per scenario (frequency of occurrence of climate risks) and per farm (difference in economic loss). When impacts are high (in the +2 °C and A1 SRES scenario) drip irrigation was identified as the best adaptation measure against the main climate risk heat wave that causes second-growth in seed and ware potato. When impacts are smaller (the +1 °C and B2 SRES scenario), other options including no adaptation are more cost-effective.Our study shows that with relatively simple techniques such as the ACC combined with a stakeholder process, adaptation strategies can be designed for whole farming systems. Important benefits of this approach compared to modelling techniques are that all crops can be included, all climate factors can be addressed, and a large range of adaptation measures can be explored. This enhances that the identified adaptation strategies are recognizable and relevant for stakeholders. © 2013 Elsevier B.V.","container-title":"European Journal of Agronomy","DOI":"10.1016/j.eja.2013.02.004","ISSN":"11610301","language":"English","page":"30-42","title":"Participatory design of farm level adaptation to climate risks in an arable region in The Netherlands","volume":"48","author":[{"family":"Schaap","given":"B.F."},{"family":"Reidsma","given":"P."},{"family":"Verhagen","given":"J."},{"family":"Wolf","given":"J."},{"family":"Ittersum","given":"M.K.","non-dropping-particle":"van"}],"issued":{"date-parts":[["2013"]]},"citation-key":"schaap_etal_2013"}},{"id":709,"uris":["http://zotero.org/users/7734624/items/MF6LYQRZ"],"itemData":{"id":709,"type":"article-journal","abstract":"South Africa, a main food exporter in SADC, is characterised by a dual agricultural economy consisting of a well-developed commercial sector and smallholder, often subsistence, farming. Using the Ricardian cross-sectional framework, we examine the impact of climate change on a nationwide sample of crop, horticulture, livestock and mixed commercial farming systems. We find that a simultaneous decrease in precipitation and an increase in temperature will reduce productivity; and that an increase in temperature alone negatively affects farm output more than a decrease in precipitation. One of the most robust findings is the difference in the extent to which different commercial production systems will be impacted. That is, the results indicate that the strongest impact will be amongst specialised commercial crop farming system. In contrast, mixed farming systems appear to be the least vulnerable. This finding is consistent with studies on small-holder farms in sub-Saharan Africa. Hence, it appears that despite the likely benefits derived from economies of scale, commercial farms are, somewhat, equally vulnerable to climate change. Further, a province-wise assessment revealed that areas that already face disadvantageous climatic conditions will become even less productive. Overall, the findings suggest that practicing mixed farming methods will strengthen the resilience of commercial farms to climate change and that access to extensions-insurance and irrigation-is likely to reduce the risks.","container-title":"ENVIRONMENT DEVELOPMENT AND SUSTAINABILITY","DOI":"10.1007/s10668-015-9755-6","ISSN":"1387-585X","issue":"2","language":"English","note":"publisher-place: VAN GODEWIJCKSTRAAT 30, 3311 GZ DORDRECHT, NETHERLANDS\npublisher: SPRINGER\ntype: Article","page":"607-636","title":"Climate change and South Africa's commercial farms: an assessment of impacts on specialised horticulture, crop, livestock and mixed farming systems","volume":"19","author":[{"family":"Tibesigwa","given":"Byela"},{"family":"Visser","given":"Martine"},{"family":"Turpie","given":"Jane"}],"issued":{"date-parts":[["2017",4]]},"citation-key":"tibesigwa_etal_2017"}},{"id":1058,"uris":["http://zotero.org/users/7734624/items/6SWCRLFE"],"itemData":{"id":1058,"type":"article-journal","abstract":"Large uncertainties about the impacts of climate change and adaptation options on the livestock component of heterogeneous African farming systems hamper tailored decision making towards climate-smart agriculture. This study addressed this knowledge gap through the development and use of a dynamic modelling framework integrating climate, crop, pasture and livestock models. The framework was applied to a population of 91 farms located in semi-arid Zimbabwe to assess effects on livestock production resulting from climate change and management interventions. Climate scenarios representing relative “cool-wet”, “hot-dry” and “middle” conditions by mid-century (2040–2070) for two representative concentration pathways were compared with the baseline climate. On-farm fodder resources and rangeland grass production were simulated with the crop model APSIM and the pasture model GRASP respectively. The simulated fodder availability was used in the livestock model LIVSIM to generate various production indicators including milk, offtake, mortality, manure, and net revenue. We investigated the effects of two adaptation packages targeting soil fertility management and crop diversification and quantified the sensitivity to climate change of both current and improved systems. Livestock productivity was constrained by dry-season feed gaps, which were particularly severe for crude protein and caused by the reliance on rangeland grazing and crop residues, both of low quality in the dry season. Effects on grass and stover production depended on the climate scenario and the crop, but year-to-year variation generally increased. Relative changes in livestock net revenue compared to the baseline climate varied from a 6% increase to a 43% decrease, and the proportion of farmers negatively affected varied from 20% to 100%, depending on the climate scenario. Adverse effects of climate change on average livestock production usually coincided with increased year-to-year variability and risk. Farms with larger stocking density faced more severe feed gaps and were more sensitive to climate change than less densely stocked farms. The first adaptation package resulted in increased stover production and a small increase in livestock productivity. The inclusion of grain and forage legumes with the second package increased milk productivity and net revenues more profoundly by 30%. This was attributed to the alleviation of dry-season feed gaps, which also reduced the sensitivity to climate change compared to the current system. Clearly, individual farms were affected differently by climate change and by improved farm management, illustrating that disaggregated impact assessments are needed to effectively inform decision making towards climate change adaptation.","container-title":"Agricultural Systems","DOI":"10.1016/j.agsy.2017.05.004","ISSN":"0308-521X","journalAbbreviation":"Agricultural Systems","language":"en","page":"282-295","source":"ScienceDirect","title":"Effects of climate change and adaptation on the livestock component of mixed farming systems: A modelling study from semi-arid Zimbabwe","title-short":"Effects of climate change and adaptation on the livestock component of mixed farming systems","volume":"159","author":[{"family":"Descheemaeker","given":"Katrien"},{"family":"Zijlstra","given":"Mink"},{"family":"Masikati","given":"Patricia"},{"family":"Crespo","given":"Olivier"},{"family":"Homann-Kee Tui","given":"Sabine"}],"issued":{"date-parts":[["2018",1,1]]},"citation-key":"descheemaeker_etal_2018"}},{"id":877,"uris":["http://zotero.org/users/7734624/items/GDJ5BBWZ"],"itemData":{"id":877,"type":"article-journal","abstract":"This study considers a quantitative approach for assessing the performance of Tunisian farming systems to face climate change. It is based on the resilience concept and the calculation, with a modelling chain, of three indicators: land stock, labour stock, and income flux. Two system states, “base” and “climate change”, and a time horizon of 2010-2025, are developed and compared for representative farming systems. The study shows that 55% of the farming systems were identified as being resilient to climate change. They are diversified and mostly grow cereals, vegetables, and forage crops combined with livestock, increasing their capability to mitigate climate change by reorganizing crop activities. 35% of the farms identified as being non-resilient are dominated by orchards, or cereals and orchards. They showed an important drop in farm income (-45%), mainly due to their inability to adapt their cropping systems to water stress and soil salinity. Finally, only 10% were identified as being poorly resilient farming systems. Those farms have mainly intensified cereal cropping systems based on a strategy of purchasing land to increase the surface area of profitable activities (forage and livestock). Overall, the methodology can be adapted for other dry land areas in the Mediterranean region and help experts and policy-makers to propose and test strategies for adapting to climate change.","container-title":"REGIONAL ENVIRONMENTAL CHANGE","DOI":"10.1007/s10113-017-1130-8","ISSN":"1436-3798","issue":"3","language":"English","note":"publisher-place: TIERGARTENSTRASSE 17, D-69121 HEIDELBERG, GERMANY\npublisher: SPRINGER HEIDELBERG\ntype: Article","page":"637-650","title":"Impact assessment of climate change on farming systems in the South Mediterranean area: a Tunisian case study","volume":"18","author":[{"family":"Souissi","given":"Imen"},{"family":"Boisson","given":"Jean Marie"},{"family":"Mekki","given":"Insaf"},{"family":"Therond","given":"Olivier"},{"family":"Flichman","given":"Guillermo"},{"family":"Wery","given":"Jacques"},{"family":"Belhouchette","given":"Hatem"}],"issued":{"date-parts":[["2018",3]]},"citation-key":"souissi_etal_2018"}},{"id":700,"uris":["http://zotero.org/users/7734624/items/PY55PIZ2"],"itemData":{"id":700,"type":"article-journal","abstract":"Climate change heavily impacts smallholder farming worldwide. Cross-scale vulnerability assessment has a high potential to identify nested measures for reducing vulnerability of smallholder farmers. Despite their high practical value, there are currently only limited examples of cross-scale assessments. The presented study aims at assessing the vulnerability of smallholder farmers in the Northeast of Brazil across three scales: regional, farm and field scale. In doing so, it builds on existing vulnerability indices and compares results between indices at the same scale and across scales. In total, six independent indices are tested, two at each scale. The calculated indices include social, economic and ecological indicators, based on municipal statistics, meteorological data, farm interviews and soil analyses. Subsequently, indices and overlapping indicators are normalized for intra-and cross-scale comparison. The results show considerable differences between indices across and within scales. They indicate different activities to reduce vulnerability of smallholder farmers. Major shortcomings arise from the conceptual differences between the indices. We therefore recommend the development of hierarchical indices, which are adapted to local conditions and contain more overlapping indicators for a better understanding of the nested vulnerabilities of smallholder farmers. © 2020 by the authors.","container-title":"Sustainability (Switzerland)","DOI":"10.3390/su12093787","ISSN":"20711050","issue":"9","language":"English","note":"publisher: MDPI","title":"Cross-scale vulnerability assessment for smallholder farming: A case study from the northeast of Brazil","URL":"https://www.scopus.com/inward/record.uri?eid=2-s2.0-85085964908&amp;doi=10.3390%2fsu12093787&amp;partnerID=40&amp;md5=1b75293eec4b8771c893cebceaa1b88e","volume":"12","author":[{"family":"Dobkowitz","given":"S."},{"family":"Walz","given":"A."},{"family":"Baroni","given":"G."},{"family":"Pérez-Marin","given":"A.M."}],"issued":{"date-parts":[["2020"]]},"citation-key":"dobkowitz_etal_2020"}},{"id":695,"uris":["http://zotero.org/users/7734624/items/7QDCJQTN"],"itemData":{"id":695,"type":"article-journal","abstract":"Given the challenges presented by climate change, water shortages, and land degradation, sustainable agriculture approaches that increase farming systems’ yield and resilience are required more than eve, particularly in rainfed areas.The findings reported here derive from a regional collaborative project (http://www.sri-lmb.ait.asia/). More than 15,000 farmers participated in the field trials located in 33 districts of 11 provinces in the Lower-Mekong-Basin (LMB). The number of experiments conducted was more than 1,500. Relative to the pre-project baseline survey, project data show that System of Rice Intensification practices helped to improve conditions across the LMB region. Average rice yield increased by 52%, net economic returns were raised by 70%. Labour productivity increased by 64%; water productivity by 61%; and the efficiency of mineral fertilizer-use rose by 163%. The total energy input required for farming operations was decreased by 34%, while emissions of greenhouse gas were significantly reduced, by 14% with irrigated rice production, and by 17% per-hectare in rainfed cropping.The results of this farmer-participatory research characterize climate-smart agricultural practices that can promote household-food-security and support market-oriented development at low cost, especially in rainfed areas that have not figured prominently in development plans. © 2021 Informa UK Limited, trading as Taylor &amp; Francis Group.","container-title":"International Journal of Agricultural Sustainability","DOI":"10.1080/14735903.2020.1866852","ISSN":"14735903","issue":"2","language":"English","note":"publisher: Taylor and Francis Ltd.","page":"152-174","title":"Food security and climate-smart agriculture in the lower Mekong basin of Southeast Asia: evaluating impacts of system of rice intensification with special reference to rainfed agriculture","volume":"19","author":[{"family":"Mishra","given":"A."},{"family":"Ketelaar","given":"J.W."},{"family":"Uphoff","given":"N."},{"family":"Whitten","given":"M."}],"issued":{"date-parts":[["2021"]]},"citation-key":"mishra_etal_2021"}},{"id":1057,"uris":["http://zotero.org/users/7734624/items/GBHGFLYH"],"itemData":{"id":1057,"type":"article-journal","abstract":"Decision makers need accurate information to address climate variability and change and accelerate transformation to sustainability. A stakeholder-driven, science-based multi-model approach has been developed and used by the Agricultural Model Intercomparison and Improvement Project (AgMIP) to generate actionable information for adaptation planning processes. For a range of mid-century climate projections—likely to be hotter, drier, and more variable—contrasting future socio-economic scenarios (Representative Agricultural Pathways, RAPs) were co-developed with stakeholders to portray a sustainable development scenario and a rapid economic growth pathway. The unique characteristic of this application is the integration of a multi-modeling approach with stakeholder engagement to co-develop scenarios and adaptation strategies. Distribution of outcomes were simulated with climate, crop, livestock, and economic impact assessment models for smallholder crop livestock farmers in a typical dryland agro-ecological zone in Zimbabwe, characterized by low and erratic rainfall and nutrient depleted soils. Results showed that in Nkayi District, Western Zimbabwe, climate change would threaten most of the farms, and, in particular, those with large cattle herds due to feed shortages. Adaptation strategies that showed the most promise included diversification using legume production, soil fertility improvement, and investment in conducive market environments. The switch to more legumes in the farming systems reduced the vulnerability of the very poor as well as the more resourced farmers. Overall, the sustainable development scenario consistently addressed institutional failures and motivated productivity-enhancing, environmentally sound technologies and inclusive development approaches. This yielded more favorable outcomes than investment in quick economic wins from commercializing agriculture.","container-title":"Climatic Change","DOI":"10.1007/s10584-021-03151-8","ISSN":"1573-1480","issue":"1","journalAbbreviation":"Climatic Change","language":"en","page":"10","source":"Springer Link","title":"Climate change impacts and adaptation for dryland farming systems in Zimbabwe: a stakeholder-driven integrated multi-model assessment","title-short":"Climate change impacts and adaptation for dryland farming systems in Zimbabwe","volume":"168","author":[{"family":"Homann-Kee Tui","given":"Sabine"},{"family":"Descheemaeker","given":"Katrien"},{"family":"Valdivia","given":"Roberto O."},{"family":"Masikati","given":"Patricia"},{"family":"Sisito","given":"Gevious"},{"family":"Moyo","given":"Elisha N."},{"family":"Crespo","given":"Olivier"},{"family":"Ruane","given":"Alex C."},{"family":"Rosenzweig","given":"Cynthia"}],"issued":{"date-parts":[["2021",9,25]]},"citation-key":"homann-keetui_etal_2021"}},{"id":3347,"uris":["http://zotero.org/users/7734624/items/HYTQRHCW"],"itemData":{"id":3347,"type":"article-journal","abstract":"Building climate-resilient farming systems is important to promote the sustainability of agriculture at the global level. Scaling-up agroecological approaches in main staple crops, such as maize, is particularly important in enhancing the climate resilience of millions of smallholder farmers in developing countries. In this regard, push–pull technology (PPT) is an ecological approach to a farming system that aims to improve the climate resilience of maize producers in a smallholder mixed farming system. PPT is primarily designed to control pests and weeds in an ecofriendly approach, to improve soil fertility, to improve livestock feed, and to increase farmers’ incomes. In this study, we compared the level of climate resilience between PPT maize farming systems and non-PPT maize farming systems in southern Ethiopia. Using the Food and Agriculture Organization of the United Nations (FAO) Self-Evaluation and Holistic Assessment of Climate Resilience of Farmers and Pastoralists (SHARP), we measured 13 agroecosystem indicators of climate resilience and compared the degree to which the two farming systems differ in their level of resilience to climate change. The results indicate that PPT farming systems are more climate-resilient than their non-PPT counterparts. PPT maize farming systems had a significant impact on 8 out of the 13 agroecosystem indicators of climate resilience. To harness the full benefits of PPT, governmental extension agents, NGOs, and agricultural researchers should promote PPT-based maize farming systems. The promotion of PPT needs concerted efforts and strong national coordination in solving PPT implementation barriers, such as improving access to input and output markets and animal health services.","container-title":"Sustainability","DOI":"10.3390/su14052648","ISSN":"2071-1050","issue":"5","journalAbbreviation":"Sustainability","language":"en","license":"https://creativecommons.org/licenses/by/4.0/","page":"2648","source":"DOI.org (Crossref)","title":"Achieving a Climate-Change Resilient Farming System through Push–Pull Technology: Evidence from Maize Farming Systems in Ethiopia","title-short":"Achieving a Climate-Change Resilient Farming System through Push–Pull Technology","volume":"14","author":[{"family":"Gugissa","given":"Desalegn A."},{"family":"Abro","given":"Zewdu"},{"family":"Tefera","given":"Tadele"}],"issued":{"date-parts":[["2022",2,24]]},"citation-key":"gugissa_etal_2022"}},{"id":811,"uris":["http://zotero.org/users/7734624/items/QTWS7QU2"],"itemData":{"id":811,"type":"article-journal","abstract":"CONTEXT\nNew types of farming systems have emerged in response to societal demands to reduce environmental impacts and dependence on non-renewable resources. These agriculture models can be classified according to their relative use of anthropic inputs or biodiversity and associated ecosystem services as agricultural production factors. All these models are exposed to climate change, price volatility and other disturbances. However, little is known about their resilience levels and the factors that drive them.\nOBJECTIVE\nWe assessed the resilience of 30 highly contrasted cropping agroecosystems in north-eastern France which covered a broad gradient from simplified and intensified to complex and biodiversity-based agroecosystems.\nMETHODS\nWe applied a quantitative analysis of the dynamics of three key performances over eight years: yield, gross margin and workload. An original combined set of adapted criteria − level, variability, trend and resistance − was used to assess their dynamics, i.e. their resilience. We use partial least squares regression, multiple regression trees and Pareto ranking to identify relationships among the characteristics and resilience performance of these systems.\nRESULTS AND CONCLUSIONS\nThe results showed that biodiversity-based agroecosystems, which provide a high level of ecosystem services to farmers or an increase in natural capital, tended to have stable performances. These systems also had a lower workload than intensified systems. Conversely, input-based systems, especially irrigated and tillage-intensive systems, had higher yields and gross margins, were resistant to major disturbances but were less stable.\nSIGNIFICANCE\nWhile our results show benefits of relying on biodiversity to stabilise system performances, we highlight a potential trade-off between performance level and stability, as well as possible solutions to overcome it. We also discuss the short-term strategy of anthropic input-based systems, which perform well, but consume large amounts of human and natural resources. We show potential advantages of systems that balance both ecosystem services and anthropic inputs to provide a strategy to fill the yield gap and attain resilience.","container-title":"Agricultural Systems","DOI":"10.1016/j.agsy.2022.103365","ISSN":"0308-521X","journalAbbreviation":"Agricultural Systems","language":"en","page":"103365","source":"ScienceDirect","title":"Resilience of agricultural systems: biodiversity-based systems are stable, while intensified ones are resistant and high-yielding","title-short":"Resilience of agricultural systems","volume":"197","author":[{"family":"Dardonville","given":"Manon"},{"family":"Bockstaller","given":"Christian"},{"family":"Villerd","given":"Jean"},{"family":"Therond","given":"Olivier"}],"issued":{"date-parts":[["2022",3,1]]},"citation-key":"dardonville_etal_2022"}},{"id":3384,"uris":["http://zotero.org/users/7734624/items/TF3JUWPA"],"itemData":{"id":3384,"type":"article-journal","container-title":"Agroecology and Sustainable Food Systems","DOI":"10.1080/21683565.2022.2067930","ISSN":"2168-3565, 2168-3573","issue":"5","journalAbbreviation":"Agroecology and Sustainable Food Systems","language":"en","page":"672-711","source":"DOI.org (Crossref)","title":"Climate change and shifting land-use: Consequences for smallholder agroforestry systems and rural livelihoods in the southwest Ethiopian Highlands","title-short":"Climate change and shifting land-use","volume":"46","author":[{"family":"Koch","given":"Olef"},{"family":"Ibisch","given":"Pierre L."},{"family":"Bloch","given":"Ralf"}],"issued":{"date-parts":[["2022",5,28]]},"citation-key":"koch_etal_2022"}},{"id":3346,"uris":["http://zotero.org/users/7734624/items/89PSQCE6"],"itemData":{"id":3346,"type":"article-journal","container-title":"Agricultural Systems","DOI":"10.1016/j.agsy.2022.103537","ISSN":"0308521X","journalAbbreviation":"Agricultural Systems","language":"en","page":"103537","source":"DOI.org (Crossref)","title":"Adaptive capacity of farming systems to climate change in Iran: Application of composite index approach","title-short":"Adaptive capacity of farming systems to climate change in Iran","volume":"204","author":[{"family":"Abdollahzadeh","given":"Gholamhossein"},{"family":"Sharifzadeh","given":"Mohammad Sharif"},{"family":"Sklenička","given":"Petr"},{"family":"Azadi","given":"Hossein"}],"issued":{"date-parts":[["2023",1]]},"citation-key":"abdollahzadeh_etal_2023"}},{"id":3305,"uris":["http://zotero.org/users/7734624/items/S53XKB6R"],"itemData":{"id":3305,"type":"article-journal","container-title":"Heliyon","DOI":"10.1016/j.heliyon.2023.e13935","ISSN":"24058440","issue":"3","journalAbbreviation":"Heliyon","language":"en","page":"e13935","source":"DOI.org (Crossref)","title":"Salinity extrusion and resilience of coastal aquaculture to the climatic changes in the southwest region of Bangladesh","volume":"9","author":[{"family":"Bhowmik","given":"Balai Chandra"},{"family":"Rima","given":"Nazmun Naher"},{"family":"Gosh","given":"Kamal"},{"family":"Hossain","given":"Md Abul"},{"family":"Murray","given":"Francis J."},{"family":"Little","given":"David C."},{"family":"Mamun","given":"Abdullah-Al"}],"issued":{"date-parts":[["2023",3]]},"citation-key":"bhowmik_etal_2023"}},{"id":3309,"uris":["http://zotero.org/users/7734624/items/TE7LJQNF"],"itemData":{"id":3309,"type":"article-journal","container-title":"Research in Globalization","DOI":"10.1016/j.resglo.2023.100138","ISSN":"2590051X","journalAbbreviation":"Research in Globalization","language":"en","page":"100138","source":"DOI.org (Crossref)","title":"Vulnerability of family farming systems to climate change: The case of the forest-savannah transition zone, Centre Region of Cameroon","title-short":"Vulnerability of family farming systems to climate change","volume":"7","author":[{"family":"Marie Chimi","given":"Pierre"},{"family":"Armand Mala","given":"William"},{"family":"Ngamsou Abdel","given":"Karimou"},{"family":"Louis Fobane","given":"Jean"},{"family":"Manga Essouma","given":"François"},{"family":"Hermann Matick","given":"John"},{"family":"Yldephonse Nyonce Pokam","given":"Eusebe"},{"family":"Tcheferi","given":"Imma"},{"family":"Martin Bell","given":"Joseph"}],"issued":{"date-parts":[["2023",12]]},"citation-key":"mariechimi_etal_2023"}},{"id":3310,"uris":["http://zotero.org/users/7734624/items/UKZILLQ9"],"itemData":{"id":3310,"type":"article-journal","container-title":"Mitigation and Adaptation Strategies for Global Change","DOI":"10.1007/s11027-023-10097-y","ISSN":"1381-2386, 1573-1596","issue":"1","journalAbbreviation":"Mitig Adapt Strateg Glob Change","language":"en","page":"7","source":"DOI.org (Crossref)","title":"Differentiated socio-ecological system approach for vulnerability and adaptation assessment in the Central Himalaya","volume":"29","author":[{"family":"Kumar","given":"Praveen"},{"family":"Fürst","given":"Christine"},{"family":"Joshi","given":"P. K."}],"issued":{"date-parts":[["2024",1]]},"citation-key":"kumar_etal_2024"}},{"id":3277,"uris":["http://zotero.org/users/7734624/items/H7L2VTQR"],"itemData":{"id":3277,"type":"article-journal","abstract":"Enhanced anthropogenic climatic variability challenges small farmers. In the Sumapaz páramo (Colombia), higher irregularity in precipitation and temperature reduces the quality of pasture and cattle health. Data from surveys, semi-structured interviews, and focus groups were analyzed to understand livestock farmers’ responses to the impacts of climatic variability. To estimate the communities’ resilience in the páramo, we used the capitals framework, the Baseline Resilience Indicator for Communities (BRIC), and cluster analysis. The responses of most households aim to reduce the impacts of climatic variability on the production system, chiefly intensifying practices such as the rotation of paddocks, livelihood diversification, purchase of grass, and buying and selling livestock. Interestingly, farmers did not recognize the value of the types of capital for responding to climatic variability. Results showed that the use of available physical, social, and economic capitals render the farming system resilient. Our probit model estimated that economic and human capitals are the largest and most significant contributors to communities’ capacity to respond to climatic variability. However, pre-existing non-climatic vulnerabilities are also important. For example, poverty hinders farmers from using their income in response to climatic variability. The place-based measurements used in this research are easily understood and applicable by local policy makers to address increasing climate variability.","container-title":"Land","DOI":"10.3390/land13040499","ISSN":"2073-445X","issue":"4","journalAbbreviation":"Land","language":"en","license":"https://creativecommons.org/licenses/by/4.0/","page":"499","source":"DOI.org (Crossref)","title":"Adaptive Responses and Resilience of Small Livestock Producers to Climate Variability in the Cruz Verde-Sumapaz Páramo, Colombia","volume":"13","author":[{"family":"Postigo","given":"Julio C."},{"family":"Guáqueta-Solórzano","given":"Victoria-Eugenia"},{"family":"Castañeda","given":"Edna"},{"family":"Ortiz-Guerrero","given":"Cesar Enrique"}],"issued":{"date-parts":[["2024",4,11]]},"citation-key":"postigo_etal_2024"}},{"id":3286,"uris":["http://zotero.org/users/7734624/items/XNDAQFCC"],"itemData":{"id":3286,"type":"article-journal","abstract":"Agriculture is vital to the Saudi Arabian economy since it provides food and other necessities to people living in rural areas, as well as those living in adjacent cities. Notwithstanding its considerable economic importance, the agricultural sector is confronted with formidable obstacles due to climate change, such as elevated temperatures, floods, extreme droughts, and decreased agricultural yields. Building a farming system capable of being climate resilient requires the comprehension of the vulnerabilities of farm households and related systems. This paper deals with the potential agricultural risks resulting from climate change in Saudi Arabia. In addition to concentrating on precipitation and temperature, the present research incorporates the three main components of the Climate Change Vulnerability Index (CCVI): sensitivity, exposure, and adaptive capability. The results of this research reveal a notable challenge that farmers in Saudi Arabia encounter, as they are very susceptible to the impacts of climate change. The Climate Change Vulnerability Index (CCVI) has a score of 0.730, signifying a substantial degree of vulnerability. The farmers in this region are very susceptible to uncertainties caused by climate change, as indicated by the significant exposure score of 0.725. This exposure comprises a wide range of concerns resulting from fluctuations in temperature, patterns of rainfall, and occurrences of severe weather, all of which have an immediate and negative effect on agriculture. Farmers in that region are more susceptible to the effects of climate change, which could jeopardize their livelihoods and agricultural operations, as shown by the susceptibility component (SVI) of 0.559. Moreover, the adaptive capacity (AVI) score of 0.567 highlights the fact that farmers have limited access to resources, skills, and experience, hindering their ability to tackle the challenges that have been caused by climate change in this region successfully. The results emphasize the immediate necessity for specific policies and assistance to enhance the resilience of agricultural communities in the area, as well as to mitigate the potential adverse effects of climate change on their livelihoods.","container-title":"Sustainability","DOI":"10.3390/su16104245","ISSN":"2071-1050","issue":"10","journalAbbreviation":"Sustainability","language":"en","license":"https://creativecommons.org/licenses/by/4.0/","page":"4245","source":"DOI.org (Crossref)","title":"Exploring Climate-Induced Agricultural Risk in Saudi Arabia: Evidence from Farming Communities of Medina Region","title-short":"Exploring Climate-Induced Agricultural Risk in Saudi Arabia","volume":"16","author":[{"family":"Alotaibi","given":"Bader Alhafi"},{"family":"Xu","given":"Weizhou"},{"family":"Shah","given":"Ashfaq Ahmad"},{"family":"Ullah","given":"Wahid"}],"issued":{"date-parts":[["2024",5,17]]},"citation-key":"alotaibi_etal_2024"}}],"schema":"https://github.com/citation-style-language/schema/raw/master/csl-citation.json"}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F14CCF" w:rsidRPr="00F14CCF">
              <w:rPr>
                <w:rFonts w:ascii="Times New Roman" w:hAnsi="Times New Roman" w:cs="Times New Roman"/>
                <w:lang w:val="fr-FR"/>
              </w:rPr>
              <w:t>(Schaap et al. 2013; Tibesigwa et al. 2017; Descheemaeker et al. 2018; Souissi et al. 2018; Dobkowitz et al. 2020; Mishra et al. 2021; Homann-Kee Tui et al. 2021; Gugissa et al. 2022; Dardonville et al. 2022; Koch et al. 2022; Abdollahzadeh et al. 2023; Bhowmik et al. 2023; Marie Chimi et al. 2023; Kumar et al. 2024; Postigo et al. 2024; Alotaibi et al. 2024)</w:t>
            </w:r>
            <w:r w:rsidRPr="00FF4B56">
              <w:rPr>
                <w:rFonts w:ascii="Times New Roman" w:eastAsia="Times New Roman" w:hAnsi="Times New Roman" w:cs="Times New Roman"/>
                <w:color w:val="000000"/>
                <w:lang w:eastAsia="en-GB"/>
              </w:rPr>
              <w:fldChar w:fldCharType="end"/>
            </w:r>
          </w:p>
        </w:tc>
      </w:tr>
      <w:tr w:rsidR="00663667" w:rsidRPr="00AF6801" w14:paraId="1CDB61DC" w14:textId="083B6804" w:rsidTr="00406364">
        <w:trPr>
          <w:trHeight w:val="288"/>
        </w:trPr>
        <w:tc>
          <w:tcPr>
            <w:tcW w:w="0" w:type="auto"/>
            <w:tcBorders>
              <w:top w:val="nil"/>
              <w:left w:val="nil"/>
              <w:bottom w:val="nil"/>
              <w:right w:val="nil"/>
            </w:tcBorders>
            <w:shd w:val="clear" w:color="000000" w:fill="FFFFFF"/>
          </w:tcPr>
          <w:p w14:paraId="403CE670" w14:textId="77777777" w:rsidR="00663667" w:rsidRPr="00F14CCF"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hideMark/>
          </w:tcPr>
          <w:p w14:paraId="4A72A18A" w14:textId="32C4BABE" w:rsidR="00663667" w:rsidRPr="00F14CCF" w:rsidRDefault="00663667" w:rsidP="00663667">
            <w:pPr>
              <w:spacing w:after="0" w:line="360" w:lineRule="auto"/>
              <w:rPr>
                <w:rFonts w:ascii="Times New Roman" w:eastAsia="Times New Roman" w:hAnsi="Times New Roman" w:cs="Times New Roman"/>
                <w:color w:val="000000"/>
                <w:lang w:val="fr-FR" w:eastAsia="en-GB"/>
              </w:rPr>
            </w:pPr>
            <w:r w:rsidRPr="00F14CCF">
              <w:rPr>
                <w:rFonts w:ascii="Times New Roman" w:eastAsia="Times New Roman" w:hAnsi="Times New Roman" w:cs="Times New Roman"/>
                <w:color w:val="000000"/>
                <w:lang w:val="fr-FR" w:eastAsia="en-GB"/>
              </w:rPr>
              <w:t> </w:t>
            </w:r>
          </w:p>
        </w:tc>
        <w:tc>
          <w:tcPr>
            <w:tcW w:w="5310" w:type="dxa"/>
            <w:tcBorders>
              <w:top w:val="nil"/>
              <w:left w:val="nil"/>
              <w:bottom w:val="nil"/>
              <w:right w:val="nil"/>
            </w:tcBorders>
            <w:shd w:val="clear" w:color="000000" w:fill="FFFFFF"/>
            <w:noWrap/>
            <w:hideMark/>
          </w:tcPr>
          <w:p w14:paraId="2AABF850" w14:textId="6DAE4546" w:rsidR="00663667" w:rsidRPr="00F14CCF" w:rsidRDefault="00663667" w:rsidP="00663667">
            <w:pPr>
              <w:spacing w:after="0" w:line="360" w:lineRule="auto"/>
              <w:rPr>
                <w:rFonts w:ascii="Times New Roman" w:eastAsia="Times New Roman" w:hAnsi="Times New Roman" w:cs="Times New Roman"/>
                <w:color w:val="000000"/>
                <w:lang w:val="fr-FR" w:eastAsia="en-GB"/>
              </w:rPr>
            </w:pPr>
            <w:proofErr w:type="spellStart"/>
            <w:r w:rsidRPr="00F14CCF">
              <w:rPr>
                <w:rFonts w:ascii="Times New Roman" w:eastAsia="Times New Roman" w:hAnsi="Times New Roman" w:cs="Times New Roman"/>
                <w:color w:val="000000"/>
                <w:lang w:val="fr-FR" w:eastAsia="en-GB"/>
              </w:rPr>
              <w:t>Number</w:t>
            </w:r>
            <w:proofErr w:type="spellEnd"/>
            <w:r w:rsidRPr="00F14CCF">
              <w:rPr>
                <w:rFonts w:ascii="Times New Roman" w:eastAsia="Times New Roman" w:hAnsi="Times New Roman" w:cs="Times New Roman"/>
                <w:color w:val="000000"/>
                <w:lang w:val="fr-FR" w:eastAsia="en-GB"/>
              </w:rPr>
              <w:t xml:space="preserve"> of </w:t>
            </w:r>
            <w:proofErr w:type="spellStart"/>
            <w:r w:rsidRPr="00F14CCF">
              <w:rPr>
                <w:rFonts w:ascii="Times New Roman" w:eastAsia="Times New Roman" w:hAnsi="Times New Roman" w:cs="Times New Roman"/>
                <w:color w:val="000000"/>
                <w:lang w:val="fr-FR" w:eastAsia="en-GB"/>
              </w:rPr>
              <w:t>livestock</w:t>
            </w:r>
            <w:proofErr w:type="spellEnd"/>
            <w:r w:rsidRPr="00F14CCF">
              <w:rPr>
                <w:rFonts w:ascii="Times New Roman" w:eastAsia="Times New Roman" w:hAnsi="Times New Roman" w:cs="Times New Roman"/>
                <w:color w:val="000000"/>
                <w:lang w:val="fr-FR" w:eastAsia="en-GB"/>
              </w:rPr>
              <w:t xml:space="preserve"> </w:t>
            </w:r>
            <w:proofErr w:type="spellStart"/>
            <w:r w:rsidRPr="00F14CCF">
              <w:rPr>
                <w:rFonts w:ascii="Times New Roman" w:eastAsia="Times New Roman" w:hAnsi="Times New Roman" w:cs="Times New Roman"/>
                <w:color w:val="000000"/>
                <w:lang w:val="fr-FR" w:eastAsia="en-GB"/>
              </w:rPr>
              <w:t>heads</w:t>
            </w:r>
            <w:proofErr w:type="spellEnd"/>
          </w:p>
        </w:tc>
        <w:tc>
          <w:tcPr>
            <w:tcW w:w="1350" w:type="dxa"/>
            <w:tcBorders>
              <w:top w:val="nil"/>
              <w:left w:val="nil"/>
              <w:bottom w:val="nil"/>
              <w:right w:val="nil"/>
            </w:tcBorders>
            <w:shd w:val="clear" w:color="000000" w:fill="FFFFFF"/>
            <w:noWrap/>
            <w:hideMark/>
          </w:tcPr>
          <w:p w14:paraId="2261CBFD" w14:textId="1BF45346" w:rsidR="00663667" w:rsidRPr="00F14CCF" w:rsidRDefault="00663667" w:rsidP="00663667">
            <w:pPr>
              <w:spacing w:after="0" w:line="360" w:lineRule="auto"/>
              <w:rPr>
                <w:rFonts w:ascii="Times New Roman" w:eastAsia="Times New Roman" w:hAnsi="Times New Roman" w:cs="Times New Roman"/>
                <w:color w:val="000000"/>
                <w:lang w:val="fr-FR" w:eastAsia="en-GB"/>
              </w:rPr>
            </w:pPr>
            <w:r w:rsidRPr="00F14CCF">
              <w:rPr>
                <w:rFonts w:ascii="Times New Roman" w:eastAsia="Times New Roman" w:hAnsi="Times New Roman" w:cs="Times New Roman"/>
                <w:color w:val="000000"/>
                <w:lang w:val="fr-FR" w:eastAsia="en-GB"/>
              </w:rPr>
              <w:t>15</w:t>
            </w:r>
          </w:p>
        </w:tc>
        <w:tc>
          <w:tcPr>
            <w:tcW w:w="5274" w:type="dxa"/>
            <w:tcBorders>
              <w:left w:val="nil"/>
              <w:right w:val="nil"/>
            </w:tcBorders>
            <w:shd w:val="clear" w:color="000000" w:fill="FFFFFF"/>
          </w:tcPr>
          <w:p w14:paraId="6A120D5C" w14:textId="6E21F564" w:rsidR="00663667" w:rsidRPr="00FF4B56"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F14CCF">
              <w:rPr>
                <w:rFonts w:ascii="Times New Roman" w:eastAsia="Times New Roman" w:hAnsi="Times New Roman" w:cs="Times New Roman"/>
                <w:color w:val="000000"/>
                <w:lang w:val="fr-FR" w:eastAsia="en-GB"/>
              </w:rPr>
              <w:instrText xml:space="preserve"> ADDIN ZOTERO_ITEM CSL_CITATION {"citationID":"QJHKr88d","properties":{"formattedCitation":"(Duncan et al. 2017; Jiri et al. 2017; Amamou et al. 2018; Lopez-Ridaura et al. 2018; Descheemaeker et al. 2018; Souissi et al. 2018; Dobkowitz et al. 2020; Shrestha et al. 2020; Hossard et al. 2021; Monjardino et al. 2021; Naz and Saqib 2021; Soltani and Mellah 2023; Marie Chimi et al. 2023; Kumar et al. 2024; Alotaibi et al. 2024)","plainCitation":"(Duncan et al. 2017; Jiri et al. 2017; Amamou et al. 2018; Lopez-Ridaura et al. 2018; Descheemaeker et al. 2018; Souissi et al. 2018; Dobkowitz et al. 2020; Shrestha et al. 2020; Hossard et al. 2021; Monjardino et al. 2021; Naz and Saqib 2021; Soltani and Mellah 2023; Marie Chimi et al. 2023; Kumar et al. 2024; Alotaibi et al. 2024)","noteIndex":0},"citationItems":[{"id":883,"uris":["http://zotero.org/users/7734624/items/9J9Q99MZ"],"itemData":{"id":883,"type":"article-journal","abstract":"Developing country deltas are important food producing areas and are home to large numbers of subsistence farmers. In particular, rice farmers dominate the populous deltas of South and Southeast Asia and face frequent climate hazards that have short- and long-term impacts on rice production and livelihoods. The aim of this study is to identify and explain proximal and ultimate factors (land access, cultural practices, and institutional support) that affect rice farmer resilience, that is, to explain why some farmers are more sensitive to climate shocks, why some farmers suffer long-term impacts from climate shocks, and what underlying “ultimate” factors reproduce this vulnerability over time. We undertake this analysis using qualitative interviews and household survey data from two districts in the Mahanadi Delta, Odisha, India. We show that climate hazards cause rice production shocks that are problematic for farmers because rice is predominantly used for household consumption in a context of unreliable off-farm income sources and a lack of insurance and credit. Our research emphasizes that “ultimate” drivers interact with the current mode of rice cultivation to reproduce a low resilience farming state. We argue that agricultural development interventions seeking to make rice farming more resilient to climate hazards should focus on boosting productivity and shock-resistance, but also be cognizant of the system within which rice farming is practiced and the contextual “ultimate” factors that reproduce vulnerability. © 2017 by the author(s).","container-title":"Ecology and Society","DOI":"10.5751/ES-09559-220403","ISSN":"17083087","issue":"4","language":"English","note":"publisher: Resilience Alliance","title":"Resilience to hazards: Rice farmers in the Mahanadi Delta, India","URL":"https://www.scopus.com/inward/record.uri?eid=2-s2.0-85040690432&amp;doi=10.5751%2fES-09559-220403&amp;partnerID=40&amp;md5=6e2c980a0807c4bd45914aca1feec990","volume":"22","author":[{"family":"Duncan","given":"J.M."},{"family":"Tompkins","given":"E.L."},{"family":"Dash","given":"J."},{"family":"Tripathy","given":"B."}],"issued":{"date-parts":[["2017"]]},"citation-key":"duncan_etal_2017"}},{"id":1132,"uris":["http://zotero.org/users/7734624/items/ACR7434B"],"itemData":{"id":1132,"type":"article-journal","abstract":"Purpose: This study aimed to determine factors that increase resilience and cause smallholder farmers to adapt better to climate change and vulnerability. Design/methodology/approach: In this study, the authors used the vulnerability to resilience model and binary logit model to analyse the factors influencing household decisions to adapt. Findings: Households with increased access to climate information through extension services were likely to have better adaptation abilities. It was also shown that younger farmers were likely to adapt to climate change given their flexibility to adopt new techniques and their access and use of modern information and technology. Larger households were found to have higher probability of adapting as most adaptation strategies are labour intensive. Household’s possession of livestock and access to credit significantly enhanced adaptation. However, households with higher farm income have lesser incentives to adapt to because their current farming practices might already be optimum. Research limitations/implications: Given that most of the smallholder farmers are vulnerable, such as women-headed households and the elderly, who are labour constrained, there is need for research and development of labour saving technologies to increase resilience to climate change and vulnerability. Originality/value: These findings underscore the importance of enabling farmer access to information and better technologies which enable them to increase adaptive capacity and resilience. © 2017, © Emerald Publishing Limited.","container-title":"International Journal of Climate Change Strategies and Management","DOI":"10.1108/IJCCSM-07-2016-0092","ISSN":"17568692","issue":"2","language":"English","note":"publisher: Emerald Group Publishing Ltd.","page":"151-165","title":"Building climate change resilience through adaptation in smallholder farming systems in semi-arid Zimbabwe","volume":"9","author":[{"family":"Jiri","given":"O."},{"family":"Mafongoya","given":"P.L."},{"family":"Chivenge","given":"P."}],"issued":{"date-parts":[["2017"]]},"citation-key":"jiri_etal_2017"}},{"id":990,"uris":["http://zotero.org/users/7734624/items/EMVXCNL4"],"itemData":{"id":990,"type":"article-journal","abstract":"The perception of risks due to climate change by farmers and the measures they take to address those risks are of paramount importance in policy-making if the implementations of targeted adaptation and mitigation strategies are to be economically and environmentally sustainable. This study focused on Tunisian dairy farmers' perceptions of the risks and the actions taken to cope with changes attributable to climate change. Using a bottom-up approach, 566 surveys were carried out randomly among dairy farmers throughout Tunisia. A total of 70 diagnostic variables relating to farm characteristics, resources, management, performances and profit, in addition to climate change risk perception and adaptation strategies, were identified and analyzed. Using multivariate statistical analysis, four dairy farming groups were identified. The largest proportions of farmers belonged to the two above-ground dairy systems: without utilized agricultural areas; and with non-dairy utilized agricultural areas (Clusters 1 and 2). A minority of farmers belonged to medium-sized and large farms that specialized in milk production (Clusters 3 and 4) and has access to sufficient land, water and capital resources. In all the clusters, almost all the farmers perceived that the greatest impact of climate change would be on cow performance and forage production. The attitudes of the farmers towards adaptation to climate change are associated with farm typology. They focused mainly on increasing water capacity for livestock and crop production and improving livestock and housing conditions. The knowledge obtained from this study could be helpful for decision-makers and stakeholders in efforts to develop policies for farm management practices that address climate change and can be adapted to the country's diverse farming systems.","container-title":"CLIMATE RISK MANAGEMENT","DOI":"10.1016/j.crm.2018.03.004","ISSN":"2212-0963","language":"English","note":"publisher-place: RADARWEG 29, 1043 NX AMSTERDAM, NETHERLANDS\npublisher: ELSEVIER\ntype: Article","page":"38-49","title":"Climate change-related risks and adaptation strategies as perceived in dairy cattle farming systems in Tunisia","volume":"20","author":[{"family":"Amamou","given":"Hajer"},{"family":"Ben Sassi","given":"Mohsen"},{"family":"Aouadi","given":"Hatem"},{"family":"Khemiri","given":"Hichem"},{"family":"Mahouachi","given":"Mokhtar"},{"family":"Beckers","given":"Yves"},{"family":"Hammami","given":"Hedi"}],"issued":{"date-parts":[["2018"]]},"citation-key":"amamou_etal_2018"}},{"id":351,"uris":["http://zotero.org/users/7734624/items/VMQZYXSU"],"itemData":{"id":351,"type":"article-journal","abstract":"One of the great challenges in agricultural development and sustainable intensiﬁcation is the assurance of social equity in food security oriented interventions. Development practitioners, researchers, and policy makers alike could beneﬁt from prior insight into what interventions or environmental shocks might diﬀerentially aﬀect farmers' food security status, in order to move towards more informed and equitable development. We examined the food security status and livelihood activities of 269 smallholder farm households (HHs) in Bihar, India. Proceeding with a four-step analysis, we ﬁrst applied a multivariate statistical methodology to diﬀerentiate ﬁve primary farming system types. We next applied an indicator of food security in the form of HH potential food availability (PFA), and examined the contribution of crop, livestock, and on- and oﬀ-farm income generation to PFA within each farm HH type. Lastly, we applied scenario analysis to examine the potential impact of the adoption of ‘climate smart’ agricultural (CSA) practices in the form of conservation agriculture (CA) and improved livestock husbandry, and environmental shocks on HH PFA. Our results indicate that compared to livestock interventions, CA may hold considerable potential to boost HH PFA, though primarily for wealthier and medium-scale cereal farmers. These farm HH types were however considerably more vulnerable to food insecurity risks resulting from simulated drought, while part-time farmers and resource-poor agricultural laborers generating income from oﬀ-farm pursuits were comparatively less vulnerable, due in part to their more diversiﬁed income sources and potential to migrate in search of work. Our results underscore the importance of prior planning for development initiatives aimed at increasing smallholder food security while maintaining social equity, while providing a robust methodology to vet the implications of agricultural interventions on an ex ante basis.","container-title":"Agricultural Systems","DOI":"10.1016/j.agsy.2017.09.007","ISSN":"0308521X","journalAbbreviation":"Agricultural Systems","language":"en","page":"57-68","source":"DOI.org (Crossref)","title":"Climate smart agriculture, farm household typologies and food security","volume":"159","author":[{"family":"Lopez-Ridaura","given":"Santiago"},{"family":"Frelat","given":"Romain"},{"family":"Wijk","given":"Mark T.","non-dropping-particle":"van"},{"family":"Valbuena","given":"Diego"},{"family":"Krupnik","given":"Timothy J."},{"family":"Jat","given":"M.L."}],"issued":{"date-parts":[["2018",1]]},"citation-key":"lopez-ridaura_etal_2018"}},{"id":1058,"uris":["http://zotero.org/users/7734624/items/6SWCRLFE"],"itemData":{"id":1058,"type":"article-journal","abstract":"Large uncertainties about the impacts of climate change and adaptation options on the livestock component of heterogeneous African farming systems hamper tailored decision making towards climate-smart agriculture. This study addressed this knowledge gap through the development and use of a dynamic modelling framework integrating climate, crop, pasture and livestock models. The framework was applied to a population of 91 farms located in semi-arid Zimbabwe to assess effects on livestock production resulting from climate change and management interventions. Climate scenarios representing relative “cool-wet”, “hot-dry” and “middle” conditions by mid-century (2040–2070) for two representative concentration pathways were compared with the baseline climate. On-farm fodder resources and rangeland grass production were simulated with the crop model APSIM and the pasture model GRASP respectively. The simulated fodder availability was used in the livestock model LIVSIM to generate various production indicators including milk, offtake, mortality, manure, and net revenue. We investigated the effects of two adaptation packages targeting soil fertility management and crop diversification and quantified the sensitivity to climate change of both current and improved systems. Livestock productivity was constrained by dry-season feed gaps, which were particularly severe for crude protein and caused by the reliance on rangeland grazing and crop residues, both of low quality in the dry season. Effects on grass and stover production depended on the climate scenario and the crop, but year-to-year variation generally increased. Relative changes in livestock net revenue compared to the baseline climate varied from a 6% increase to a 43% decrease, and the proportion of farmers negatively affected varied from 20% to 100%, depending on the climate scenario. Adverse effects of climate change on average livestock production usually coincided with increased year-to-year variability and risk. Farms with larger stocking density faced more severe feed gaps and were more sensitive to climate change than less densely stocked farms. The first adaptation package resulted in increased stover production and a small increase in livestock productivity. The inclusion of grain and forage legumes with the second package increased milk productivity and net revenues more profoundly by 30%. This was attributed to the alleviation of dry-season feed gaps, which also reduced the sensitivity to climate change compared to the current system. Clearly, individual farms were affected differently by climate change and by improved farm management, illustrating that disaggregated impact assessments are needed to effectively inform decision making towards climate change adaptation.","container-title":"Agricultural Systems","DOI":"10.1016/j.agsy.2017.05.004","ISSN":"0308-521X","journalAbbreviation":"Agricultural Systems","language":"en","page":"282-295","source":"ScienceDirect","title":"Effects of climate change and adaptation on the livestock component of mixed farming systems: A modelling study from semi-arid Zimbabwe","title-short":"Effects of climate change and adaptation on the livestock component of mixed farming systems","volume":"159","author":[{"family":"Descheemaeker","given":"Katrien"},{"family":"Zijlstra","given":"Mink"},{"family":"Masikati","given":"Patricia"},{"family":"Crespo","given":"Olivier"},{"family":"Homann-Kee Tui","given":"Sabine"}],"issued":{"date-parts":[["2018",1,1]]},"citation-key":"descheemaeker_etal_2018"}},{"id":877,"uris":["http://zotero.org/users/7734624/items/GDJ5BBWZ"],"itemData":{"id":877,"type":"article-journal","abstract":"This study considers a quantitative approach for assessing the performance of Tunisian farming systems to face climate change. It is based on the resilience concept and the calculation, with a modelling chain, of three indicators: land stock, labour stock, and income flux. Two system states, “base” and “climate change”, and a time horizon of 2010-2025, are developed and compared for representative farming systems. The study shows that 55% of the farming systems were identified as being resilient to climate change. They are diversified and mostly grow cereals, vegetables, and forage crops combined with livestock, increasing their capability to mitigate climate change by reorganizing crop activities. 35% of the farms identified as being non-resilient are dominated by orchards, or cereals and orchards. They showed an important drop in farm income (-45%), mainly due to their inability to adapt their cropping systems to water stress and soil salinity. Finally, only 10% were identified as being poorly resilient farming systems. Those farms have mainly intensified cereal cropping systems based on a strategy of purchasing land to increase the surface area of profitable activities (forage and livestock). Overall, the methodology can be adapted for other dry land areas in the Mediterranean region and help experts and policy-makers to propose and test strategies for adapting to climate change.","container-title":"REGIONAL ENVIRONMENTAL CHANGE","DOI":"10.1007/s10113-017-1130-8","ISSN":"1436-3798","issue":"3","language":"English","note":"publisher-place: TIERGARTENSTRASSE 17, D-69121 HEIDELBERG, GERMANY\npublisher: SPRINGER HEIDELBERG\ntype: Article","page":"637-650","title":"Impact assessment of climate change on farming systems in the South Mediterranean area: a Tunisian case study","volume":"18","author":[{"family":"Souissi","given":"Imen"},{"family":"Boisson","given":"Jean Marie"},{"family":"Mekki","given":"Insaf"},{"family":"Therond","given":"Olivier"},{"family":"Flichman","given":"Guillermo"},{"family":"Wery","given":"Jacques"},{"family":"Belhouchette","given":"Hatem"}],"issued":{"date-parts":[["2018",3]]},"citation-key":"souissi_etal_2018"}},{"id":700,"uris":["http://zotero.org/users/7734624/items/PY55PIZ2"],"itemData":{"id":700,"type":"article-journal","abstract":"Climate change heavily impacts smallholder farming worldwide. Cross-scale vulnerability assessment has a high potential to identify nested measures for reducing vulnerability of smallholder farmers. Despite their high practical value, there are currently only limited examples of cross-scale assessments. The presented study aims at assessing the vulnerability of smallholder farmers in the Northeast of Brazil across three scales: regional, farm and field scale. In doing so, it builds on existing vulnerability indices and compares results between indices at the same scale and across scales. In total, six independent indices are tested, two at each scale. The calculated indices include social, economic and ecological indicators, based on municipal statistics, meteorological data, farm interviews and soil analyses. Subsequently, indices and overlapping indicators are normalized for intra-and cross-scale comparison. The results show considerable differences between indices across and within scales. They indicate different activities to reduce vulnerability of smallholder farmers. Major shortcomings arise from the conceptual differences between the indices. We therefore recommend the development of hierarchical indices, which are adapted to local conditions and contain more overlapping indicators for a better understanding of the nested vulnerabilities of smallholder farmers. © 2020 by the authors.","container-title":"Sustainability (Switzerland)","DOI":"10.3390/su12093787","ISSN":"20711050","issue":"9","language":"English","note":"publisher: MDPI","title":"Cross-scale vulnerability assessment for smallholder farming: A case study from the northeast of Brazil","URL":"https://www.scopus.com/inward/record.uri?eid=2-s2.0-85085964908&amp;doi=10.3390%2fsu12093787&amp;partnerID=40&amp;md5=1b75293eec4b8771c893cebceaa1b88e","volume":"12","author":[{"family":"Dobkowitz","given":"S."},{"family":"Walz","given":"A."},{"family":"Baroni","given":"G."},{"family":"Pérez-Marin","given":"A.M."}],"issued":{"date-parts":[["2020"]]},"citation-key":"dobkowitz_etal_2020"}},{"id":948,"uris":["http://zotero.org/users/7734624/items/WACGP4UF"],"itemData":{"id":948,"type":"article-journal","abstract":"Liver fluke infection (fascioliasis) is a parasitic disease which affects the health and welfare of ruminants. It is a concern for the livestock industry and is considered as a growing threat to the industry because changing climatic conditions are projected to be more favorable to increased frequency and intensity of liver fluke outbreaks. Recent reports highlighted that the incidence and geographic range of liver fluke has increased in the UK over the last decade and estimated to increase the average risk of liver fluke in the UK due to increasing temperature and rainfall. This paper explores financial impacts of the disease with and without climate change effects on Scottish livestock farms using a farm-level economic model. The model is based on farming system analysis and uses linear programming technique to maximize farm net profit within farm resources. Farm level data from a sample of 160 Scottish livestock farms is used under a no disease baseline scenario and two disease scenarios (with and without climate change). These two disease scenarios are compared with the baseline scenario to estimate the financial impact of the disease at farm levels. The results suggest a 12% reduction in net profit on an average dairy farm compared to 6% reduction on an average beef farm under standard disease conditions. The losses increase by 2-fold on a dairy farm and 6-fold on a beef farm when climate change effects are included with disease conditions on farms. There is a large variability within farm groups with profitable farms incurring relatively lesser economic losses than non-profitable farms. There is a substantial increase in number of vulnerable farms both in dairy (+20%) and beef farms (+27%) under the disease alongside climate change conditions. © Copyright © 2020 Shrestha, Barratt, Fox, Vosough Ahmadi and Hutchings.","container-title":"Frontiers in Veterinary Science","DOI":"10.3389/fvets.2020.564795","ISSN":"22971769","language":"English","note":"publisher: Frontiers Media S.A.","title":"Financial Impacts of Liver Fluke on Livestock Farms Under Climate Change–A Farm Level Assessment","URL":"https://www.scopus.com/inward/record.uri?eid=2-s2.0-85098055962&amp;doi=10.3389%2ffvets.2020.564795&amp;partnerID=40&amp;md5=f286db0add6f72e76a11e41c8c8f05e6","volume":"7","author":[{"family":"Shrestha","given":"S."},{"family":"Barratt","given":"A."},{"family":"Fox","given":"N.J."},{"family":"Vosough Ahmadi","given":"B."},{"family":"Hutchings","given":"M.R."}],"issued":{"date-parts":[["2020"]]},"citation-key":"shrestha_etal_2020"}},{"id":900,"uris":["http://zotero.org/users/7734624/items/ESZ3PZ8X"],"itemData":{"id":900,"type":"article-journal","abstract":"The Mediterranean region is expected to be a hotspot for climate change, making the resilience of farming systems a major challenge. Some studies have used quantitative models at the farm scale to analyze the resilience of farming systems but with little involvement of stakeholders. We used a participatory approach with local actors on the Saïs plain of Morocco to design possible future states and qualitatively assess the resilience of typical farm types (FTs) experiencing major change. Our approach combined individual interviews of farmers and local actors, mainly public, with participatory collective meetings to identify representative FTs and their performance, project their evolutions and future performance in the face of change, and evaluate their resilience. Performance, defined according to literature, interviews and meetings, included different types of capital, income, yields, markets, support of public policies, and water access. Four FTs were considered: highly irrigated horticulture (FT1), rainfed cereals (FT2), partly irrigated cereal-legumes (FT3), and mostly irrigated fruit-tree/horticulture (FT4). The primary driver for FT2 and FT3 was climate change; for FT1 and FT4, it was limiting access to water resources. Participants designed more diversified systems for all FTs in relation to those changes. Rankings of FT performance did not change between current and future states. Performance did not evolve significantly, but FT4 was seen as the most resilient and FT2 the least. These qualitative results differ somewhat from other studies mobilizing quantitative approaches, but they highlight the potential of local adaptation to limit the impacts of global change on vulnerable agriculture. © 2021, The Author(s), under exclusive licence to Springer-Verlag GmbH Germany, part of Springer Nature.","container-title":"Regional Environmental Change","DOI":"10.1007/s10113-021-01764-4","ISSN":"14363798","issue":"2","language":"English","note":"publisher: Springer Science and Business Media Deutschland GmbH","title":"Assessing the resilience of farming systems on the Saïs plain, Morocco","URL":"https://www.scopus.com/inward/record.uri?eid=2-s2.0-85103359646&amp;doi=10.1007%2fs10113-021-01764-4&amp;partnerID=40&amp;md5=924a3e87533f83436132d881f83b85fc","volume":"21","author":[{"family":"Hossard","given":"L."},{"family":"Fadlaoui","given":"A."},{"family":"Ricote","given":"E."},{"family":"Belhouchette","given":"H."}],"issued":{"date-parts":[["2021"]]},"citation-key":"hossard_etal_2021"}},{"id":697,"uris":["http://zotero.org/users/7734624/items/IM6WSCSJ"],"itemData":{"id":697,"type":"article-journal","abstract":"Conservation Agriculture (CA) is promoted by research and development (R&amp;D) agencies to sustainably intensify agricultural systems with the goals of improving food security and livelihoods and adapting food systems to global climate change. Despite the many benefits of CA, there are few farmers around the world that have simultaneously implemented all facets of the strategy. In part, this reflects the challenges in applying, adapting, and understanding this complex and multi-dimensional agricultural innovation in the context of diverse farming systems. In this paper, we applied an integrated framework that combines bioeconomic simulation, risk analysis, adoption theory, and impact assessment to investigate how various combinations of CA components (no-tillage, soil cover, crop diversification, plus growing a new crop or variety) performed over a 10-year period in representative farms in a central Mexican case study. We found significant differences in profit, net value, downside risk, and risk-aversion cost between double-component scenarios (and improved CA to a lesser extent) and all other scenarios, which suggested that disaggregating CA into smaller component packages could increase farmer adoption in risky contexts. Our findings provided valuable insights on CA feasibility and could help establish policy and reporting metrics. The study highlighted the need for employing a range of research tools to understand the relative value of agricultural innovations and to identify and reduce trade-offs and uncertainty in farming systems. © 2021 by the authors. Licensee MDPI, Basel, Switzerland.","container-title":"Agronomy","DOI":"10.3390/agronomy11061214","ISSN":"20734395","issue":"6","language":"English","note":"publisher: MDPI AG","title":"Disaggregating the value of conservation agriculture to inform smallholder transition to sustainable farming: A mexican case study","URL":"https://www.scopus.com/inward/record.uri?eid=2-s2.0-85108835109&amp;doi=10.3390%2fagronomy11061214&amp;partnerID=40&amp;md5=05911882b0621e212e1959d79f5cb1f7","volume":"11","author":[{"family":"Monjardino","given":"M."},{"family":"Ridaura","given":"S.L."},{"family":"Van Loon","given":"J."},{"family":"Mottaleb","given":"K."},{"family":"Kruseman","given":"G."},{"family":"Zepeda","given":"A."},{"family":"Hernández","given":"E.O."},{"family":"Burgueño","given":"J."},{"family":"Singh","given":"R.G."},{"family":"Govaerts","given":"B."},{"family":"Erenstein","given":"O."}],"issued":{"date-parts":[["2021"]]},"citation-key":"monjardino_etal_2021"}},{"id":899,"uris":["http://zotero.org/users/7734624/items/YI6CCDC8"],"itemData":{"id":899,"type":"article-journal","abstract":"Gender and vulnerability are important issues to examine in the context of flooding caused by climate change. Men and women around the world adapt differently to climate change effects and natural disasters. Therefore, this study examines men and women’s level of vulnerabilities and their choices of livelihood practices in char farming households in Zanjira, Bangladesh. The study used primary and secondary data. Both qualitative and quantitative were collected. Quantitative data were collected from a household survey of 115 men and 114 women using a questionnaire. Qualitative data were collected through 15 key informant interviews, 30 focus group discussions, and 18 in-depth interviews. Quantitative and qualitative methods were used to assess men and women’s vulnerabilities, including three indices of vulnerability measuring access to livelihood assets were used. A hierarchical regression model was used to perform a gender-based analysis. The percentile score for men was 0.430 units higher than for women, revealing that male respondents were less vulnerable than female respondents in the study area. The results of the regression model showed that the use of gender as an explanatory variable increased the explanatory power of the model and was highly significant. The overall findings of quantitative and qualitative data analysis revealed that floods’ impacts were different for men and women and that women were more vulnerable overall, in part because of gender-related sociocultural norms. These differentials in vulnerabilities affected men and women’s ability to respond and recover from floods and adapt to new opportunities when disaster strikes. © 2021, The Author(s), under exclusive licence to Springer Nature B.V. part of Springer Nature.","container-title":"Natural Hazards","DOI":"10.1007/s11069-020-04482-y","ISSN":"0921030X","issue":"1","language":"English","note":"publisher: Springer Science and Business Media B.V.","page":"655-677","title":"Gender-based differences in flood vulnerability among men and women in the char farming households of Bangladesh","volume":"106","author":[{"family":"Naz","given":"F."},{"family":"Saqib","given":"S.E."}],"issued":{"date-parts":[["2021"]]},"citation-key":"naz_saqib_2021"}},{"id":3343,"uris":["http://zotero.org/users/7734624/items/JDJQPVNK"],"itemData":{"id":3343,"type":"article-journal","container-title":"Environmental Management","DOI":"10.1007/s00267-022-01604-z","ISSN":"0364-152X, 1432-1009","issue":"1","journalAbbreviation":"Environmental Management","language":"en","page":"74-86","source":"DOI.org (Crossref)","title":"Exploring farmers’ adaptation strategies to water shortage under climate change in the Tunisian semi-arid region","volume":"71","author":[{"family":"Soltani","given":"Lamia"},{"family":"Mellah","given":"Thuraya"}],"issued":{"date-parts":[["2023",1]]},"citation-key":"soltani_mellah_2023"}},{"id":3309,"uris":["http://zotero.org/users/7734624/items/TE7LJQNF"],"itemData":{"id":3309,"type":"article-journal","container-title":"Research in Globalization","DOI":"10.1016/j.resglo.2023.100138","ISSN":"2590051X","journalAbbreviation":"Research in Globalization","language":"en","page":"100138","source":"DOI.org (Crossref)","title":"Vulnerability of family farming systems to climate change: The case of the forest-savannah transition zone, Centre Region of Cameroon","title-short":"Vulnerability of family farming systems to climate change","volume":"7","author":[{"family":"Marie Chimi","given":"Pierre"},{"family":"Armand Mala","given":"William"},{"family":"Ngamsou Abdel","given":"Karimou"},{"family":"Louis Fobane","given":"Jean"},{"family":"Manga Essouma","given":"François"},{"family":"Hermann Matick","given":"John"},{"family":"Yldephonse Nyonce Pokam","given":"Eusebe"},{"family":"Tcheferi","given":"Imma"},{"family":"Martin Bell","given":"Joseph"}],"issued":{"date-parts":[["2023",12]]},"citation-key":"mariechimi_etal_2023"}},{"id":3310,"uris":["http://zotero.org/users/7734624/items/UKZILLQ9"],"itemData":{"id":3310,"type":"article-journal","container-title":"Mitigation and Adaptation Strategies for Global Change","DOI":"10.1007/s11027-023-10097-y","ISSN":"1381-2386, 1573-1596","issue":"1","journalAbbreviation":"Mitig Adapt Strateg Glob Change","language":"en","page":"7","source":"DOI.org (Crossref)","title":"Differentiated socio-ecological system approach for vulnerability and adaptation assessment in the Central Himalaya","volume":"29","author":[{"family":"Kumar","given":"Praveen"},{"family":"Fürst","given":"Christine"},{"family":"Joshi","given":"P. K."}],"issued":{"date-parts":[["2024",1]]},"citation-key":"kumar_etal_2024"}},{"id":3286,"uris":["http://zotero.org/users/7734624/items/XNDAQFCC"],"itemData":{"id":3286,"type":"article-journal","abstract":"Agriculture is vital to the Saudi Arabian economy since it provides food and other necessities to people living in rural areas, as well as those living in adjacent cities. Notwithstanding its considerable economic importance, the agricultural sector is confronted with formidable obstacles due to climate change, such as elevated temperatures, floods, extreme droughts, and decreased agricultural yields. Building a farming system capable of being climate resilient requires the comprehension of the vulnerabilities of farm households and related systems. This paper deals with the potential agricultural risks resulting from climate change in Saudi Arabia. In addition to concentrating on precipitation and temperature, the present research incorporates the three main components of the Climate Change Vulnerability Index (CCVI): sensitivity, exposure, and adaptive capability. The results of this research reveal a notable challenge that farmers in Saudi Arabia encounter, as they are very susceptible to the impacts of climate change. The Climate Change Vulnerability Index (CCVI) has a score of 0.730, signifying a substantial degree of vulnerability. The farmers in this region are very susceptible to uncertainties caused by climate change, as indicated by the significant exposure score of 0.725. This exposure comprises a wide range of concerns resulting from fluctuations in temperature, patterns of rainfall, and occurrences of severe weather, all of which have an immediate and negative effect on agriculture. Farmers in that region are more susceptible to the effects of climate change, which could jeopardize their livelihoods and agricultural operations, as shown by the susceptibility component (SVI) of 0.559. Moreover, the adaptive capacity (AVI) score of 0.567 highlights the fact that farmers have limited access to resources, skills, and experience, hindering their ability to tackle the challenges that have been caused by climate change in this region successfully. The results emphasize the immediate necessity for specific policies and assistance to enhance the resilience of agricultural communities in the area, as well as to mitigate the potential adverse effects of climate change on their livelihoods.","container-title":"Sustainability","DOI":"10.3390/su16104245","ISSN":"2071-1050","issue":"10","journalAbbreviation":"Sustainability","language":"en","license":"https://creativecommons.org/licenses/by/4.0/","page":"4245","source":"DOI.org (Crossref)","title":"Exploring Climate-Induced Agricultural Risk in Saudi Arabia: Evidence from Farming Communities of Medina Region","title-short":"Exploring Climate-Induced Agricultural Risk in Saudi Arabia","volume":"16","author":[{"family":"Alotaibi","given":"Bader Alhafi"},{"family":"Xu","given":"Weizhou"},{"family":"Shah","given":"Ashfaq Ahmad"},{"family":"Ullah","given":"Wahid"}],"issued":{"date-parts":[["2024",5,17]]},"citation-key":"alotaibi_etal_2024"}}],"schema":"https://github.com/citation-style-language/schema/raw/master/csl-citation.json"}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F14CCF" w:rsidRPr="00F14CCF">
              <w:rPr>
                <w:rFonts w:ascii="Times New Roman" w:hAnsi="Times New Roman" w:cs="Times New Roman"/>
                <w:lang w:val="fr-FR"/>
              </w:rPr>
              <w:t xml:space="preserve">(Duncan et al. 2017; Jiri et al. 2017; Amamou et al. 2018; Lopez-Ridaura et al. 2018; Descheemaeker et al. 2018; Souissi et al. 2018; Dobkowitz et al. 2020; Shrestha et al. 2020; Hossard et al. 2021; Monjardino et al. 2021; Naz and Saqib 2021; Soltani and Mellah 2023; </w:t>
            </w:r>
            <w:r w:rsidR="00F14CCF" w:rsidRPr="00F14CCF">
              <w:rPr>
                <w:rFonts w:ascii="Times New Roman" w:hAnsi="Times New Roman" w:cs="Times New Roman"/>
                <w:lang w:val="fr-FR"/>
              </w:rPr>
              <w:lastRenderedPageBreak/>
              <w:t>Marie Chimi et al. 2023; Kumar et al. 2024; Alotaibi et al. 2024)</w:t>
            </w:r>
            <w:r w:rsidRPr="00FF4B56">
              <w:rPr>
                <w:rFonts w:ascii="Times New Roman" w:eastAsia="Times New Roman" w:hAnsi="Times New Roman" w:cs="Times New Roman"/>
                <w:color w:val="000000"/>
                <w:lang w:eastAsia="en-GB"/>
              </w:rPr>
              <w:fldChar w:fldCharType="end"/>
            </w:r>
          </w:p>
        </w:tc>
      </w:tr>
      <w:tr w:rsidR="00663667" w:rsidRPr="00AF6801" w14:paraId="18AC02F8" w14:textId="77777777" w:rsidTr="00406364">
        <w:trPr>
          <w:trHeight w:val="288"/>
        </w:trPr>
        <w:tc>
          <w:tcPr>
            <w:tcW w:w="0" w:type="auto"/>
            <w:tcBorders>
              <w:top w:val="nil"/>
              <w:left w:val="nil"/>
              <w:bottom w:val="nil"/>
              <w:right w:val="nil"/>
            </w:tcBorders>
            <w:shd w:val="clear" w:color="000000" w:fill="FFFFFF"/>
          </w:tcPr>
          <w:p w14:paraId="6FC5FBD7" w14:textId="77777777" w:rsidR="00663667" w:rsidRPr="00FF4B56"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tcPr>
          <w:p w14:paraId="195B4A63" w14:textId="77777777" w:rsidR="00663667" w:rsidRPr="00FF4B56" w:rsidRDefault="00663667" w:rsidP="00663667">
            <w:pPr>
              <w:spacing w:after="0" w:line="360" w:lineRule="auto"/>
              <w:rPr>
                <w:rFonts w:ascii="Times New Roman" w:eastAsia="Times New Roman" w:hAnsi="Times New Roman" w:cs="Times New Roman"/>
                <w:color w:val="000000"/>
                <w:lang w:val="fr-FR" w:eastAsia="en-GB"/>
              </w:rPr>
            </w:pPr>
          </w:p>
        </w:tc>
        <w:tc>
          <w:tcPr>
            <w:tcW w:w="5310" w:type="dxa"/>
            <w:tcBorders>
              <w:top w:val="nil"/>
              <w:left w:val="nil"/>
              <w:bottom w:val="nil"/>
              <w:right w:val="nil"/>
            </w:tcBorders>
            <w:shd w:val="clear" w:color="000000" w:fill="FFFFFF"/>
            <w:noWrap/>
          </w:tcPr>
          <w:p w14:paraId="5E41855D" w14:textId="34E0555F" w:rsidR="00663667" w:rsidRPr="00FF4B56" w:rsidRDefault="00663667" w:rsidP="00663667">
            <w:pPr>
              <w:spacing w:after="0" w:line="360" w:lineRule="auto"/>
              <w:rPr>
                <w:rFonts w:ascii="Times New Roman" w:eastAsia="Times New Roman" w:hAnsi="Times New Roman" w:cs="Times New Roman"/>
                <w:color w:val="000000"/>
                <w:lang w:val="fr-FR" w:eastAsia="en-GB"/>
              </w:rPr>
            </w:pPr>
            <w:proofErr w:type="spellStart"/>
            <w:r w:rsidRPr="00807AB0">
              <w:rPr>
                <w:rFonts w:ascii="Times New Roman" w:eastAsia="Times New Roman" w:hAnsi="Times New Roman" w:cs="Times New Roman"/>
                <w:color w:val="000000"/>
                <w:lang w:val="fr-FR" w:eastAsia="en-GB"/>
              </w:rPr>
              <w:t>Amount</w:t>
            </w:r>
            <w:proofErr w:type="spellEnd"/>
            <w:r w:rsidRPr="00807AB0">
              <w:rPr>
                <w:rFonts w:ascii="Times New Roman" w:eastAsia="Times New Roman" w:hAnsi="Times New Roman" w:cs="Times New Roman"/>
                <w:color w:val="000000"/>
                <w:lang w:val="fr-FR" w:eastAsia="en-GB"/>
              </w:rPr>
              <w:t xml:space="preserve"> of </w:t>
            </w:r>
            <w:proofErr w:type="spellStart"/>
            <w:r w:rsidRPr="00807AB0">
              <w:rPr>
                <w:rFonts w:ascii="Times New Roman" w:eastAsia="Times New Roman" w:hAnsi="Times New Roman" w:cs="Times New Roman"/>
                <w:color w:val="000000"/>
                <w:lang w:val="fr-FR" w:eastAsia="en-GB"/>
              </w:rPr>
              <w:t>liquidity</w:t>
            </w:r>
            <w:proofErr w:type="spellEnd"/>
            <w:r w:rsidRPr="00807AB0">
              <w:rPr>
                <w:rFonts w:ascii="Times New Roman" w:eastAsia="Times New Roman" w:hAnsi="Times New Roman" w:cs="Times New Roman"/>
                <w:color w:val="000000"/>
                <w:lang w:val="fr-FR" w:eastAsia="en-GB"/>
              </w:rPr>
              <w:t xml:space="preserve"> </w:t>
            </w:r>
            <w:proofErr w:type="spellStart"/>
            <w:r w:rsidRPr="00807AB0">
              <w:rPr>
                <w:rFonts w:ascii="Times New Roman" w:eastAsia="Times New Roman" w:hAnsi="Times New Roman" w:cs="Times New Roman"/>
                <w:color w:val="000000"/>
                <w:lang w:val="fr-FR" w:eastAsia="en-GB"/>
              </w:rPr>
              <w:t>reserves</w:t>
            </w:r>
            <w:proofErr w:type="spellEnd"/>
          </w:p>
        </w:tc>
        <w:tc>
          <w:tcPr>
            <w:tcW w:w="1350" w:type="dxa"/>
            <w:tcBorders>
              <w:top w:val="nil"/>
              <w:left w:val="nil"/>
              <w:bottom w:val="nil"/>
              <w:right w:val="nil"/>
            </w:tcBorders>
            <w:shd w:val="clear" w:color="000000" w:fill="FFFFFF"/>
            <w:noWrap/>
          </w:tcPr>
          <w:p w14:paraId="12A632FB" w14:textId="74ACB9ED" w:rsidR="00663667" w:rsidRPr="00FF4B56" w:rsidRDefault="00663667" w:rsidP="00663667">
            <w:pPr>
              <w:spacing w:after="0" w:line="360" w:lineRule="auto"/>
              <w:rPr>
                <w:rFonts w:ascii="Times New Roman" w:eastAsia="Times New Roman" w:hAnsi="Times New Roman" w:cs="Times New Roman"/>
                <w:color w:val="000000"/>
                <w:lang w:val="fr-FR" w:eastAsia="en-GB"/>
              </w:rPr>
            </w:pPr>
            <w:r>
              <w:rPr>
                <w:rFonts w:ascii="Times New Roman" w:eastAsia="Times New Roman" w:hAnsi="Times New Roman" w:cs="Times New Roman"/>
                <w:color w:val="000000"/>
                <w:lang w:val="fr-FR" w:eastAsia="en-GB"/>
              </w:rPr>
              <w:t>10</w:t>
            </w:r>
          </w:p>
        </w:tc>
        <w:tc>
          <w:tcPr>
            <w:tcW w:w="5274" w:type="dxa"/>
            <w:tcBorders>
              <w:left w:val="nil"/>
              <w:right w:val="nil"/>
            </w:tcBorders>
            <w:shd w:val="clear" w:color="000000" w:fill="FFFFFF"/>
          </w:tcPr>
          <w:p w14:paraId="0CFE73C5" w14:textId="2B92424B" w:rsidR="00663667" w:rsidRPr="00807AB0"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F14CCF">
              <w:rPr>
                <w:rFonts w:ascii="Times New Roman" w:eastAsia="Times New Roman" w:hAnsi="Times New Roman" w:cs="Times New Roman"/>
                <w:color w:val="000000"/>
                <w:lang w:val="fr-FR" w:eastAsia="en-GB"/>
              </w:rPr>
              <w:instrText xml:space="preserve"> ADDIN ZOTERO_ITEM CSL_CITATION {"citationID":"P0NBF5Zd","properties":{"formattedCitation":"(Phelan et al. 2015; Jiri et al. 2017; Dobkowitz et al. 2020; Hossard et al. 2021; Naz and Saqib 2021; Asrari et al. 2022; Abdollahzadeh et al. 2023; Marie Chimi et al. 2023; Kumar et al. 2024; Postigo et al. 2024)","plainCitation":"(Phelan et al. 2015; Jiri et al. 2017; Dobkowitz et al. 2020; Hossard et al. 2021; Naz and Saqib 2021; Asrari et al. 2022; Abdollahzadeh et al. 2023; Marie Chimi et al. 2023; Kumar et al. 2024; Postigo et al. 2024)","noteIndex":0},"citationItems":[{"id":934,"uris":["http://zotero.org/users/7734624/items/9IKMB9G3"],"itemData":{"id":934,"type":"article-journal","abstract":"Improved knowledge of the effects of climate change on farming systems can help increase long-term production, economic performance, and mitigate risk. Here we assessed the effects of stocking rate and seasonal calving times on pasture and milk production under short and long term climate changes on dairy farms in Tasmania, Australia. Annual and monthly perennial ryegrass pasture production was simulated from 1971 to 2065 to examine trends in pasture productivity, forage requirements, and impacts on milk production in 2015 and 2050. The projected future climate for the study region indicates a mean warming of up to 1.4°C, with moderate declines in rainfall of up to 5%. Despite lower rainfall, climate change will likely have a positive impact on pasture yields, with annual production increasing by 13–16%, even though summer growth is reduced and inter-annual variability is increased. We found that greater pasture production is conducive to greater forage conservation, and together these factors allow intensification of stocking rates. These effects increase milk yields by 3–16% per annum and reduce reliance on purchased feeds, which together implies greater profitability of cool-temperate Australian dairy systems under future climates. We also found that total milk production in a spring calving system allows greater stocking rates and pasture utilisation compared with an autumn calving system, and whilst milk produced per animal declines under higher stocking rates, milk yield per hectare increases. Overall, our results suggest that global warming and climate change will positively affect pasture growth rates in Tasmania, and that greater production and conservation of home-grown feeds will be conducive to increased farm milk yields, provided that stocking rates are intensified sustainably.","container-title":"Agricultural Systems","DOI":"10.1016/j.agsy.2015.05.005","ISSN":"0308-521X","journalAbbreviation":"Agricultural Systems","language":"en","page":"46-54","source":"ScienceDirect","title":"Management opportunities for boosting productivity of cool-temperate dairy farms under climate change","volume":"138","author":[{"family":"Phelan","given":"David C."},{"family":"Harrison","given":"Matthew T."},{"family":"Kemmerer","given":"Ernst P."},{"family":"Parsons","given":"David"}],"issued":{"date-parts":[["2015",9,1]]},"citation-key":"phelan_etal_2015"}},{"id":1132,"uris":["http://zotero.org/users/7734624/items/ACR7434B"],"itemData":{"id":1132,"type":"article-journal","abstract":"Purpose: This study aimed to determine factors that increase resilience and cause smallholder farmers to adapt better to climate change and vulnerability. Design/methodology/approach: In this study, the authors used the vulnerability to resilience model and binary logit model to analyse the factors influencing household decisions to adapt. Findings: Households with increased access to climate information through extension services were likely to have better adaptation abilities. It was also shown that younger farmers were likely to adapt to climate change given their flexibility to adopt new techniques and their access and use of modern information and technology. Larger households were found to have higher probability of adapting as most adaptation strategies are labour intensive. Household’s possession of livestock and access to credit significantly enhanced adaptation. However, households with higher farm income have lesser incentives to adapt to because their current farming practices might already be optimum. Research limitations/implications: Given that most of the smallholder farmers are vulnerable, such as women-headed households and the elderly, who are labour constrained, there is need for research and development of labour saving technologies to increase resilience to climate change and vulnerability. Originality/value: These findings underscore the importance of enabling farmer access to information and better technologies which enable them to increase adaptive capacity and resilience. © 2017, © Emerald Publishing Limited.","container-title":"International Journal of Climate Change Strategies and Management","DOI":"10.1108/IJCCSM-07-2016-0092","ISSN":"17568692","issue":"2","language":"English","note":"publisher: Emerald Group Publishing Ltd.","page":"151-165","title":"Building climate change resilience through adaptation in smallholder farming systems in semi-arid Zimbabwe","volume":"9","author":[{"family":"Jiri","given":"O."},{"family":"Mafongoya","given":"P.L."},{"family":"Chivenge","given":"P."}],"issued":{"date-parts":[["2017"]]},"citation-key":"jiri_etal_2017"}},{"id":700,"uris":["http://zotero.org/users/7734624/items/PY55PIZ2"],"itemData":{"id":700,"type":"article-journal","abstract":"Climate change heavily impacts smallholder farming worldwide. Cross-scale vulnerability assessment has a high potential to identify nested measures for reducing vulnerability of smallholder farmers. Despite their high practical value, there are currently only limited examples of cross-scale assessments. The presented study aims at assessing the vulnerability of smallholder farmers in the Northeast of Brazil across three scales: regional, farm and field scale. In doing so, it builds on existing vulnerability indices and compares results between indices at the same scale and across scales. In total, six independent indices are tested, two at each scale. The calculated indices include social, economic and ecological indicators, based on municipal statistics, meteorological data, farm interviews and soil analyses. Subsequently, indices and overlapping indicators are normalized for intra-and cross-scale comparison. The results show considerable differences between indices across and within scales. They indicate different activities to reduce vulnerability of smallholder farmers. Major shortcomings arise from the conceptual differences between the indices. We therefore recommend the development of hierarchical indices, which are adapted to local conditions and contain more overlapping indicators for a better understanding of the nested vulnerabilities of smallholder farmers. © 2020 by the authors.","container-title":"Sustainability (Switzerland)","DOI":"10.3390/su12093787","ISSN":"20711050","issue":"9","language":"English","note":"publisher: MDPI","title":"Cross-scale vulnerability assessment for smallholder farming: A case study from the northeast of Brazil","URL":"https://www.scopus.com/inward/record.uri?eid=2-s2.0-85085964908&amp;doi=10.3390%2fsu12093787&amp;partnerID=40&amp;md5=1b75293eec4b8771c893cebceaa1b88e","volume":"12","author":[{"family":"Dobkowitz","given":"S."},{"family":"Walz","given":"A."},{"family":"Baroni","given":"G."},{"family":"Pérez-Marin","given":"A.M."}],"issued":{"date-parts":[["2020"]]},"citation-key":"dobkowitz_etal_2020"}},{"id":900,"uris":["http://zotero.org/users/7734624/items/ESZ3PZ8X"],"itemData":{"id":900,"type":"article-journal","abstract":"The Mediterranean region is expected to be a hotspot for climate change, making the resilience of farming systems a major challenge. Some studies have used quantitative models at the farm scale to analyze the resilience of farming systems but with little involvement of stakeholders. We used a participatory approach with local actors on the Saïs plain of Morocco to design possible future states and qualitatively assess the resilience of typical farm types (FTs) experiencing major change. Our approach combined individual interviews of farmers and local actors, mainly public, with participatory collective meetings to identify representative FTs and their performance, project their evolutions and future performance in the face of change, and evaluate their resilience. Performance, defined according to literature, interviews and meetings, included different types of capital, income, yields, markets, support of public policies, and water access. Four FTs were considered: highly irrigated horticulture (FT1), rainfed cereals (FT2), partly irrigated cereal-legumes (FT3), and mostly irrigated fruit-tree/horticulture (FT4). The primary driver for FT2 and FT3 was climate change; for FT1 and FT4, it was limiting access to water resources. Participants designed more diversified systems for all FTs in relation to those changes. Rankings of FT performance did not change between current and future states. Performance did not evolve significantly, but FT4 was seen as the most resilient and FT2 the least. These qualitative results differ somewhat from other studies mobilizing quantitative approaches, but they highlight the potential of local adaptation to limit the impacts of global change on vulnerable agriculture. © 2021, The Author(s), under exclusive licence to Springer-Verlag GmbH Germany, part of Springer Nature.","container-title":"Regional Environmental Change","DOI":"10.1007/s10113-021-01764-4","ISSN":"14363798","issue":"2","language":"English","note":"publisher: Springer Science and Business Media Deutschland GmbH","title":"Assessing the resilience of farming systems on the Saïs plain, Morocco","URL":"https://www.scopus.com/inward/record.uri?eid=2-s2.0-85103359646&amp;doi=10.1007%2fs10113-021-01764-4&amp;partnerID=40&amp;md5=924a3e87533f83436132d881f83b85fc","volume":"21","author":[{"family":"Hossard","given":"L."},{"family":"Fadlaoui","given":"A."},{"family":"Ricote","given":"E."},{"family":"Belhouchette","given":"H."}],"issued":{"date-parts":[["2021"]]},"citation-key":"hossard_etal_2021"}},{"id":899,"uris":["http://zotero.org/users/7734624/items/YI6CCDC8"],"itemData":{"id":899,"type":"article-journal","abstract":"Gender and vulnerability are important issues to examine in the context of flooding caused by climate change. Men and women around the world adapt differently to climate change effects and natural disasters. Therefore, this study examines men and women’s level of vulnerabilities and their choices of livelihood practices in char farming households in Zanjira, Bangladesh. The study used primary and secondary data. Both qualitative and quantitative were collected. Quantitative data were collected from a household survey of 115 men and 114 women using a questionnaire. Qualitative data were collected through 15 key informant interviews, 30 focus group discussions, and 18 in-depth interviews. Quantitative and qualitative methods were used to assess men and women’s vulnerabilities, including three indices of vulnerability measuring access to livelihood assets were used. A hierarchical regression model was used to perform a gender-based analysis. The percentile score for men was 0.430 units higher than for women, revealing that male respondents were less vulnerable than female respondents in the study area. The results of the regression model showed that the use of gender as an explanatory variable increased the explanatory power of the model and was highly significant. The overall findings of quantitative and qualitative data analysis revealed that floods’ impacts were different for men and women and that women were more vulnerable overall, in part because of gender-related sociocultural norms. These differentials in vulnerabilities affected men and women’s ability to respond and recover from floods and adapt to new opportunities when disaster strikes. © 2021, The Author(s), under exclusive licence to Springer Nature B.V. part of Springer Nature.","container-title":"Natural Hazards","DOI":"10.1007/s11069-020-04482-y","ISSN":"0921030X","issue":"1","language":"English","note":"publisher: Springer Science and Business Media B.V.","page":"655-677","title":"Gender-based differences in flood vulnerability among men and women in the char farming households of Bangladesh","volume":"106","author":[{"family":"Naz","given":"F."},{"family":"Saqib","given":"S.E."}],"issued":{"date-parts":[["2021"]]},"citation-key":"naz_saqib_2021"}},{"id":3385,"uris":["http://zotero.org/users/7734624/items/DD4RVZRY"],"itemData":{"id":3385,"type":"article-journal","container-title":"Journal of Environmental Studies and Sciences","DOI":"10.1007/s13412-022-00763-z","ISSN":"2190-6483, 2190-6491","issue":"3","journalAbbreviation":"J Environ Stud Sci","language":"en","page":"547-565","source":"DOI.org (Crossref)","title":"Modeling resilience behavior against climate change with food security approach","volume":"12","author":[{"family":"Asrari","given":"Amirreza"},{"family":"Omidi Najafabadi","given":"Maryam"},{"family":"Farajollah Hosseini","given":"Jamal"}],"issued":{"date-parts":[["2022",9]]},"citation-key":"asrari_etal_2022"}},{"id":3346,"uris":["http://zotero.org/users/7734624/items/89PSQCE6"],"itemData":{"id":3346,"type":"article-journal","container-title":"Agricultural Systems","DOI":"10.1016/j.agsy.2022.103537","ISSN":"0308521X","journalAbbreviation":"Agricultural Systems","language":"en","page":"103537","source":"DOI.org (Crossref)","title":"Adaptive capacity of farming systems to climate change in Iran: Application of composite index approach","title-short":"Adaptive capacity of farming systems to climate change in Iran","volume":"204","author":[{"family":"Abdollahzadeh","given":"Gholamhossein"},{"family":"Sharifzadeh","given":"Mohammad Sharif"},{"family":"Sklenička","given":"Petr"},{"family":"Azadi","given":"Hossein"}],"issued":{"date-parts":[["2023",1]]},"citation-key":"abdollahzadeh_etal_2023"}},{"id":3309,"uris":["http://zotero.org/users/7734624/items/TE7LJQNF"],"itemData":{"id":3309,"type":"article-journal","container-title":"Research in Globalization","DOI":"10.1016/j.resglo.2023.100138","ISSN":"2590051X","journalAbbreviation":"Research in Globalization","language":"en","page":"100138","source":"DOI.org (Crossref)","title":"Vulnerability of family farming systems to climate change: The case of the forest-savannah transition zone, Centre Region of Cameroon","title-short":"Vulnerability of family farming systems to climate change","volume":"7","author":[{"family":"Marie Chimi","given":"Pierre"},{"family":"Armand Mala","given":"William"},{"family":"Ngamsou Abdel","given":"Karimou"},{"family":"Louis Fobane","given":"Jean"},{"family":"Manga Essouma","given":"François"},{"family":"Hermann Matick","given":"John"},{"family":"Yldephonse Nyonce Pokam","given":"Eusebe"},{"family":"Tcheferi","given":"Imma"},{"family":"Martin Bell","given":"Joseph"}],"issued":{"date-parts":[["2023",12]]},"citation-key":"mariechimi_etal_2023"}},{"id":3310,"uris":["http://zotero.org/users/7734624/items/UKZILLQ9"],"itemData":{"id":3310,"type":"article-journal","container-title":"Mitigation and Adaptation Strategies for Global Change","DOI":"10.1007/s11027-023-10097-y","ISSN":"1381-2386, 1573-1596","issue":"1","journalAbbreviation":"Mitig Adapt Strateg Glob Change","language":"en","page":"7","source":"DOI.org (Crossref)","title":"Differentiated socio-ecological system approach for vulnerability and adaptation assessment in the Central Himalaya","volume":"29","author":[{"family":"Kumar","given":"Praveen"},{"family":"Fürst","given":"Christine"},{"family":"Joshi","given":"P. K."}],"issued":{"date-parts":[["2024",1]]},"citation-key":"kumar_etal_2024"}},{"id":3277,"uris":["http://zotero.org/users/7734624/items/H7L2VTQR"],"itemData":{"id":3277,"type":"article-journal","abstract":"Enhanced anthropogenic climatic variability challenges small farmers. In the Sumapaz páramo (Colombia), higher irregularity in precipitation and temperature reduces the quality of pasture and cattle health. Data from surveys, semi-structured interviews, and focus groups were analyzed to understand livestock farmers’ responses to the impacts of climatic variability. To estimate the communities’ resilience in the páramo, we used the capitals framework, the Baseline Resilience Indicator for Communities (BRIC), and cluster analysis. The responses of most households aim to reduce the impacts of climatic variability on the production system, chiefly intensifying practices such as the rotation of paddocks, livelihood diversification, purchase of grass, and buying and selling livestock. Interestingly, farmers did not recognize the value of the types of capital for responding to climatic variability. Results showed that the use of available physical, social, and economic capitals render the farming system resilient. Our probit model estimated that economic and human capitals are the largest and most significant contributors to communities’ capacity to respond to climatic variability. However, pre-existing non-climatic vulnerabilities are also important. For example, poverty hinders farmers from using their income in response to climatic variability. The place-based measurements used in this research are easily understood and applicable by local policy makers to address increasing climate variability.","container-title":"Land","DOI":"10.3390/land13040499","ISSN":"2073-445X","issue":"4","journalAbbreviation":"Land","language":"en","license":"https://creativecommons.org/licenses/by/4.0/","page":"499","source":"DOI.org (Crossref)","title":"Adaptive Responses and Resilience of Small Livestock Producers to Climate Variability in the Cruz Verde-Sumapaz Páramo, Colombia","volume":"13","author":[{"family":"Postigo","given":"Julio C."},{"family":"Guáqueta-Solórzano","given":"Victoria-Eugenia"},{"family":"Castañeda","given":"Edna"},{"family":"Ortiz-Guerrero","given":"Cesar Enrique"}],"issued":{"date-parts":[["2024",4,11]]},"citation-key":"postigo_etal_2024"}}],"schema":"https://github.com/citation-style-language/schema/raw/master/csl-citation.json"}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F14CCF" w:rsidRPr="00F14CCF">
              <w:rPr>
                <w:rFonts w:ascii="Times New Roman" w:hAnsi="Times New Roman" w:cs="Times New Roman"/>
                <w:lang w:val="fr-FR"/>
              </w:rPr>
              <w:t>(Phelan et al. 2015; Jiri et al. 2017; Dobkowitz et al. 2020; Hossard et al. 2021; Naz and Saqib 2021; Asrari et al. 2022; Abdollahzadeh et al. 2023; Marie Chimi et al. 2023; Kumar et al. 2024; Postigo et al. 2024)</w:t>
            </w:r>
            <w:r w:rsidRPr="00FF4B56">
              <w:rPr>
                <w:rFonts w:ascii="Times New Roman" w:eastAsia="Times New Roman" w:hAnsi="Times New Roman" w:cs="Times New Roman"/>
                <w:color w:val="000000"/>
                <w:lang w:eastAsia="en-GB"/>
              </w:rPr>
              <w:fldChar w:fldCharType="end"/>
            </w:r>
          </w:p>
        </w:tc>
      </w:tr>
      <w:tr w:rsidR="00663667" w:rsidRPr="00AF6801" w14:paraId="1FF13734" w14:textId="1EB94A3F" w:rsidTr="00406364">
        <w:trPr>
          <w:trHeight w:val="288"/>
        </w:trPr>
        <w:tc>
          <w:tcPr>
            <w:tcW w:w="0" w:type="auto"/>
            <w:tcBorders>
              <w:top w:val="nil"/>
              <w:left w:val="nil"/>
              <w:bottom w:val="nil"/>
              <w:right w:val="nil"/>
            </w:tcBorders>
            <w:shd w:val="clear" w:color="000000" w:fill="FFFFFF"/>
          </w:tcPr>
          <w:p w14:paraId="204A2B63" w14:textId="77777777" w:rsidR="00663667" w:rsidRPr="00FF4B56"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hideMark/>
          </w:tcPr>
          <w:p w14:paraId="3FBC44D4" w14:textId="4F26D870" w:rsidR="00663667" w:rsidRPr="00FF4B56"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val="fr-FR" w:eastAsia="en-GB"/>
              </w:rPr>
              <w:t> </w:t>
            </w:r>
          </w:p>
        </w:tc>
        <w:tc>
          <w:tcPr>
            <w:tcW w:w="5310" w:type="dxa"/>
            <w:tcBorders>
              <w:top w:val="nil"/>
              <w:left w:val="nil"/>
              <w:bottom w:val="nil"/>
              <w:right w:val="nil"/>
            </w:tcBorders>
            <w:shd w:val="clear" w:color="000000" w:fill="FFFFFF"/>
            <w:noWrap/>
            <w:hideMark/>
          </w:tcPr>
          <w:p w14:paraId="34A954A7" w14:textId="7BE89553" w:rsidR="00663667" w:rsidRPr="00FF4B56" w:rsidRDefault="00663667" w:rsidP="00663667">
            <w:pPr>
              <w:spacing w:after="0" w:line="360" w:lineRule="auto"/>
              <w:rPr>
                <w:rFonts w:ascii="Times New Roman" w:eastAsia="Times New Roman" w:hAnsi="Times New Roman" w:cs="Times New Roman"/>
                <w:color w:val="000000"/>
                <w:lang w:val="fr-FR" w:eastAsia="en-GB"/>
              </w:rPr>
            </w:pPr>
            <w:proofErr w:type="spellStart"/>
            <w:r w:rsidRPr="00FF4B56">
              <w:rPr>
                <w:rFonts w:ascii="Times New Roman" w:eastAsia="Times New Roman" w:hAnsi="Times New Roman" w:cs="Times New Roman"/>
                <w:color w:val="000000"/>
                <w:lang w:val="fr-FR" w:eastAsia="en-GB"/>
              </w:rPr>
              <w:t>Degree</w:t>
            </w:r>
            <w:proofErr w:type="spellEnd"/>
            <w:r w:rsidRPr="00FF4B56">
              <w:rPr>
                <w:rFonts w:ascii="Times New Roman" w:eastAsia="Times New Roman" w:hAnsi="Times New Roman" w:cs="Times New Roman"/>
                <w:color w:val="000000"/>
                <w:lang w:val="fr-FR" w:eastAsia="en-GB"/>
              </w:rPr>
              <w:t xml:space="preserve"> of </w:t>
            </w:r>
            <w:proofErr w:type="spellStart"/>
            <w:r w:rsidRPr="00FF4B56">
              <w:rPr>
                <w:rFonts w:ascii="Times New Roman" w:eastAsia="Times New Roman" w:hAnsi="Times New Roman" w:cs="Times New Roman"/>
                <w:color w:val="000000"/>
                <w:lang w:val="fr-FR" w:eastAsia="en-GB"/>
              </w:rPr>
              <w:t>resources</w:t>
            </w:r>
            <w:proofErr w:type="spellEnd"/>
            <w:r w:rsidRPr="00FF4B56">
              <w:rPr>
                <w:rFonts w:ascii="Times New Roman" w:eastAsia="Times New Roman" w:hAnsi="Times New Roman" w:cs="Times New Roman"/>
                <w:color w:val="000000"/>
                <w:lang w:val="fr-FR" w:eastAsia="en-GB"/>
              </w:rPr>
              <w:t xml:space="preserve"> </w:t>
            </w:r>
            <w:proofErr w:type="spellStart"/>
            <w:r w:rsidRPr="00FF4B56">
              <w:rPr>
                <w:rFonts w:ascii="Times New Roman" w:eastAsia="Times New Roman" w:hAnsi="Times New Roman" w:cs="Times New Roman"/>
                <w:color w:val="000000"/>
                <w:lang w:val="fr-FR" w:eastAsia="en-GB"/>
              </w:rPr>
              <w:t>endowment</w:t>
            </w:r>
            <w:proofErr w:type="spellEnd"/>
          </w:p>
        </w:tc>
        <w:tc>
          <w:tcPr>
            <w:tcW w:w="1350" w:type="dxa"/>
            <w:tcBorders>
              <w:top w:val="nil"/>
              <w:left w:val="nil"/>
              <w:bottom w:val="nil"/>
              <w:right w:val="nil"/>
            </w:tcBorders>
            <w:shd w:val="clear" w:color="000000" w:fill="FFFFFF"/>
            <w:noWrap/>
            <w:hideMark/>
          </w:tcPr>
          <w:p w14:paraId="5F216A20" w14:textId="539A1224" w:rsidR="00663667" w:rsidRPr="00FF4B56" w:rsidRDefault="00663667" w:rsidP="00663667">
            <w:pPr>
              <w:spacing w:after="0" w:line="360" w:lineRule="auto"/>
              <w:rPr>
                <w:rFonts w:ascii="Times New Roman" w:eastAsia="Times New Roman" w:hAnsi="Times New Roman" w:cs="Times New Roman"/>
                <w:color w:val="000000"/>
                <w:lang w:val="fr-FR" w:eastAsia="en-GB"/>
              </w:rPr>
            </w:pPr>
            <w:r>
              <w:rPr>
                <w:rFonts w:ascii="Times New Roman" w:eastAsia="Times New Roman" w:hAnsi="Times New Roman" w:cs="Times New Roman"/>
                <w:color w:val="000000"/>
                <w:lang w:val="fr-FR" w:eastAsia="en-GB"/>
              </w:rPr>
              <w:t>9</w:t>
            </w:r>
          </w:p>
        </w:tc>
        <w:tc>
          <w:tcPr>
            <w:tcW w:w="5274" w:type="dxa"/>
            <w:tcBorders>
              <w:left w:val="nil"/>
              <w:right w:val="nil"/>
            </w:tcBorders>
            <w:shd w:val="clear" w:color="000000" w:fill="FFFFFF"/>
          </w:tcPr>
          <w:p w14:paraId="45620816" w14:textId="45CC43E7" w:rsidR="00663667" w:rsidRPr="00CB5208"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CB5208">
              <w:rPr>
                <w:rFonts w:ascii="Times New Roman" w:eastAsia="Times New Roman" w:hAnsi="Times New Roman" w:cs="Times New Roman"/>
                <w:color w:val="000000"/>
                <w:lang w:val="fr-FR" w:eastAsia="en-GB"/>
              </w:rPr>
              <w:instrText xml:space="preserve"> ADDIN ZOTERO_ITEM CSL_CITATION {"citationID":"tEPwdpoU","properties":{"formattedCitation":"(Keil et al. 2009; Rigolot et al. 2017; Descheemaeker et al. 2018; Kabir et al. 2020; Homann-Kee Tui et al. 2021; Maggio et al. 2022; Koch et al. 2022; Bhowmik et al. 2023; Kumar et al. 2024)","plainCitation":"(Keil et al. 2009; Rigolot et al. 2017; Descheemaeker et al. 2018; Kabir et al. 2020; Homann-Kee Tui et al. 2021; Maggio et al. 2022; Koch et al. 2022; Bhowmik et al. 2023; Kumar et al. 2024)","noteIndex":0},"citationItems":[{"id":930,"uris":["http://zotero.org/users/7734624/items/KBCYEHLF"],"itemData":{"id":930,"type":"article-journal","abstract":"Crop production in Southeast Asia is subject to considerable climate variability caused by the El Nino-Southern Oscillation phenomenon. El Nino causes comparatively dry conditions leading to substantial declines in crop yields, with severe consequences for the welfare of local farm households. Using an interdisciplinary modelling approach that combines regression analysis with linear programming (LP) and stochastic simulation, and integrates climatic and hydrologic modelling results, the objective of the present study is to assess the impact of El Nino on agricultural incomes of smallholder farmers in Central Sulawesi, Indonesia, and to derive suitable crop management strategies to mitigate income reductions. We identify 5 farm classes by cluster analysis. Our LP model maximises their cash balance at the end of the time period most severely affected by El Nino. Main activities are the cultivation of rice, maize and cocoa. Accounting for water supply, external Cobb-Douglas production functions generate output according to level of production intensity and predicted weather patterns. Stochastic Simulation accounts for variations in crop yields due to factors not captured by the production functions. Iterative model runs produce probability distributions of the model outcomes for each household class, whereby the downside risk of failing to achieve a specified minimum level of income is particularly policy relevant. The results illustrate that drought-related crop management recommendations must be tailored to farm households according to their location, farming system and resource endowment. Furthermore, Our findings demonstrate the importance of policy measures aimed at an ex post alleviation of drought impacts.","container-title":"Climate Research","DOI":"10.3354/cr00778","ISSN":"0936-577X","issue":"2","page":"155–169","title":"Vulnerability of smallholder farmers to ENSO-related drought in Indonesia UR -://WOS:000270149600006","title-short":"Vulnerability of smallholder farmers to ENSO-related drought in Indonesia","volume":"38","author":[{"family":"Keil","given":"A."},{"family":"Teufel","given":"N."},{"family":"Gunawan","given":"D."},{"family":"Leemhuis","given":"C."}],"issued":{"date-parts":[["2009",2]]},"citation-key":"keil_etal_2009"}},{"id":938,"uris":["http://zotero.org/users/7734624/items/6NDCKPE2"],"itemData":{"id":938,"type":"article-journal","abstract":"Smallholder crop–livestock farming systems have an important role to play for food security in Sub-Saharan Africa, but they have to cope with the effects of climate variability and change. In this study, we test the impacts of different interventions in two contrasting mixed farms in Northern Burkina Faso against the background of plausible current and future climate scenarios. For this purpose, we developed a dynamic farm-household modeling framework around existing tools: crop and animal production models APSIM and LivSim, the household model IAT and the climate generator Marksim. The two farms (a small and a larger) were selected and parameterized based on information collected in a household survey. Tested interventions included different crop fertilization and animal supplementation levels, mulching with crop residues and an alternative livestock feeding strategy. Baseline (2013) and a 2050 projection based on IPCC RCP 8.5 describe two climate scenarios (90years) for comparison. The maximum level of inputs increases farm energy production by +90% and +76% compared to the baseline for the small and the larger farm, respectively. Input levels maximizing net incomes are moderate, though higher than those currently used in both farms. The inter-annual distributions of net income show that the use of external inputs increases both upside and downside risks, i.e. the probability of getting both very high and very low results. This is because the interventions are more effective at increasing the highest yields in good years than at preventing the low production levels of some years. The 2050 climate scenario has a negative impact on energy production and potential income, especially for the scenarios with high input levels. Downside risks could partly explain why farmers do not currently use optimal input levels, and the results suggest that these constraints could intensify with climate change.","container-title":"Agricultural Systems","DOI":"10.1016/j.agsy.2015.12.017","ISSN":"0308-521X","journalAbbreviation":"Agricultural Systems","language":"en","page":"217-224","source":"ScienceDirect","title":"Interactions between intervention packages, climatic risk, climate change and food security in mixed crop–livestock systems in Burkina Faso","volume":"151","author":[{"family":"Rigolot","given":"C."},{"family":"Voil","given":"P.","non-dropping-particle":"de"},{"family":"Douxchamps","given":"S."},{"family":"Prestwidge","given":"D."},{"family":"Van Wijk","given":"M."},{"family":"Thornton","given":"P. K."},{"family":"Rodriguez","given":"D."},{"family":"Henderson","given":"B."},{"family":"Medina","given":"D."},{"family":"Herrero","given":"M."}],"issued":{"date-parts":[["2017",2,1]]},"citation-key":"rigolot_etal_2017"}},{"id":1058,"uris":["http://zotero.org/users/7734624/items/6SWCRLFE"],"itemData":{"id":1058,"type":"article-journal","abstract":"Large uncertainties about the impacts of climate change and adaptation options on the livestock component of heterogeneous African farming systems hamper tailored decision making towards climate-smart agriculture. This study addressed this knowledge gap through the development and use of a dynamic modelling framework integrating climate, crop, pasture and livestock models. The framework was applied to a population of 91 farms located in semi-arid Zimbabwe to assess effects on livestock production resulting from climate change and management interventions. Climate scenarios representing relative “cool-wet”, “hot-dry” and “middle” conditions by mid-century (2040–2070) for two representative concentration pathways were compared with the baseline climate. On-farm fodder resources and rangeland grass production were simulated with the crop model APSIM and the pasture model GRASP respectively. The simulated fodder availability was used in the livestock model LIVSIM to generate various production indicators including milk, offtake, mortality, manure, and net revenue. We investigated the effects of two adaptation packages targeting soil fertility management and crop diversification and quantified the sensitivity to climate change of both current and improved systems. Livestock productivity was constrained by dry-season feed gaps, which were particularly severe for crude protein and caused by the reliance on rangeland grazing and crop residues, both of low quality in the dry season. Effects on grass and stover production depended on the climate scenario and the crop, but year-to-year variation generally increased. Relative changes in livestock net revenue compared to the baseline climate varied from a 6% increase to a 43% decrease, and the proportion of farmers negatively affected varied from 20% to 100%, depending on the climate scenario. Adverse effects of climate change on average livestock production usually coincided with increased year-to-year variability and risk. Farms with larger stocking density faced more severe feed gaps and were more sensitive to climate change than less densely stocked farms. The first adaptation package resulted in increased stover production and a small increase in livestock productivity. The inclusion of grain and forage legumes with the second package increased milk productivity and net revenues more profoundly by 30%. This was attributed to the alleviation of dry-season feed gaps, which also reduced the sensitivity to climate change compared to the current system. Clearly, individual farms were affected differently by climate change and by improved farm management, illustrating that disaggregated impact assessments are needed to effectively inform decision making towards climate change adaptation.","container-title":"Agricultural Systems","DOI":"10.1016/j.agsy.2017.05.004","ISSN":"0308-521X","journalAbbreviation":"Agricultural Systems","language":"en","page":"282-295","source":"ScienceDirect","title":"Effects of climate change and adaptation on the livestock component of mixed farming systems: A modelling study from semi-arid Zimbabwe","title-short":"Effects of climate change and adaptation on the livestock component of mixed farming systems","volume":"159","author":[{"family":"Descheemaeker","given":"Katrien"},{"family":"Zijlstra","given":"Mink"},{"family":"Masikati","given":"Patricia"},{"family":"Crespo","given":"Olivier"},{"family":"Homann-Kee Tui","given":"Sabine"}],"issued":{"date-parts":[["2018",1,1]]},"citation-key":"descheemaeker_etal_2018"}},{"id":924,"uris":["http://zotero.org/users/7734624/items/R87X4LJU"],"itemData":{"id":924,"type":"article-journal","abstract":"Farmers in Bangladesh face considerable risk due to fluctuations in biophysical and economic conditions, but the response to these risks is poorly understood. In particular, there is a need to better understand the endogenous management of risk in the rice/shrimp farming systems that have emerged in the inner coastal zone of Bangladesh. This paper draws on a case study of a typical rice/shrimp farming village in Khulna District to explore: (a) farmers' perceptions of risks and their management responses, (b) risk-return trade-offs within small-, medium-, and large-farm households, and (c) the role of other farm and non-farm activities in mitigating risks to household livelihoods. Farm-level data were collected through a reconnaissance survey, a village census, household case studies, and a sample survey of 73 households. Representative farm budgets were constructed for the three farm-size classes. The key performance indicators calculated were gross margin (GM), net income (NI), and GM per workday of family labour. The riskiness of the rice/shrimp system was assessed for each farm type using farmers' estimates of low, normal, and high yields and prices to specify triangular distributions. Cumulative distribution functions (CDFs) for GM, NI, and GM per workday were generated. A whole-farm economic analysis was also conducted to assess the relative contributions of different sources of income for each farm type. With access to saline water for shrimp farming in the dry season and fresh water for rice in the wet season, farmers have developed and progressively adapted an alternating rice/shrimp farming system that has minimised the trade-offs between the two crops and provides a good return to household and village resources for all farm types. The system is subject to significant production and market risks, especially the shrimp component. However, farmers have clearly perceived these risks and ameliorated them through a range of production, marketing, and management strategies. With these risk management practices, the rice/shrimp cropping system is economically viable, given the current variation in yields and prices. The greater risk associated with the shrimp component was offset by the renewed stability of the rice component over the past decade, and the risks of the whole cropping system were offset by other farm and non-farm sources of livelihood. Development interventions need to work with farmers to provide further options (suitable rice varieties, solutions to shrimp disease, improved village and transport infrastructure) if this resilience is to be maintained.","container-title":"LAND USE POLICY","DOI":"10.1016/j.landusepol.2020.104577","ISSN":"0264-8377","language":"English","note":"publisher-place: THE BOULEVARD, LANGFORD LANE, KIDLINGTON, OXFORD OX5 1GB, OXON, ENGLAND\npublisher: ELSEVIER SCI LTD\ntype: Article","title":"Farmers' perceptions and management of risk in rice/shrimp farming systems in South-West Coastal Bangladesh","volume":"95","author":[{"family":"Kabir","given":"Jahangir"},{"family":"Cramb","given":"Rob"},{"family":"Alauddin","given":"Mohammad"},{"family":"Gaydon","given":"Donald S."},{"family":"Roth","given":"Christian H."}],"issued":{"date-parts":[["2020",6]]},"citation-key":"kabir_etal_2020"}},{"id":1057,"uris":["http://zotero.org/users/7734624/items/GBHGFLYH"],"itemData":{"id":1057,"type":"article-journal","abstract":"Decision makers need accurate information to address climate variability and change and accelerate transformation to sustainability. A stakeholder-driven, science-based multi-model approach has been developed and used by the Agricultural Model Intercomparison and Improvement Project (AgMIP) to generate actionable information for adaptation planning processes. For a range of mid-century climate projections—likely to be hotter, drier, and more variable—contrasting future socio-economic scenarios (Representative Agricultural Pathways, RAPs) were co-developed with stakeholders to portray a sustainable development scenario and a rapid economic growth pathway. The unique characteristic of this application is the integration of a multi-modeling approach with stakeholder engagement to co-develop scenarios and adaptation strategies. Distribution of outcomes were simulated with climate, crop, livestock, and economic impact assessment models for smallholder crop livestock farmers in a typical dryland agro-ecological zone in Zimbabwe, characterized by low and erratic rainfall and nutrient depleted soils. Results showed that in Nkayi District, Western Zimbabwe, climate change would threaten most of the farms, and, in particular, those with large cattle herds due to feed shortages. Adaptation strategies that showed the most promise included diversification using legume production, soil fertility improvement, and investment in conducive market environments. The switch to more legumes in the farming systems reduced the vulnerability of the very poor as well as the more resourced farmers. Overall, the sustainable development scenario consistently addressed institutional failures and motivated productivity-enhancing, environmentally sound technologies and inclusive development approaches. This yielded more favorable outcomes than investment in quick economic wins from commercializing agriculture.","container-title":"Climatic Change","DOI":"10.1007/s10584-021-03151-8","ISSN":"1573-1480","issue":"1","journalAbbreviation":"Climatic Change","language":"en","page":"10","source":"Springer Link","title":"Climate change impacts and adaptation for dryland farming systems in Zimbabwe: a stakeholder-driven integrated multi-model assessment","title-short":"Climate change impacts and adaptation for dryland farming systems in Zimbabwe","volume":"168","author":[{"family":"Homann-Kee Tui","given":"Sabine"},{"family":"Descheemaeker","given":"Katrien"},{"family":"Valdivia","given":"Roberto O."},{"family":"Masikati","given":"Patricia"},{"family":"Sisito","given":"Gevious"},{"family":"Moyo","given":"Elisha N."},{"family":"Crespo","given":"Olivier"},{"family":"Ruane","given":"Alex C."},{"family":"Rosenzweig","given":"Cynthia"}],"issued":{"date-parts":[["2021",9,25]]},"citation-key":"homann-keetui_etal_2021"}},{"id":3361,"uris":["http://zotero.org/users/7734624/items/RH6ZIHNH"],"itemData":{"id":3361,"type":"article-journal","abstract":"In this article, we use spatially granular climate data merged with four waves of household survey data in Uganda to examine empirically the relationships among high temperatures, total value of crop production, and the adoption and adoption duration of two sustainable agricultural practices (organic fertilizer adoption and maize–legume intercropping). We do this using a fixed‐effect model with instrumental variables to address potential endogeneity issues. Our findings indicate that the adoption of these practices has a positive effect on the total value of crop production, and such effect increases monotonically as temperatures increase from long‐term averages. Moreover, the number of years a farmer uses the practice is associated with higher total value of crop production, and this relationship holds across the full distribution of high temperature deviations. Taken together, the results suggest that promoting the adoption, and particularly the sustained adoption, of these practices can help to address the risks posed by rising temperatures to Ugandan agriculture and the livelihoods of farmers who depend on it.","container-title":"American Journal of Agricultural Economics","DOI":"10.1111/ajae.12229","ISSN":"0002-9092, 1467-8276","issue":"1","journalAbbreviation":"American J Agri Economics","language":"en","page":"385-403","source":"DOI.org (Crossref)","title":"Adapting to High Temperatures: Effect of Farm Practices and Their Adoption Duration on Total Value of Crop Production in Uganda","title-short":"Adapting to High Temperatures","volume":"104","author":[{"family":"Maggio","given":"Giuseppe"},{"family":"Mastrorillo","given":"Marina"},{"family":"Sitko","given":"Nicholas J."}],"issued":{"date-parts":[["2022",1]]},"citation-key":"maggio_etal_2022"}},{"id":3384,"uris":["http://zotero.org/users/7734624/items/TF3JUWPA"],"itemData":{"id":3384,"type":"article-journal","container-title":"Agroecology and Sustainable Food Systems","DOI":"10.1080/21683565.2022.2067930","ISSN":"2168-3565, 2168-3573","issue":"5","journalAbbreviation":"Agroecology and Sustainable Food Systems","language":"en","page":"672-711","source":"DOI.org (Crossref)","title":"Climate change and shifting land-use: Consequences for smallholder agroforestry systems and rural livelihoods in the southwest Ethiopian Highlands","title-short":"Climate change and shifting land-use","volume":"46","author":[{"family":"Koch","given":"Olef"},{"family":"Ibisch","given":"Pierre L."},{"family":"Bloch","given":"Ralf"}],"issued":{"date-parts":[["2022",5,28]]},"citation-key":"koch_etal_2022"}},{"id":3305,"uris":["http://zotero.org/users/7734624/items/S53XKB6R"],"itemData":{"id":3305,"type":"article-journal","container-title":"Heliyon","DOI":"10.1016/j.heliyon.2023.e13935","ISSN":"24058440","issue":"3","journalAbbreviation":"Heliyon","language":"en","page":"e13935","source":"DOI.org (Crossref)","title":"Salinity extrusion and resilience of coastal aquaculture to the climatic changes in the southwest region of Bangladesh","volume":"9","author":[{"family":"Bhowmik","given":"Balai Chandra"},{"family":"Rima","given":"Nazmun Naher"},{"family":"Gosh","given":"Kamal"},{"family":"Hossain","given":"Md Abul"},{"family":"Murray","given":"Francis J."},{"family":"Little","given":"David C."},{"family":"Mamun","given":"Abdullah-Al"}],"issued":{"date-parts":[["2023",3]]},"citation-key":"bhowmik_etal_2023"}},{"id":3310,"uris":["http://zotero.org/users/7734624/items/UKZILLQ9"],"itemData":{"id":3310,"type":"article-journal","container-title":"Mitigation and Adaptation Strategies for Global Change","DOI":"10.1007/s11027-023-10097-y","ISSN":"1381-2386, 1573-1596","issue":"1","journalAbbreviation":"Mitig Adapt Strateg Glob Change","language":"en","page":"7","source":"DOI.org (Crossref)","title":"Differentiated socio-ecological system approach for vulnerability and adaptation assessment in the Central Himalaya","volume":"29","author":[{"family":"Kumar","given":"Praveen"},{"family":"Fürst","given":"Christine"},{"family":"Joshi","given":"P. K."}],"issued":{"date-parts":[["2024",1]]},"citation-key":"kumar_etal_2024"}}],"schema":"https://github.com/citation-style-language/schema/raw/master/csl-citation.json"}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CB5208" w:rsidRPr="00CB5208">
              <w:rPr>
                <w:rFonts w:ascii="Times New Roman" w:hAnsi="Times New Roman" w:cs="Times New Roman"/>
                <w:lang w:val="fr-FR"/>
              </w:rPr>
              <w:t>(Keil et al. 2009; Rigolot et al. 2017; Descheemaeker et al. 2018; Kabir et al. 2020; Homann-Kee Tui et al. 2021; Maggio et al. 2022; Koch et al. 2022; Bhowmik et al. 2023; Kumar et al. 2024)</w:t>
            </w:r>
            <w:r w:rsidRPr="00FF4B56">
              <w:rPr>
                <w:rFonts w:ascii="Times New Roman" w:eastAsia="Times New Roman" w:hAnsi="Times New Roman" w:cs="Times New Roman"/>
                <w:color w:val="000000"/>
                <w:lang w:eastAsia="en-GB"/>
              </w:rPr>
              <w:fldChar w:fldCharType="end"/>
            </w:r>
          </w:p>
        </w:tc>
      </w:tr>
      <w:tr w:rsidR="00663667" w:rsidRPr="00AF6801" w14:paraId="7D671356" w14:textId="2C923815" w:rsidTr="00663667">
        <w:trPr>
          <w:trHeight w:val="288"/>
        </w:trPr>
        <w:tc>
          <w:tcPr>
            <w:tcW w:w="0" w:type="auto"/>
            <w:tcBorders>
              <w:top w:val="nil"/>
              <w:left w:val="nil"/>
              <w:right w:val="nil"/>
            </w:tcBorders>
            <w:shd w:val="clear" w:color="000000" w:fill="FFFFFF"/>
          </w:tcPr>
          <w:p w14:paraId="5D3D91EF" w14:textId="77777777" w:rsidR="00663667" w:rsidRPr="00CB5208"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hideMark/>
          </w:tcPr>
          <w:p w14:paraId="03DF76BF" w14:textId="73B0B5DB" w:rsidR="00663667" w:rsidRPr="00CB5208" w:rsidRDefault="00663667" w:rsidP="00663667">
            <w:pPr>
              <w:spacing w:after="0" w:line="360" w:lineRule="auto"/>
              <w:rPr>
                <w:rFonts w:ascii="Times New Roman" w:eastAsia="Times New Roman" w:hAnsi="Times New Roman" w:cs="Times New Roman"/>
                <w:color w:val="000000"/>
                <w:lang w:val="fr-FR" w:eastAsia="en-GB"/>
              </w:rPr>
            </w:pPr>
            <w:r w:rsidRPr="00CB5208">
              <w:rPr>
                <w:rFonts w:ascii="Times New Roman" w:eastAsia="Times New Roman" w:hAnsi="Times New Roman" w:cs="Times New Roman"/>
                <w:color w:val="000000"/>
                <w:lang w:val="fr-FR" w:eastAsia="en-GB"/>
              </w:rPr>
              <w:t> </w:t>
            </w:r>
          </w:p>
        </w:tc>
        <w:tc>
          <w:tcPr>
            <w:tcW w:w="5310" w:type="dxa"/>
            <w:tcBorders>
              <w:top w:val="nil"/>
              <w:left w:val="nil"/>
              <w:bottom w:val="nil"/>
              <w:right w:val="nil"/>
            </w:tcBorders>
            <w:shd w:val="clear" w:color="000000" w:fill="FFFFFF"/>
            <w:noWrap/>
          </w:tcPr>
          <w:p w14:paraId="2EDB4159" w14:textId="213A1576" w:rsidR="00663667" w:rsidRPr="00CB5208" w:rsidRDefault="00663667" w:rsidP="00663667">
            <w:pPr>
              <w:spacing w:after="0" w:line="360" w:lineRule="auto"/>
              <w:rPr>
                <w:rFonts w:ascii="Times New Roman" w:eastAsia="Times New Roman" w:hAnsi="Times New Roman" w:cs="Times New Roman"/>
                <w:color w:val="000000"/>
                <w:lang w:val="fr-FR" w:eastAsia="en-GB"/>
              </w:rPr>
            </w:pPr>
          </w:p>
        </w:tc>
        <w:tc>
          <w:tcPr>
            <w:tcW w:w="1350" w:type="dxa"/>
            <w:tcBorders>
              <w:top w:val="nil"/>
              <w:left w:val="nil"/>
              <w:bottom w:val="nil"/>
              <w:right w:val="nil"/>
            </w:tcBorders>
            <w:shd w:val="clear" w:color="000000" w:fill="FFFFFF"/>
            <w:noWrap/>
          </w:tcPr>
          <w:p w14:paraId="2C66C382" w14:textId="2BF2EB50" w:rsidR="00663667" w:rsidRPr="00CB5208" w:rsidRDefault="00663667" w:rsidP="00663667">
            <w:pPr>
              <w:spacing w:after="0" w:line="360" w:lineRule="auto"/>
              <w:rPr>
                <w:rFonts w:ascii="Times New Roman" w:eastAsia="Times New Roman" w:hAnsi="Times New Roman" w:cs="Times New Roman"/>
                <w:color w:val="000000"/>
                <w:lang w:val="fr-FR" w:eastAsia="en-GB"/>
              </w:rPr>
            </w:pPr>
          </w:p>
        </w:tc>
        <w:tc>
          <w:tcPr>
            <w:tcW w:w="5274" w:type="dxa"/>
            <w:tcBorders>
              <w:left w:val="nil"/>
              <w:right w:val="nil"/>
            </w:tcBorders>
            <w:shd w:val="clear" w:color="000000" w:fill="FFFFFF"/>
          </w:tcPr>
          <w:p w14:paraId="007E451D" w14:textId="5E883F58" w:rsidR="00663667" w:rsidRPr="00CB5208" w:rsidRDefault="00663667" w:rsidP="00663667">
            <w:pPr>
              <w:spacing w:after="0" w:line="360" w:lineRule="auto"/>
              <w:rPr>
                <w:rFonts w:ascii="Times New Roman" w:eastAsia="Times New Roman" w:hAnsi="Times New Roman" w:cs="Times New Roman"/>
                <w:color w:val="000000"/>
                <w:lang w:val="fr-FR" w:eastAsia="en-GB"/>
              </w:rPr>
            </w:pPr>
          </w:p>
        </w:tc>
      </w:tr>
      <w:tr w:rsidR="00663667" w:rsidRPr="00AF6801" w14:paraId="1B975FAE" w14:textId="1CD9FAC5" w:rsidTr="00663667">
        <w:trPr>
          <w:trHeight w:val="288"/>
        </w:trPr>
        <w:tc>
          <w:tcPr>
            <w:tcW w:w="0" w:type="auto"/>
            <w:tcBorders>
              <w:top w:val="nil"/>
              <w:left w:val="nil"/>
              <w:right w:val="nil"/>
            </w:tcBorders>
            <w:shd w:val="clear" w:color="000000" w:fill="FFFFFF"/>
          </w:tcPr>
          <w:p w14:paraId="3E9C53D7" w14:textId="77777777" w:rsidR="00663667" w:rsidRPr="00CB5208"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right w:val="nil"/>
            </w:tcBorders>
            <w:shd w:val="clear" w:color="000000" w:fill="FFFFFF"/>
            <w:noWrap/>
            <w:hideMark/>
          </w:tcPr>
          <w:p w14:paraId="765DC486" w14:textId="397AFF2E" w:rsidR="00663667" w:rsidRPr="00CB5208" w:rsidRDefault="00663667" w:rsidP="00663667">
            <w:pPr>
              <w:spacing w:after="0" w:line="360" w:lineRule="auto"/>
              <w:rPr>
                <w:rFonts w:ascii="Times New Roman" w:eastAsia="Times New Roman" w:hAnsi="Times New Roman" w:cs="Times New Roman"/>
                <w:color w:val="000000"/>
                <w:lang w:val="fr-FR" w:eastAsia="en-GB"/>
              </w:rPr>
            </w:pPr>
            <w:r w:rsidRPr="00CB5208">
              <w:rPr>
                <w:rFonts w:ascii="Times New Roman" w:eastAsia="Times New Roman" w:hAnsi="Times New Roman" w:cs="Times New Roman"/>
                <w:color w:val="000000"/>
                <w:lang w:val="fr-FR" w:eastAsia="en-GB"/>
              </w:rPr>
              <w:t> </w:t>
            </w:r>
          </w:p>
        </w:tc>
        <w:tc>
          <w:tcPr>
            <w:tcW w:w="5310" w:type="dxa"/>
            <w:tcBorders>
              <w:top w:val="nil"/>
              <w:left w:val="nil"/>
              <w:right w:val="nil"/>
            </w:tcBorders>
            <w:shd w:val="clear" w:color="000000" w:fill="FFFFFF"/>
            <w:noWrap/>
            <w:hideMark/>
          </w:tcPr>
          <w:p w14:paraId="0649334E" w14:textId="7244602A" w:rsidR="00663667" w:rsidRPr="00CB5208" w:rsidRDefault="00663667" w:rsidP="00663667">
            <w:pPr>
              <w:spacing w:after="0" w:line="360" w:lineRule="auto"/>
              <w:rPr>
                <w:rFonts w:ascii="Times New Roman" w:eastAsia="Times New Roman" w:hAnsi="Times New Roman" w:cs="Times New Roman"/>
                <w:color w:val="000000"/>
                <w:lang w:val="fr-FR" w:eastAsia="en-GB"/>
              </w:rPr>
            </w:pPr>
            <w:proofErr w:type="spellStart"/>
            <w:r w:rsidRPr="00CB5208">
              <w:rPr>
                <w:rFonts w:ascii="Times New Roman" w:eastAsia="Times New Roman" w:hAnsi="Times New Roman" w:cs="Times New Roman"/>
                <w:color w:val="000000"/>
                <w:lang w:val="fr-FR" w:eastAsia="en-GB"/>
              </w:rPr>
              <w:t>Number</w:t>
            </w:r>
            <w:proofErr w:type="spellEnd"/>
            <w:r w:rsidRPr="00CB5208">
              <w:rPr>
                <w:rFonts w:ascii="Times New Roman" w:eastAsia="Times New Roman" w:hAnsi="Times New Roman" w:cs="Times New Roman"/>
                <w:color w:val="000000"/>
                <w:lang w:val="fr-FR" w:eastAsia="en-GB"/>
              </w:rPr>
              <w:t xml:space="preserve"> of </w:t>
            </w:r>
            <w:proofErr w:type="spellStart"/>
            <w:r w:rsidRPr="00CB5208">
              <w:rPr>
                <w:rFonts w:ascii="Times New Roman" w:eastAsia="Times New Roman" w:hAnsi="Times New Roman" w:cs="Times New Roman"/>
                <w:color w:val="000000"/>
                <w:lang w:val="fr-FR" w:eastAsia="en-GB"/>
              </w:rPr>
              <w:t>mechanized</w:t>
            </w:r>
            <w:proofErr w:type="spellEnd"/>
            <w:r w:rsidRPr="00CB5208">
              <w:rPr>
                <w:rFonts w:ascii="Times New Roman" w:eastAsia="Times New Roman" w:hAnsi="Times New Roman" w:cs="Times New Roman"/>
                <w:color w:val="000000"/>
                <w:lang w:val="fr-FR" w:eastAsia="en-GB"/>
              </w:rPr>
              <w:t xml:space="preserve"> </w:t>
            </w:r>
            <w:proofErr w:type="spellStart"/>
            <w:r w:rsidRPr="00CB5208">
              <w:rPr>
                <w:rFonts w:ascii="Times New Roman" w:eastAsia="Times New Roman" w:hAnsi="Times New Roman" w:cs="Times New Roman"/>
                <w:color w:val="000000"/>
                <w:lang w:val="fr-FR" w:eastAsia="en-GB"/>
              </w:rPr>
              <w:t>equipment</w:t>
            </w:r>
            <w:proofErr w:type="spellEnd"/>
          </w:p>
        </w:tc>
        <w:tc>
          <w:tcPr>
            <w:tcW w:w="1350" w:type="dxa"/>
            <w:tcBorders>
              <w:top w:val="nil"/>
              <w:left w:val="nil"/>
              <w:right w:val="nil"/>
            </w:tcBorders>
            <w:shd w:val="clear" w:color="000000" w:fill="FFFFFF"/>
            <w:noWrap/>
            <w:hideMark/>
          </w:tcPr>
          <w:p w14:paraId="4141FD18" w14:textId="552E43EE" w:rsidR="00663667" w:rsidRPr="00CB5208" w:rsidRDefault="00663667" w:rsidP="00663667">
            <w:pPr>
              <w:spacing w:after="0" w:line="360" w:lineRule="auto"/>
              <w:rPr>
                <w:rFonts w:ascii="Times New Roman" w:eastAsia="Times New Roman" w:hAnsi="Times New Roman" w:cs="Times New Roman"/>
                <w:color w:val="000000"/>
                <w:lang w:val="fr-FR" w:eastAsia="en-GB"/>
              </w:rPr>
            </w:pPr>
            <w:r w:rsidRPr="00CB5208">
              <w:rPr>
                <w:rFonts w:ascii="Times New Roman" w:eastAsia="Times New Roman" w:hAnsi="Times New Roman" w:cs="Times New Roman"/>
                <w:color w:val="000000"/>
                <w:lang w:val="fr-FR" w:eastAsia="en-GB"/>
              </w:rPr>
              <w:t>5</w:t>
            </w:r>
          </w:p>
        </w:tc>
        <w:tc>
          <w:tcPr>
            <w:tcW w:w="5274" w:type="dxa"/>
            <w:tcBorders>
              <w:left w:val="nil"/>
              <w:right w:val="nil"/>
            </w:tcBorders>
            <w:shd w:val="clear" w:color="000000" w:fill="FFFFFF"/>
          </w:tcPr>
          <w:p w14:paraId="71761E69" w14:textId="7739EAD2" w:rsidR="00663667" w:rsidRPr="008A6153"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CB5208">
              <w:rPr>
                <w:rFonts w:ascii="Times New Roman" w:eastAsia="Times New Roman" w:hAnsi="Times New Roman" w:cs="Times New Roman"/>
                <w:color w:val="000000"/>
                <w:lang w:val="fr-FR" w:eastAsia="en-GB"/>
              </w:rPr>
              <w:instrText xml:space="preserve"> ADDIN ZOTERO_ITEM CSL_CITATION {"citationID":"Ct2PnGyF","properties":{"formattedCitation":"(Lopez-Ridaura et al. 2018; Ben Nasr et al. 2021; Abdollahzadeh et al. 2023; Gemeda et al. 2023; Marie Chimi et al. 2023)","plainCitation":"(Lopez-Ridaura et al. 2018; Ben Nasr et al. 2021; Abdollahzadeh et al. 2023; Gemeda et al. 2023; Marie Chimi et al. 2023)","noteIndex":0},"citationItems":[{"id":351,"uris":["http://zotero.org/users/7734624/items/VMQZYXSU"],"itemData":{"id":351,"type":"article-journal","abstract":"One of the great challenges in agricultural development and sustainable intensiﬁcation is the assurance of social equity in food security oriented interventions. Development practitioners, researchers, and policy makers alike could beneﬁt from prior insight into what interventions or environmental shocks might diﬀerentially aﬀect farmers' food security status, in order to move towards more informed and equitable development. We examined the food security status and livelihood activities of 269 smallholder farm households (HHs) in Bihar, India. Proceeding with a four-step analysis, we ﬁrst applied a multivariate statistical methodology to diﬀerentiate ﬁve primary farming system types. We next applied an indicator of food security in the form of HH potential food availability (PFA), and examined the contribution of crop, livestock, and on- and oﬀ-farm income generation to PFA within each farm HH type. Lastly, we applied scenario analysis to examine the potential impact of the adoption of ‘climate smart’ agricultural (CSA) practices in the form of conservation agriculture (CA) and improved livestock husbandry, and environmental shocks on HH PFA. Our results indicate that compared to livestock interventions, CA may hold considerable potential to boost HH PFA, though primarily for wealthier and medium-scale cereal farmers. These farm HH types were however considerably more vulnerable to food insecurity risks resulting from simulated drought, while part-time farmers and resource-poor agricultural laborers generating income from oﬀ-farm pursuits were comparatively less vulnerable, due in part to their more diversiﬁed income sources and potential to migrate in search of work. Our results underscore the importance of prior planning for development initiatives aimed at increasing smallholder food security while maintaining social equity, while providing a robust methodology to vet the implications of agricultural interventions on an ex ante basis.","container-title":"Agricultural Systems","DOI":"10.1016/j.agsy.2017.09.007","ISSN":"0308521X","journalAbbreviation":"Agricultural Systems","language":"en","page":"57-68","source":"DOI.org (Crossref)","title":"Climate smart agriculture, farm household typologies and food security","volume":"159","author":[{"family":"Lopez-Ridaura","given":"Santiago"},{"family":"Frelat","given":"Romain"},{"family":"Wijk","given":"Mark T.","non-dropping-particle":"van"},{"family":"Valbuena","given":"Diego"},{"family":"Krupnik","given":"Timothy J."},{"family":"Jat","given":"M.L."}],"issued":{"date-parts":[["2018",1]]},"citation-key":"lopez-ridaura_etal_2018"}},{"id":698,"uris":["http://zotero.org/users/7734624/items/X9APIH2K"],"itemData":{"id":698,"type":"article-journal","abstract":"The agricultural sector plays a strategic role in the Tunisian economy, particularly in rural areas. Resilience and adaptation to climate change are the main challenges facing this sector. This paper aims to analyze climate change resilience of agricultural production systems in Tunisian semi-arid areas and to propose options for policy interventions. A path Structural Equation Model (SEM) was used to predict the resilience of these systems using the partial least squares method (PLS). Results show that farming systems in Tunisian semi-arid areas remain threatened against negative impact of climate change since 80% of farms in the sample have shown low resilience levels. The most important determinants of agricultural systems’ resilience are farmers’ income and access to food, adaptive capacity, and access to productive and non-productive assets. Results indicate also that integrated systems, income diversification, along with cooperation and collective action are the key options to enhance resilience of rural households and farming systems. It is recommended to raise awareness of stakeholders and decision-makers about climate change challenges and to develop integrated approaches to better engaging with local stakeholders and institutions in adaptation programs and strategies development. © 2021, The Author(s), under exclusive licence to Springer-Verlag GmbH, DE part of Springer Nature.","container-title":"Environmental Science and Pollution Research","DOI":"10.1007/s11356-021-13089-0","ISSN":"09441344","issue":"34","language":"English","note":"publisher: Springer Science and Business Media Deutschland GmbH","page":"46797-46808","title":"Assessing and building climate change resilience of farming systems in Tunisian semi-arid areas","volume":"28","author":[{"family":"Ben Nasr","given":"J."},{"family":"Chaar","given":"H."},{"family":"Bouchiba","given":"F."},{"family":"Zaibet","given":"L."}],"issued":{"date-parts":[["2021"]]},"citation-key":"bennasr_etal_2021"}},{"id":3346,"uris":["http://zotero.org/users/7734624/items/89PSQCE6"],"itemData":{"id":3346,"type":"article-journal","container-title":"Agricultural Systems","DOI":"10.1016/j.agsy.2022.103537","ISSN":"0308521X","journalAbbreviation":"Agricultural Systems","language":"en","page":"103537","source":"DOI.org (Crossref)","title":"Adaptive capacity of farming systems to climate change in Iran: Application of composite index approach","title-short":"Adaptive capacity of farming systems to climate change in Iran","volume":"204","author":[{"family":"Abdollahzadeh","given":"Gholamhossein"},{"family":"Sharifzadeh","given":"Mohammad Sharif"},{"family":"Sklenička","given":"Petr"},{"family":"Azadi","given":"Hossein"}],"issued":{"date-parts":[["2023",1]]},"citation-key":"abdollahzadeh_etal_2023"}},{"id":3311,"uris":["http://zotero.org/users/7734624/items/JQMSVRNU"],"itemData":{"id":3311,"type":"article-journal","abstract":"This study assesses the perceptions and vulnerability of the farming communities to climate change in the southwestern parts of Ethiopia. Climate change vulnerability assessment is a prerequisite to designing climate change adaptation strategies. A multistage cluster sampling technique was used to select four of the six zones from the southwestern parts of Oromia. Close-ended and open-ended questionnaires were used to assess household perceptions of climate change and the degree of vulnerability to climate change by using five household capitals: natural, social, financial, physical, and human capital. Data were collected from 442 households in 4 districts: Jimma Arjo, Bako Tibe, Chewaka, and Sekoru. The vulnerability of the farming communities was assessed using the households’ livelihood vulnerability index. A total of forty indicators from five capitals were applied to calculate household livelihood vulnerability to climate change. Household perceptions of climate change had a statistically significant relationship with changes in rainfall pattern (75.6%, p &lt; 0.001), temperature pattern (69.7%, p &lt; 0.001), drought (41.6%, p = 0.016), flood (44.1%, p = 0.000), and occurrence of early (53.2%, p &lt; 0.001) and late rain (55.9%, p &lt; 0.001). The results show that households in the Sekoru district were the most vulnerable (0.61), while households in the Jimma Arjo district were less vulnerable (0.47) to the effect of climate change. Household vulnerability to climate change is mainly related to the occurrence of drought, lack of much-needed infrastructure facilities, and weak institutional support. Links with financial organizations are also lacking in the household. The findings of this study will help policymakers to address the impact of climate change. To support disaster risk management on the one hand and increase the resilience of vulnerable societies to climate change on the other, we recommend a detailed assessment of the remaining districts of the region.","container-title":"Climate","DOI":"10.3390/cli11090183","ISSN":"2225-1154","issue":"9","journalAbbreviation":"Climate","language":"en","license":"https://creativecommons.org/licenses/by/4.0/","page":"183","source":"DOI.</w:instrText>
            </w:r>
            <w:r w:rsidR="00CB5208" w:rsidRPr="008A6153">
              <w:rPr>
                <w:rFonts w:ascii="Times New Roman" w:eastAsia="Times New Roman" w:hAnsi="Times New Roman" w:cs="Times New Roman"/>
                <w:color w:val="000000"/>
                <w:lang w:val="fr-FR" w:eastAsia="en-GB"/>
              </w:rPr>
              <w:instrText xml:space="preserve">org (Crossref)","title":"Climate Change Perception and Vulnerability Assessment of the Farming Communities in the Southwest Parts of Ethiopia","volume":"11","author":[{"family":"Gemeda","given":"Dessalegn Obsi"},{"family":"Korecha","given":"Diriba"},{"family":"Garedew","given":"Weyessa"}],"issued":{"date-parts":[["2023",9,5]]},"citation-key":"gemeda_etal_2023"}},{"id":3309,"uris":["http://zotero.org/users/7734624/items/TE7LJQNF"],"itemData":{"id":3309,"type":"article-journal","container-title":"Research in Globalization","DOI":"10.1016/j.resglo.2023.100138","ISSN":"2590051X","journalAbbreviation":"Research in Globalization","language":"en","page":"100138","source":"DOI.org (Crossref)","title":"Vulnerability of family farming systems to climate change: The case of the forest-savannah transition zone, Centre Region of Cameroon","title-short":"Vulnerability of family farming systems to climate change","volume":"7","author":[{"family":"Marie Chimi","given":"Pierre"},{"family":"Armand Mala","given":"William"},{"family":"Ngamsou Abdel","given":"Karimou"},{"family":"Louis Fobane","given":"Jean"},{"family":"Manga Essouma","given":"François"},{"family":"Hermann Matick","given":"John"},{"family":"Yldephonse Nyonce Pokam","given":"Eusebe"},{"family":"Tcheferi","given":"Imma"},{"family":"Martin Bell","given":"Joseph"}],"issued":{"date-parts":[["2023",12]]},"citation-key":"mariechimi_etal_2023"}}],"schema":"https://github.com/citation-style-language/schema/raw/master/csl-citation.json"}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CB5208" w:rsidRPr="008A6153">
              <w:rPr>
                <w:rFonts w:ascii="Times New Roman" w:hAnsi="Times New Roman" w:cs="Times New Roman"/>
                <w:lang w:val="fr-FR"/>
              </w:rPr>
              <w:t>(Lopez-Ridaura et al. 2018; Ben Nasr et al. 2021; Abdollahzadeh et al. 2023; Gemeda et al. 2023; Marie Chimi et al. 2023)</w:t>
            </w:r>
            <w:r w:rsidRPr="00FF4B56">
              <w:rPr>
                <w:rFonts w:ascii="Times New Roman" w:eastAsia="Times New Roman" w:hAnsi="Times New Roman" w:cs="Times New Roman"/>
                <w:color w:val="000000"/>
                <w:lang w:eastAsia="en-GB"/>
              </w:rPr>
              <w:fldChar w:fldCharType="end"/>
            </w:r>
          </w:p>
        </w:tc>
      </w:tr>
      <w:tr w:rsidR="00663667" w:rsidRPr="00FF4B56" w14:paraId="568389D8" w14:textId="77777777" w:rsidTr="00663667">
        <w:trPr>
          <w:trHeight w:val="288"/>
        </w:trPr>
        <w:tc>
          <w:tcPr>
            <w:tcW w:w="0" w:type="auto"/>
            <w:tcBorders>
              <w:left w:val="nil"/>
              <w:bottom w:val="single" w:sz="4" w:space="0" w:color="auto"/>
              <w:right w:val="nil"/>
            </w:tcBorders>
            <w:shd w:val="clear" w:color="000000" w:fill="FFFFFF"/>
          </w:tcPr>
          <w:p w14:paraId="2C60329F" w14:textId="77777777" w:rsidR="00663667" w:rsidRPr="008A6153"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single" w:sz="4" w:space="0" w:color="auto"/>
              <w:right w:val="nil"/>
            </w:tcBorders>
            <w:shd w:val="clear" w:color="000000" w:fill="FFFFFF"/>
            <w:noWrap/>
          </w:tcPr>
          <w:p w14:paraId="0182DAE7" w14:textId="77777777" w:rsidR="00663667" w:rsidRPr="008A6153" w:rsidRDefault="00663667" w:rsidP="00663667">
            <w:pPr>
              <w:spacing w:after="0" w:line="360" w:lineRule="auto"/>
              <w:rPr>
                <w:rFonts w:ascii="Times New Roman" w:eastAsia="Times New Roman" w:hAnsi="Times New Roman" w:cs="Times New Roman"/>
                <w:color w:val="000000"/>
                <w:lang w:val="fr-FR" w:eastAsia="en-GB"/>
              </w:rPr>
            </w:pPr>
          </w:p>
        </w:tc>
        <w:tc>
          <w:tcPr>
            <w:tcW w:w="5310" w:type="dxa"/>
            <w:tcBorders>
              <w:top w:val="nil"/>
              <w:left w:val="nil"/>
              <w:bottom w:val="single" w:sz="4" w:space="0" w:color="auto"/>
              <w:right w:val="nil"/>
            </w:tcBorders>
            <w:shd w:val="clear" w:color="000000" w:fill="FFFFFF"/>
            <w:noWrap/>
          </w:tcPr>
          <w:p w14:paraId="14147AEE" w14:textId="50352D58" w:rsidR="00663667" w:rsidRPr="008A6153" w:rsidRDefault="00663667" w:rsidP="00663667">
            <w:pPr>
              <w:spacing w:after="0" w:line="360" w:lineRule="auto"/>
              <w:rPr>
                <w:rFonts w:ascii="Times New Roman" w:eastAsia="Times New Roman" w:hAnsi="Times New Roman" w:cs="Times New Roman"/>
                <w:color w:val="000000"/>
                <w:lang w:val="fr-FR" w:eastAsia="en-GB"/>
              </w:rPr>
            </w:pPr>
            <w:proofErr w:type="spellStart"/>
            <w:r w:rsidRPr="008A6153">
              <w:rPr>
                <w:rFonts w:ascii="Times New Roman" w:eastAsia="Times New Roman" w:hAnsi="Times New Roman" w:cs="Times New Roman"/>
                <w:color w:val="000000"/>
                <w:lang w:val="fr-FR" w:eastAsia="en-GB"/>
              </w:rPr>
              <w:t>Groundwater</w:t>
            </w:r>
            <w:proofErr w:type="spellEnd"/>
            <w:r w:rsidRPr="008A6153">
              <w:rPr>
                <w:rFonts w:ascii="Times New Roman" w:eastAsia="Times New Roman" w:hAnsi="Times New Roman" w:cs="Times New Roman"/>
                <w:color w:val="000000"/>
                <w:lang w:val="fr-FR" w:eastAsia="en-GB"/>
              </w:rPr>
              <w:t xml:space="preserve"> </w:t>
            </w:r>
            <w:proofErr w:type="spellStart"/>
            <w:r w:rsidRPr="008A6153">
              <w:rPr>
                <w:rFonts w:ascii="Times New Roman" w:eastAsia="Times New Roman" w:hAnsi="Times New Roman" w:cs="Times New Roman"/>
                <w:color w:val="000000"/>
                <w:lang w:val="fr-FR" w:eastAsia="en-GB"/>
              </w:rPr>
              <w:t>level</w:t>
            </w:r>
            <w:proofErr w:type="spellEnd"/>
          </w:p>
        </w:tc>
        <w:tc>
          <w:tcPr>
            <w:tcW w:w="1350" w:type="dxa"/>
            <w:tcBorders>
              <w:top w:val="nil"/>
              <w:left w:val="nil"/>
              <w:bottom w:val="single" w:sz="4" w:space="0" w:color="auto"/>
              <w:right w:val="nil"/>
            </w:tcBorders>
            <w:shd w:val="clear" w:color="000000" w:fill="FFFFFF"/>
            <w:noWrap/>
          </w:tcPr>
          <w:p w14:paraId="70BCB9FA" w14:textId="2319607D" w:rsidR="00663667" w:rsidRPr="008A6153" w:rsidRDefault="00663667" w:rsidP="00663667">
            <w:pPr>
              <w:spacing w:after="0" w:line="360" w:lineRule="auto"/>
              <w:rPr>
                <w:rFonts w:ascii="Times New Roman" w:eastAsia="Times New Roman" w:hAnsi="Times New Roman" w:cs="Times New Roman"/>
                <w:color w:val="000000"/>
                <w:lang w:val="fr-FR" w:eastAsia="en-GB"/>
              </w:rPr>
            </w:pPr>
            <w:r w:rsidRPr="008A6153">
              <w:rPr>
                <w:rFonts w:ascii="Times New Roman" w:eastAsia="Times New Roman" w:hAnsi="Times New Roman" w:cs="Times New Roman"/>
                <w:color w:val="000000"/>
                <w:lang w:val="fr-FR" w:eastAsia="en-GB"/>
              </w:rPr>
              <w:t>1</w:t>
            </w:r>
          </w:p>
        </w:tc>
        <w:tc>
          <w:tcPr>
            <w:tcW w:w="5274" w:type="dxa"/>
            <w:tcBorders>
              <w:left w:val="nil"/>
              <w:bottom w:val="single" w:sz="4" w:space="0" w:color="auto"/>
              <w:right w:val="nil"/>
            </w:tcBorders>
            <w:shd w:val="clear" w:color="000000" w:fill="FFFFFF"/>
          </w:tcPr>
          <w:p w14:paraId="13379609" w14:textId="1EB4A168" w:rsidR="00663667" w:rsidRPr="00FF4B56" w:rsidRDefault="00CB5208" w:rsidP="00663667">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fldChar w:fldCharType="begin"/>
            </w:r>
            <w:r w:rsidRPr="008A6153">
              <w:rPr>
                <w:rFonts w:ascii="Times New Roman" w:eastAsia="Times New Roman" w:hAnsi="Times New Roman" w:cs="Times New Roman"/>
                <w:color w:val="000000"/>
                <w:lang w:val="fr-FR" w:eastAsia="en-GB"/>
              </w:rPr>
              <w:instrText xml:space="preserve"> ADDIN ZOTERO_ITEM CSL_CITATION {"citationID":"akS0SApc","properties":{"formattedCitation":"(Bergez et al. 2022)","plainCitation":"(Bergez et al. 2022)","noteIndex":0},"citationItems":[{"id":3261,"uris":["http://zotero.org/users/7734624/items/MIMRDVWW"],"itemData":{"id":3261,"type":"article-journal","abstract":"Groundwater irrigation is essential to sustain food production, and aquifer depletion represents a major sustainability challenge for humanity. There is a need for adequate modelling tools to assess the impacts of farming practices on groundwater resources with policy-makers and farmers in different contexts, especially in the case of smallholder farms in the tropics. We introduce the NIRAVARI model, which was designed to represent the Indian farming and water resource context. NIRAVARI is a parsimonious model integrating biophysical and decisional processes dealing with the farming system and the water table processes. A specific focus is given to how to irrigate with multiple water resources. Its formalisms include equations from well-tested published models for soil moisture and plant water stress simulations. The programming and graphic user interface is based on Excel VBA. We illustrate the ability of NIRAVARI to simulate a broad range of farmer adaptation strategies using four scenarios of cropping systems and water re</w:instrText>
            </w:r>
            <w:r>
              <w:rPr>
                <w:rFonts w:ascii="Times New Roman" w:eastAsia="Times New Roman" w:hAnsi="Times New Roman" w:cs="Times New Roman"/>
                <w:color w:val="000000"/>
                <w:lang w:eastAsia="en-GB"/>
              </w:rPr>
              <w:instrText xml:space="preserve">sources policies, and therefore, its interest for participatory scenario design and assessment with stakeholders.","container-title":"Water","DOI":"10.3390/w14203211","ISSN":"2073-4441","issue":"20","journalAbbreviation":"Water","language":"en","license":"https://creativecommons.org/licenses/by/4.0/","page":"3211","source":"DOI.org (Crossref)","title":"NIRAVARI: A Parsimonious Bio-Decisional Model for Assessing the Sustainability and Vulnerability of Rainfed or Groundwater-Irrigated Farming Systems in Indian Agriculture","title-short":"NIRAVARI","volume":"14","author":[{"family":"Bergez","given":"Jacques-Eric"},{"family":"Baccar","given":"Mariem"},{"family":"Sekhar","given":"Muddu"},{"family":"Ruiz","given":"Laurent"}],"issued":{"date-parts":[["2022",10,12]]},"citation-key":"bergez_etal_2022"}}],"schema":"https://github.com/citation-style-language/schema/raw/master/csl-citation.json"} </w:instrText>
            </w:r>
            <w:r>
              <w:rPr>
                <w:rFonts w:ascii="Times New Roman" w:eastAsia="Times New Roman" w:hAnsi="Times New Roman" w:cs="Times New Roman"/>
                <w:color w:val="000000"/>
                <w:lang w:eastAsia="en-GB"/>
              </w:rPr>
              <w:fldChar w:fldCharType="separate"/>
            </w:r>
            <w:r w:rsidRPr="00CB5208">
              <w:rPr>
                <w:rFonts w:ascii="Times New Roman" w:hAnsi="Times New Roman" w:cs="Times New Roman"/>
              </w:rPr>
              <w:t>(Bergez et al. 2022)</w:t>
            </w:r>
            <w:r>
              <w:rPr>
                <w:rFonts w:ascii="Times New Roman" w:eastAsia="Times New Roman" w:hAnsi="Times New Roman" w:cs="Times New Roman"/>
                <w:color w:val="000000"/>
                <w:lang w:eastAsia="en-GB"/>
              </w:rPr>
              <w:fldChar w:fldCharType="end"/>
            </w:r>
          </w:p>
        </w:tc>
      </w:tr>
      <w:tr w:rsidR="00663667" w:rsidRPr="00AF6801" w14:paraId="1AAADCBE" w14:textId="78C05708" w:rsidTr="00663667">
        <w:trPr>
          <w:trHeight w:val="288"/>
        </w:trPr>
        <w:tc>
          <w:tcPr>
            <w:tcW w:w="0" w:type="auto"/>
            <w:tcBorders>
              <w:top w:val="nil"/>
              <w:left w:val="nil"/>
              <w:bottom w:val="nil"/>
              <w:right w:val="nil"/>
            </w:tcBorders>
            <w:shd w:val="clear" w:color="000000" w:fill="FFFFFF"/>
          </w:tcPr>
          <w:p w14:paraId="1C65B94A" w14:textId="77777777" w:rsidR="00663667" w:rsidRPr="00FF4B56" w:rsidRDefault="00663667" w:rsidP="00663667">
            <w:pPr>
              <w:spacing w:after="0" w:line="360" w:lineRule="auto"/>
              <w:rPr>
                <w:rFonts w:ascii="Times New Roman" w:eastAsia="Times New Roman" w:hAnsi="Times New Roman" w:cs="Times New Roman"/>
                <w:color w:val="000000"/>
                <w:lang w:eastAsia="en-GB"/>
              </w:rPr>
            </w:pPr>
          </w:p>
        </w:tc>
        <w:tc>
          <w:tcPr>
            <w:tcW w:w="1848" w:type="dxa"/>
            <w:tcBorders>
              <w:top w:val="single" w:sz="4" w:space="0" w:color="auto"/>
              <w:left w:val="nil"/>
              <w:bottom w:val="nil"/>
              <w:right w:val="nil"/>
            </w:tcBorders>
            <w:shd w:val="clear" w:color="000000" w:fill="FFFFFF"/>
            <w:noWrap/>
            <w:hideMark/>
          </w:tcPr>
          <w:p w14:paraId="193E6783" w14:textId="631AF63F" w:rsidR="00663667" w:rsidRPr="00FF4B56"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Tightness of feedbacks</w:t>
            </w:r>
          </w:p>
        </w:tc>
        <w:tc>
          <w:tcPr>
            <w:tcW w:w="5310" w:type="dxa"/>
            <w:tcBorders>
              <w:top w:val="single" w:sz="4" w:space="0" w:color="auto"/>
              <w:left w:val="nil"/>
              <w:bottom w:val="nil"/>
              <w:right w:val="nil"/>
            </w:tcBorders>
            <w:shd w:val="clear" w:color="000000" w:fill="FFFFFF"/>
            <w:noWrap/>
            <w:hideMark/>
          </w:tcPr>
          <w:p w14:paraId="0A15C324" w14:textId="20BE0072" w:rsidR="00663667" w:rsidRPr="00FF4B56"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Feed produced for livestock</w:t>
            </w:r>
          </w:p>
        </w:tc>
        <w:tc>
          <w:tcPr>
            <w:tcW w:w="1350" w:type="dxa"/>
            <w:tcBorders>
              <w:top w:val="single" w:sz="4" w:space="0" w:color="auto"/>
              <w:left w:val="nil"/>
              <w:bottom w:val="nil"/>
              <w:right w:val="nil"/>
            </w:tcBorders>
            <w:shd w:val="clear" w:color="000000" w:fill="FFFFFF"/>
            <w:noWrap/>
            <w:hideMark/>
          </w:tcPr>
          <w:p w14:paraId="7FEBF88B" w14:textId="22CC61BB" w:rsidR="00663667" w:rsidRPr="00FF4B56" w:rsidRDefault="00663667" w:rsidP="00663667">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w:t>
            </w:r>
          </w:p>
        </w:tc>
        <w:tc>
          <w:tcPr>
            <w:tcW w:w="5274" w:type="dxa"/>
            <w:tcBorders>
              <w:top w:val="single" w:sz="4" w:space="0" w:color="auto"/>
              <w:left w:val="nil"/>
              <w:right w:val="nil"/>
            </w:tcBorders>
            <w:shd w:val="clear" w:color="000000" w:fill="FFFFFF"/>
          </w:tcPr>
          <w:p w14:paraId="05D7D767" w14:textId="63B0F27D" w:rsidR="00663667" w:rsidRPr="00FF4B56"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8A6153">
              <w:rPr>
                <w:rFonts w:ascii="Times New Roman" w:eastAsia="Times New Roman" w:hAnsi="Times New Roman" w:cs="Times New Roman"/>
                <w:color w:val="000000"/>
                <w:lang w:eastAsia="en-GB"/>
              </w:rPr>
              <w:instrText xml:space="preserve"> ADDIN ZOTERO_ITEM CSL_CITATION {"citationID":"aKMw0RDV","properties":{"formattedCitation":"(Lurette et al. 2013; Martin and Magne 2015; Phelan et al. 2015; Iglesias et al. 2016; Lopez-Ridaura et al. 2018; Ghahramani and Bowran 2018; Ghahramani et al. 2020; Varadan et al. 2022; Monjardino et al. 2022; Pinsard et al. 2023; Sanou et al. 2023)","plainCitation":"(Lurette et al. 2013; Martin and Magne 2015; Phelan et al. 2015; Iglesias et al. 2016; Lopez-Ridaura et al. 2018; Ghahramani and Bowran 2018; Ghahramani et al. 2020; Varadan et al. 2022; Monjardino et al. 2022; Pinsard et al. 2023; Sanou et al. 2023)","noteIndex":0},"citationItems":[{"id":703,"uris":["http://zotero.org/users/7734624/items/U888CWGY"],"itemData":{"id":703,"type":"article-journal","abstract":"In recent decades, dairy herds of the peri-Mediterranean area have coped with high climatic variability, which has contributed to weakening their economic equilibrium. Survey studies highlighted that climatic impact depends on the strategies of farmers, related to forage autonomy. To explain this observation precisely and assess the opportunity of changing forage strategy as an adaptation to cope with climatic variability over the long term, a simulator was developed to explore the impact of several biomass production variability scenarios on forage purchases. This approach was applied on dairy cattle farms in a mountain area in the South of France (Ardeche), with forage systems based on grass (hay and pasture), using several levels of forage autonomy. A computer application was developed through a partnership project between our research team and officers of an extension board. We then validated the ability of the simulator to account for the operation of special cases of farms after calibration and studied the model sensitivity to key parameter variations. Then we explored (i) how the simulator can be used to assess the sensitivity of six dairy farms to biomass production variability and (ii) the value of an adaptation strategy with advance forage stockpiling. The sensitivity analysis highlights that the purchase of forage was highly sensitive to production variation during March, April and May. The farms which used grazing the most, exhibited a lower standard deviation than the other farms. Variation obtained for the standard deviation of forage bought was not only explained by the forage autonomy but might depend on other characteristics such as time of turnout and surface allocation. The succession of disadvantageous years was tested. The decrease in the stock differed according to the forage autonomy of farms. Whereas farms which were only just autonomous bought forage as of the first disadvantageous year, farms with forage autonomy of 120% can resist repeated biomass production variability for 8 years with the constitution of remaining stocks of forage. The simulator developed here is simple enough both to explore the sensitivity of a dairy system and promote the debate on the results with farmers and advisers. (c) 2013 Elsevier B.V. All rights reserved.","container-title":"COMPUTERS AND ELECTRONICS IN AGRICULTURE","DOI":"10.1016/j.compag.2013.01.008","ISSN":"0168-1699","language":"English","note":"publisher-place: THE BOULEVARD, LANGFORD LANE, KIDLINGTON, OXFORD OX5 1GB, OXON, ENGLAND\npublisher: ELSEVIER SCI LTD\ntype: Article","page":"27-36","title":"A simple model to assess the sensitivity of grassland dairy systems to scenarios of seasonal biomass production variability","volume":"93","author":[{"family":"Lurette","given":"A."},{"family":"Aubron","given":"C."},{"family":"Moulin","given":"C. -H."}],"issued":{"date-parts":[["2013",4]]},"citation-key":"lurette_etal_2013"}},{"id":931,"uris":["http://zotero.org/users/7734624/items/2IDL35WJ"],"itemData":{"id":931,"type":"article-journal","abstract":"Greater diversity (i.e., variety, balance and disparity) within agricultural systems is often suggested as a solution to promote redundancy within such systems and therefore increase their adaptive capacity and reduce their vulnerability against climate change and variability. Yet this assumption relies upon the gathering and integration of field- and herd-scale results at the farm scale. We have conducted a farm-scale simulation-based study to evaluate the potential for increasing adaptive capacity and reducing vulnerability of livestock systems to weather variability through increase of their agricultural diversity. We manipulate in the simulation, factors of change in the livestock systems resulting in less diverse and more diverse livestock systems to be simulated. We assume, a priori, that certain combinations of the factored system components bring redundancy in the system and in turn increase its adaptive capacity and reduce its vulnerability against weather variability. Simulated factors of change are: F1: a change in the ratio of the area mechanically harvested (vs. grazed) to the whole farm area; F2: a change in the crops and grassland types grown or in the distribution of the area between crops and/or grassland types; F3: a change in calving periods from one season to another. The simulation plan includes a baseline scenario without changes and scenarios corresponding to all possible combinations of F1–F3. These scenarios are applied to four livestock systems located on a diagonal across France over a succession of four years with varying weather conditions. In these systems, self-sufficiency for forage is jeopardized by unfavorable years, and this may increase animal feeding costs. Thus we consider that adaptive capacity increases and vulnerability decreases as long as self-sufficiency for forage is achieved without increasing animal feeding costs. Results confirm the potential for increasing adaptive capacity and reducing vulnerability of livestock systems to weather variability through increase of their agricultural diversity. For instance, F2 has three main kinds of impacts on self-sufficiency for forage: (i) it yields significant average improvements by 34%, 43%, 36% and 36% across livestock systems for the four successive years, (ii) it buffers year-to-year variations and (iii) the final level of self-sufficiency is higher than the initial one even after two years with unfavorable weather conditions. Moreover, simulated changes do not increase animal feeding costs. Thus our results provide empirical evidence at the farm scale to supplement literature reviews based on field- and herd-scale results. They also confirm that through easily implementable on-farm changes, adaptive capacity can be increased and vulnerability of agricultural systems to weather variability decreased.","container-title":"Agriculture, Ecosystems &amp; Environment","DOI":"10.1016/j.agee.2014.10.006","ISSN":"0167-8809","journalAbbreviation":"Agriculture, Ecosystems &amp; Environment","language":"en","page":"301-311","source":"ScienceDirect","title":"Agricultural diversity to increase adaptive capacity and reduce vulnerability of livestock systems against weather variability – A farm-scale simulation study","volume":"199","author":[{"family":"Martin","given":"G."},{"family":"Magne","given":"M. A."}],"issued":{"date-parts":[["2015",1,1]]},"citation-key":"martin_magne_2015"}},{"id":934,"uris":["http://zotero.org/users/7734624/items/9IKMB9G3"],"itemData":{"id":934,"type":"article-journal","abstract":"Improved knowledge of the effects of climate change on farming systems can help increase long-term production, economic performance, and mitigate risk. Here we assessed the effects of stocking rate and seasonal calving times on pasture and milk production under short and long term climate changes on dairy farms in Tasmania, Australia. Annual and monthly perennial ryegrass pasture production was simulated from 1971 to 2065 to examine trends in pasture productivity, forage requirements, and impacts on milk production in 2015 and 2050. The projected future climate for the study region indicates a mean warming of up to 1.4°C, with moderate declines in rainfall of up to 5%. Despite lower rainfall, climate change will likely have a positive impact on pasture yields, with annual production increasing by 13–16%, even though summer growth is reduced and inter-annual variability is increased. We found that greater pasture production is conducive to greater forage conservation, and together these factors allow intensification of stocking rates. These effects increase milk yields by 3–16% per annum and reduce reliance on purchased feeds, which together implies greater profitability of cool-temperate Australian dairy systems under future climates. We also found that total milk production in a spring calving system allows greater stocking rates and pasture utilisation compared with an autumn calving system, and whilst milk produced per animal declines under higher stocking rates, milk yield per hectare increases. Overall, our results suggest that global warming and climate change will positively affect pasture growth rates in Tasmania, and that greater production and conservation of home-grown feeds will be conducive to increased farm milk yields, provided that stocking rates are intensified sustainably.","container-title":"Agricultural Systems","DOI":"10.1016/j.agsy.2015.05.005","ISSN":"0308-521X","journalAbbreviation":"Agricultural Systems","language":"en","page":"46-54","source":"ScienceDirect","title":"Management opportunities for boosting productivity of cool-temperate dairy farms under climate change","volume":"138","author":[{"family":"Phelan","given":"David C."},{"family":"Harrison","given":"Matthew T."},{"family":"Kemmerer","given":"Ernst P."},{"family":"Parsons","given":"David"}],"issued":{"date-parts":[["2015",9,1]]},"citation-key":"phelan_etal_2015"}},{"id":685,"uris":["http://zotero.org/users/7734624/items/X3W42748"],"itemData":{"id":685,"type":"article-journal","abstract":"Extensive grazing activities in the Mediterranean area will have to confront an increasing risk of drought. This threat poses a challenge to the long-term viability of these activities that play an important role in rural development and have traditionally shaped highly valued ecosystems such as the Dehesa landscape in the Iberian Peninsula. The aim of this research is to assess the economic impact of drought on this extensive livestock farming system and evaluate the potential of adaptation strategies such as reducing the stocking rate. A dynamic and stochastic bioeconomic model is developed to account for the complex climatic, ecologic and economic relationships at play during drought. We simulate the 1999–2010 weather time series to characterize seasonal patterns and evaluate the risk caused by drought spells. We assess the consequences of drought in terms of duration, frequency and intensity, finding that economic losses increase at an increasing rate with long lasting droughts. Our findings reveal different patterns between climate and economic risk variables. The risk of a climate shock concentrates in spring and the beginning of autumn while the risk of suffering economic losses occurs with a 3–4 weeks delay and lasts for a longer period of time. We integrate Monte Carlo routines in our simulation model to assess risk exposure and propose the use of Value-at-Risk to capture downside risk at different thresholds. Our simulation results show that the farmer may have to confront annual economic losses above 22.9% with a 5% probability in the current or baseline scenario. Finally, we use the model as a tool to evaluate the potential of adaptation strategies such as increasing or reducing the stocking rate. We find that the former has rather limited impact on average income as compared to the later but both show significant impacts on risk exposure, which may entail important economic consequences. In particular, we find that increasing the stocking rate by 20% decreases the probability of incurring moderate losses, from 45.0% to 40.6%. Furthermore, it also increases the probability of favourable outcomes, from 50.0% to 52.0%. However, this comes at the expense of a significant increase in the chance of experiencing severe economic impacts, from 5 to 6.9%. On the contrary, reducing the stocking rate by 20% reduces the chance of severe impacts from 5% to 3.7%, but also entails an increase in the probability of moderate losses and a significant drop in the probability of experiencing a favourable outcome. © 2016 Elsevier B.V.","container-title":"Agricultural Systems","DOI":"10.1016/j.agsy.2016.07.017","ISSN":"0308521X","language":"English","note":"publisher: Elsevier Ltd","page":"65-74","title":"Assessing drought risk in Mediterranean Dehesa grazing lands","volume":"149","author":[{"family":"Iglesias","given":"E."},{"family":"Báez","given":"K."},{"family":"Diaz-Ambrona","given":"C.H."}],"issued":{"date-parts":[["2016"]]},"citation-key":"iglesias_etal_2016"}},{"id":351,"uris":["http://zotero.org/users/7734624/items/VMQZYXSU"],"itemData":{"id":351,"type":"article-journal","abstract":"One of the great challenges in agricultural development and sustainable intensiﬁcation is the assurance of social equity in food security oriented interventions. Development practitioners, researchers, and policy makers alike could beneﬁt from prior insight into what interventions or environmental shocks might diﬀerentially aﬀect farmers' food security status, in order to move towards more informed and equitable development. We examined the food security status and livelihood activities of 269 smallholder farm households (HHs) in Bihar, India. Proceeding with a four-step analysis, we ﬁrst applied a multivariate statistical methodology to diﬀerentiate ﬁve primary farming system types. We next applied an indicator of food security in the form of HH potential food availability (PFA), and examined the contribution of crop, livestock, and on- and oﬀ-farm income generation to PFA within each farm HH type. Lastly, we applied scenario analysis to examine the potential impact of the adoption of ‘climate smart’ agricultural (CSA) practices in the form of conservation agriculture (CA) and improved livestock husbandry, and environmental shocks on HH PFA. Our results indicate that compared to livestock interventions, CA may hold considerable potential to boost HH PFA, though primarily for wealthier and medium-scale cereal farmers. These farm HH types were however considerably more vulnerable to food insecurity risks resulting from simulated drought, while part-time farmers and resource-poor agricultural laborers generating income from oﬀ-farm pursuits were comparatively less vulnerable, due in part to their more diversiﬁed income sources and potential to migrate in search of work. Our results underscore the importance of prior planning for development initiatives aimed at increasing smallholder food security while maintaining social equity, while providing a robust methodology to vet the implications of agricultural interventions on an ex ante basis.","container-title":"Agricultural Systems","DOI":"10.1016/j.agsy.2017.09.007","ISSN":"0308521X","journalAbbreviation":"Agricultural Systems","language":"en","page":"57-68","source":"DOI.org (Crossref)","title":"Climate smart agriculture, farm household typologies and food security","volume":"159","author":[{"family":"Lopez-Ridaura","given":"Santiago"},{"family":"Frelat","given":"Romain"},{"family":"Wijk","given":"Mark T.","non-dropping-particle":"van"},{"family":"Valbuena","given":"Diego"},{"family":"Krupnik","given":"Timothy J."},{"family":"Jat","given":"M.L."}],"issued":{"date-parts":[["2018",1]]},"citation-key":"lopez-ridaura_etal_2018"}},{"id":688,"uris":["http://zotero.org/users/7734624/items/U6MX8V6V"],"itemData":{"id":688,"type":"article-journal","abstract":"Mixed crop-livestock farming systems provide food for more than half of the world's population. These agricultural systems are predicted to be vulnerable to climate change and therefore require transformative adaptations. In collaboration with farmers in the wheatbelt of Western Australia (WA), a range of systemic and transformative adaptation options, e.g. land use change, were designed for the modelled climate change projected to occur in 2030 (0.4-1.4 degrees increase in mean temperature). The effectiveness of the adaptation options was evaluated using coupled crop and livestock biophysical models within an economic and environmental framework at both the enterprise and farm scales. The relative changes in economic return and environmental variables in 2030 are presented in comparison with a baseline period (1970-2010). The analysis was performed on representative farm systems across a rainfall transect. Under the impact of projected climate change, the economic returns of the current farms without adaptation declined by between 2 and 47%, with a few exceptions where profit increased by up to 4%. When the adaptations were applied for 2030, profit increased at the high rainfall site in the range between 78 and 81% through a 25% increase in the size of livestock enterprise and adjustment in sowing dates, but such profit increases were associated with 6-10% increase in greenhouse gas (GHG) emissions. At the medium rainfall site, a 100% increase in stocking rate resulted in 5% growth in profit but with a 61-71% increase in GHG emissions and the increased likelihood of soil degradation. At the relatively low rainfall site, a 75% increase in livestock when associated with changes in crop management resulted in greater profitability and a smaller risk of soil erosion. This research identified that a shift toward a greater livestock enterprises (stocking rate and pasture area) could be a profitable and low-risk approach and may have most relevance in years with extremely low rainfall. If transformative adaptations are adopted then there will be an increased requirement for an emissions control policy due to livestock GHG emissions, while there would be also need for soil conservation strategies to be implemented during dry periods. The adoption rate analysis with producers suggests there would be a greater adoption rate for less intensified adaptations even if they are transformative. Overall the current systems would be more resilient with the adaptations, but there may be challenges in terms of environmental sustainability and in particular with soil conservation.","container-title":"Agricultural Systems","DOI":"10.1016/j.agsy.2018.04.011","ISSN":"0308-521X","page":"236–251","title":"Transformative and systemic climate change adaptations in mixed crop livestock farming systems UR -://WOS:000437075800020","title-short":"Transformative and systemic climate change adaptations in mixed crop livestock farming systems","volume":"164","author":[{"family":"Ghahramani","given":"A."},{"family":"Bowran","given":"D."}],"issued":{"date-parts":[["2018",7]]},"citation-key":"ghahramani_bowran_2018"}},{"id":689,"uris":["http://zotero.org/users/7734624/items/83R23C92"],"itemData":{"id":689,"type":"article-journal","abstract":"Mixed crop-livestock farming systems provide food for over half of the global population. However, some important food exporting countries, like Australia, are predicted to be vulnerable to climate change and may require transformative adaptations if they are to continue their role in food exportation. This paper assesses the potential impacts of projected climate change by 2030 (0.4–1.6° increase in mean temperature) on Australian mixed crop-livestock systems and examines the consequences of shifts in land allocations to cropping and grazing, in these systems, as an adaptation option. Farm bio-economic simulation models were developed for these mixed enterprise systems in several regions of Australia. These models were based on biophysically coupled crop, pasture, and livestock simulation models that in turn drew on site-based downscaled climate projection datasets. The farm models calculated farm profitability and risk measures. A range of land use changes was investigated. At drier locations facing adverse climate change, results showed a transition towards a greater emphasis on livestock production could be beneficial when assessed against multiple criteria of farm profit, downside financial risk, and environmental damage. We highlight some industry and government actions and policies that could facilitate these preferred adaptation strategies at such locations. © 2020 Elsevier Ltd","container-title":"Agricultural Systems","DOI":"10.1016/j.agsy.2020.102791","ISSN":"0308521X","language":"English","note":"publisher: Elsevier Ltd","title":"Land use change in Australian mixed crop-livestock systems as a transformative climate change adaptation","URL":"https://www.scopus.com/inward/record.uri?eid=2-s2.0-85078469101&amp;doi=10.1016%2fj.agsy.2020.102791&amp;partnerID=40&amp;md5=4d047851d67ef1e9732204f94c8d5df0","volume":"180","author":[{"family":"Ghahramani","given":"A."},{"family":"Kingwell","given":"R.S."},{"family":"Maraseni","given":"T.N."}],"issued":{"date-parts":[["2020"]]},"citation-key":"ghahramani_etal_2020"}},{"id":3612,"uris":["http://zotero.org/users/7734624/items/RX5DCEGB"],"itemData":{"id":3612,"type":"article-journal","abstract":"The complexities of smallholder farming systems pose a challenge in demonstrating the potential benefits or risks of new technologies and policies. Using Integrated Analysis Tool, a rule-based dynamic simulation model, this study tried to improve the performance of major farming systems in the Tamil Nadu State of India. Amongst the four major farming systems viz. Black gram-based (BFS), Paddy-based (PFS), and Integrated Farming Systems (IFS) in Villupuram district and Dryland Farming System (DFS) in Virudhunagar district, IFS was found to be the most profitable and resilient based on their performance simulated for a 3-year rotation. Setting IFS as a benchmark, potential interventions were evaluated under other farming systems to improve their relative performance. The analysis allowed understanding the interactions in smallholder farming systems and the potential impact of interventions in a whole farm way considering the cash flows, cost intensity, and input-output trade-offs. While multi-bloom technology in black gram increased the net profit of BFS without much stress on input and labour, area expansion under rainfed groundnut incurred high expenditure. Trading-off paddy with maize and groundnut significantly increased the net profit of PFS but replacing sugarcane with tapioca and turmeric was not remunerative. Improved livestock management practices have substantially increased the net profit of DFS wherein crop yield could not be enhanced substantially without the prospects of good irrigation infrastructure. The irrigation endowed PFS has achieved 90% performance, whereas the water-starved BFS and DFS could achieve only 65% performance of IFS. We conclude that agricultural policy must not only focus on potential interventions that are profitable but also consider what is acceptable to the farmer, considering synergies and trade-offs between competing resources at the farm level.","container-title":"Outlook on Agriculture","DOI":"10.1177/00307270221077380","ISSN":"0030-7270","issue":"2","journalAbbreviation":"Outlook Agric","language":"en","note":"publisher: SAGE Publications Ltd","page":"197-212","source":"SAGE Journals","title":"Technology, infrastructure and enterprise trade-off: Strengthening smallholder farming systems in Tamil Nadu State of India for sustainable income and food security","title-short":"Technology, infrastructure and enterprise trade-off","volume":"51","author":[{"family":"Varadan","given":"R Jayakumara"},{"family":"Mamidanna","given":"Sravya"},{"family":"Kumar","given":"Shalander"},{"family":"Ahmed","given":"SK Zamir"},{"family":"Jaisankar","given":"I"}],"issued":{"date-parts":[["2022",6,1]]},"citation-key":"varadan_etal_2022"}},{"id":3360,"uris":["http://zotero.org/users/7734624/items/62UBYFFE"],"itemData":{"id":3360,"type":"article-journal","container-title":"Agricultural Systems","DOI":"10.1016/j.agsy.2022.103519","ISSN":"0308521X","journalAbbreviation":"Agricultural Systems","language":"en","page":"103519","source":"DOI.org (Crossref)","title":"Improved legume pastures increase economic value, resilience and sustainability of crop-livestock systems","volume":"203","author":[{"family":"Monjardino","given":"Marta"},{"family":"Loi","given":"Angelo"},{"family":"Thomas","given":"Dean T."},{"family":"Revell","given":"Clinton K."},{"family":"Flohr","given":"Bonnie M."},{"family":"Llewellyn","given":"Rick S."},{"family":"Norman","given":"Hayley C."}],"issued":{"date-parts":[["2022",12]]},"citation-key":"monjardino_etal_2022"}},{"id":3256,"uris":["http://zotero.org/users/7734624/items/R2G3F2GY"],"itemData":{"id":3256,"type":"article-journal","container-title":"Agronomy for Sustainable Development","DOI":"10.1007/s13593-023-00883-y","ISSN":"1774-0746, 1773-0155","issue":"2","journalAbbreviation":"Agron. Sustain. Dev.","language":"en","page":"33","source":"DOI.org (Crossref)","title":"Strategies for future robust meat production and climate change mitigation under imported input constraints in Alentejo, Portugal","volume":"43","author":[{"family":"Pinsard","given":"Corentin"},{"family":"Morais","given":"Tiago G."},{"family":"Domingos","given":"Tiago"},{"family":"Accatino","given":"Francesco"},{"family":"Teixeira","given":"Ricardo F. M."}],"issued":{"date-parts":[["2023",4]]},"citation-key":"pinsard_etal_2023"}},{"id":3318,"uris":["http://zotero.org/users/7734624/items/BVAW9QTB"],"itemData":{"id":3318,"type":"article-journal","abstract":"Abstract\n            \n            Climate change adversely impacts food and feed production, depletes water, and increases the vulnerability of the people living within arid and semi-arid areas. The current study aims to assess crop–livestock water productivity within such drought-recurrent or water-stressed regions. This was done through secondary data collection and interviews from 589 households across the Sudan, Sudan–Sahel, and Sahel climatic zones </w:instrText>
            </w:r>
            <w:r w:rsidR="008A6153" w:rsidRPr="008A6153">
              <w:rPr>
                <w:rFonts w:ascii="Times New Roman" w:eastAsia="Times New Roman" w:hAnsi="Times New Roman" w:cs="Times New Roman"/>
                <w:color w:val="000000"/>
                <w:lang w:val="fr-FR" w:eastAsia="en-GB"/>
              </w:rPr>
              <w:instrText xml:space="preserve">of Burkina Faso. The findings confirm that the feeding strategies of livestock were based essentially on natural pasture, crop residues, and agricultural by-products. Moreover, crop–livestock total water productivity (TWP) was found generally higher in the Sudan zone (0.29 ± 0.02 $US/m3) characterized by more favorable climatic conditions than the Sudan–Sahel and Sahel regions that experienced a similar TWP (0.21 ± 0.01 $US/m3). The research gives insight into the valuation of virtual water contained in livestock feeds. Improving the accessibility in quantity and quality of such feeds through informed policy actions could enhance returns on transpired water. Additionally, other water harvesting and conservation methods are also essential to sustain more productive crop–livestock systems within water-stressed regions like Burkina Faso.","container-title":"Water Practice &amp; Technology","DOI":"10.2166/wpt.2023.162","ISSN":"1751-231X","issue":"11","language":"en","page":"2577-2591","source":"DOI.org (Crossref)","title":"Assessing crop–livestock water productivity in mixed-farming systems across climatic zones of Burkina Faso","volume":"18","author":[{"family":"Sanou","given":"Charles Lamoussa"},{"family":"Agodzo","given":"Sampson Kwaku"},{"family":"Bessah","given":"Enoch"},{"family":"Antwi-Agyei","given":"Philip"}],"issued":{"date-parts":[["2023",11,1]]},"citation-key":"sanou_etal_2023"}}],"schema":"https://github.com/citation-style-language/schema/raw/master/csl-citation.json"}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8A6153" w:rsidRPr="008A6153">
              <w:rPr>
                <w:rFonts w:ascii="Times New Roman" w:hAnsi="Times New Roman" w:cs="Times New Roman"/>
                <w:lang w:val="fr-FR"/>
              </w:rPr>
              <w:t>(Lurette et al. 2013; Martin and Magne 2015; Phelan et al. 2015; Iglesias et al. 2016; Lopez-Ridaura et al. 2018; Ghahramani and Bowran 2018; Ghahramani et al. 2020; Varadan et al. 2022; Monjardino et al. 2022; Pinsard et al. 2023; Sanou et al. 2023)</w:t>
            </w:r>
            <w:r w:rsidRPr="00FF4B56">
              <w:rPr>
                <w:rFonts w:ascii="Times New Roman" w:eastAsia="Times New Roman" w:hAnsi="Times New Roman" w:cs="Times New Roman"/>
                <w:color w:val="000000"/>
                <w:lang w:eastAsia="en-GB"/>
              </w:rPr>
              <w:fldChar w:fldCharType="end"/>
            </w:r>
          </w:p>
        </w:tc>
      </w:tr>
      <w:tr w:rsidR="00663667" w:rsidRPr="008A6153" w14:paraId="65C100A4" w14:textId="44BB652E" w:rsidTr="00406364">
        <w:trPr>
          <w:trHeight w:val="288"/>
        </w:trPr>
        <w:tc>
          <w:tcPr>
            <w:tcW w:w="0" w:type="auto"/>
            <w:tcBorders>
              <w:top w:val="nil"/>
              <w:left w:val="nil"/>
              <w:bottom w:val="nil"/>
              <w:right w:val="nil"/>
            </w:tcBorders>
            <w:shd w:val="clear" w:color="000000" w:fill="FFFFFF"/>
          </w:tcPr>
          <w:p w14:paraId="534FD119" w14:textId="77777777" w:rsidR="00663667" w:rsidRPr="00FF4B56"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hideMark/>
          </w:tcPr>
          <w:p w14:paraId="27E31C66" w14:textId="722A140B" w:rsidR="00663667" w:rsidRPr="00FF4B56"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val="fr-FR" w:eastAsia="en-GB"/>
              </w:rPr>
              <w:t> </w:t>
            </w:r>
          </w:p>
        </w:tc>
        <w:tc>
          <w:tcPr>
            <w:tcW w:w="5310" w:type="dxa"/>
            <w:tcBorders>
              <w:top w:val="nil"/>
              <w:left w:val="nil"/>
              <w:bottom w:val="nil"/>
              <w:right w:val="nil"/>
            </w:tcBorders>
            <w:shd w:val="clear" w:color="000000" w:fill="FFFFFF"/>
            <w:noWrap/>
            <w:hideMark/>
          </w:tcPr>
          <w:p w14:paraId="4EC53172" w14:textId="6020137C" w:rsidR="00663667" w:rsidRPr="00FF4B56" w:rsidRDefault="00663667" w:rsidP="00663667">
            <w:pPr>
              <w:spacing w:after="0" w:line="360" w:lineRule="auto"/>
              <w:rPr>
                <w:rFonts w:ascii="Times New Roman" w:eastAsia="Times New Roman" w:hAnsi="Times New Roman" w:cs="Times New Roman"/>
                <w:color w:val="000000"/>
                <w:lang w:val="fr-FR" w:eastAsia="en-GB"/>
              </w:rPr>
            </w:pPr>
            <w:proofErr w:type="spellStart"/>
            <w:r w:rsidRPr="00FF4B56">
              <w:rPr>
                <w:rFonts w:ascii="Times New Roman" w:eastAsia="Times New Roman" w:hAnsi="Times New Roman" w:cs="Times New Roman"/>
                <w:color w:val="000000"/>
                <w:lang w:val="fr-FR" w:eastAsia="en-GB"/>
              </w:rPr>
              <w:t>Crop</w:t>
            </w:r>
            <w:proofErr w:type="spellEnd"/>
            <w:r w:rsidRPr="00FF4B56">
              <w:rPr>
                <w:rFonts w:ascii="Times New Roman" w:eastAsia="Times New Roman" w:hAnsi="Times New Roman" w:cs="Times New Roman"/>
                <w:color w:val="000000"/>
                <w:lang w:val="fr-FR" w:eastAsia="en-GB"/>
              </w:rPr>
              <w:t xml:space="preserve"> </w:t>
            </w:r>
            <w:proofErr w:type="spellStart"/>
            <w:r w:rsidRPr="00FF4B56">
              <w:rPr>
                <w:rFonts w:ascii="Times New Roman" w:eastAsia="Times New Roman" w:hAnsi="Times New Roman" w:cs="Times New Roman"/>
                <w:color w:val="000000"/>
                <w:lang w:val="fr-FR" w:eastAsia="en-GB"/>
              </w:rPr>
              <w:t>residues</w:t>
            </w:r>
            <w:proofErr w:type="spellEnd"/>
            <w:r w:rsidRPr="00FF4B56">
              <w:rPr>
                <w:rFonts w:ascii="Times New Roman" w:eastAsia="Times New Roman" w:hAnsi="Times New Roman" w:cs="Times New Roman"/>
                <w:color w:val="000000"/>
                <w:lang w:val="fr-FR" w:eastAsia="en-GB"/>
              </w:rPr>
              <w:t xml:space="preserve"> </w:t>
            </w:r>
            <w:proofErr w:type="spellStart"/>
            <w:r w:rsidRPr="00FF4B56">
              <w:rPr>
                <w:rFonts w:ascii="Times New Roman" w:eastAsia="Times New Roman" w:hAnsi="Times New Roman" w:cs="Times New Roman"/>
                <w:color w:val="000000"/>
                <w:lang w:val="fr-FR" w:eastAsia="en-GB"/>
              </w:rPr>
              <w:t>used</w:t>
            </w:r>
            <w:proofErr w:type="spellEnd"/>
            <w:r w:rsidRPr="00FF4B56">
              <w:rPr>
                <w:rFonts w:ascii="Times New Roman" w:eastAsia="Times New Roman" w:hAnsi="Times New Roman" w:cs="Times New Roman"/>
                <w:color w:val="000000"/>
                <w:lang w:val="fr-FR" w:eastAsia="en-GB"/>
              </w:rPr>
              <w:t xml:space="preserve"> as </w:t>
            </w:r>
            <w:proofErr w:type="spellStart"/>
            <w:r w:rsidRPr="00FF4B56">
              <w:rPr>
                <w:rFonts w:ascii="Times New Roman" w:eastAsia="Times New Roman" w:hAnsi="Times New Roman" w:cs="Times New Roman"/>
                <w:color w:val="000000"/>
                <w:lang w:val="fr-FR" w:eastAsia="en-GB"/>
              </w:rPr>
              <w:t>fodder</w:t>
            </w:r>
            <w:proofErr w:type="spellEnd"/>
          </w:p>
        </w:tc>
        <w:tc>
          <w:tcPr>
            <w:tcW w:w="1350" w:type="dxa"/>
            <w:tcBorders>
              <w:top w:val="nil"/>
              <w:left w:val="nil"/>
              <w:bottom w:val="nil"/>
              <w:right w:val="nil"/>
            </w:tcBorders>
            <w:shd w:val="clear" w:color="000000" w:fill="FFFFFF"/>
            <w:noWrap/>
            <w:hideMark/>
          </w:tcPr>
          <w:p w14:paraId="7E06CBAF" w14:textId="1AF6FA5C" w:rsidR="00663667" w:rsidRPr="00FF4B56" w:rsidRDefault="00663667" w:rsidP="00663667">
            <w:pPr>
              <w:spacing w:after="0" w:line="360" w:lineRule="auto"/>
              <w:rPr>
                <w:rFonts w:ascii="Times New Roman" w:eastAsia="Times New Roman" w:hAnsi="Times New Roman" w:cs="Times New Roman"/>
                <w:color w:val="000000"/>
                <w:lang w:val="fr-FR" w:eastAsia="en-GB"/>
              </w:rPr>
            </w:pPr>
            <w:r>
              <w:rPr>
                <w:rFonts w:ascii="Times New Roman" w:eastAsia="Times New Roman" w:hAnsi="Times New Roman" w:cs="Times New Roman"/>
                <w:color w:val="000000"/>
                <w:lang w:val="fr-FR" w:eastAsia="en-GB"/>
              </w:rPr>
              <w:t>4</w:t>
            </w:r>
          </w:p>
        </w:tc>
        <w:tc>
          <w:tcPr>
            <w:tcW w:w="5274" w:type="dxa"/>
            <w:tcBorders>
              <w:left w:val="nil"/>
              <w:right w:val="nil"/>
            </w:tcBorders>
            <w:shd w:val="clear" w:color="000000" w:fill="FFFFFF"/>
          </w:tcPr>
          <w:p w14:paraId="64257997" w14:textId="06A8FA46" w:rsidR="00663667" w:rsidRPr="008A6153"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8A6153">
              <w:rPr>
                <w:rFonts w:ascii="Times New Roman" w:eastAsia="Times New Roman" w:hAnsi="Times New Roman" w:cs="Times New Roman"/>
                <w:color w:val="000000"/>
                <w:lang w:val="fr-FR" w:eastAsia="en-GB"/>
              </w:rPr>
              <w:instrText xml:space="preserve"> ADDIN ZOTERO_ITEM CSL_CITATION {"citationID":"uEIfgj8g","properties":{"formattedCitation":"(Rigolot et al. 2017; Monjardino et al. 2021; Homann-Kee Tui et al. 2021; Sanou et al. 2023)","plainCitation":"(Rigolot et al. 2017; Monjardino et al. 2021; Homann-Kee Tui et al. 2021; Sanou et al. 2023)","noteIndex":0},"citationItems":[{"id":938,"uris":["http://zotero.org/users/7734624/items/6NDCKPE2"],"itemData":{"id":938,"type":"article-journal","abstract":"Smallholder crop–livestock farming systems have an important role to play for food security in Sub-Saharan Africa, but they have to cope with the effects of climate variability and change. In this study, we test the impacts of different interventions in two contrasting mixed farms in Northern Burkina Faso against the background of plausible current and future climate scenarios. For this purpose, we developed a dynamic farm-household modeling framework around existing tools: crop and animal production models APSIM and LivSim, the household model IAT and the climate generator Marksim. The two farms (a small and a larger) were selected and parameterized based on information collected in a household survey. Tested interventions included different crop fertilization and animal supplementation levels, mulching with crop residues and an alternative livestock feeding strategy. Baseline (2013) and a 2050 projection based on IPCC RCP 8.5 describe two climate scenarios (90years) for comparison. The maximum level of inputs increases farm energy production by +90% and +76% compared to the baseline for the small and the larger farm, respectively. Input levels maximizing net incomes are moderate, though higher than those currently used in both farms. The inter-annual distributions of net income show that the use of external inputs increases both upside and downside risks, i.e. the probability of getting both very high and very low results. This is because the interventions are more effective at increasing the highest yields in good years than at preventing the low production levels of some years. The 2050 climate scenario has a negative impact on energy production and potential income, especially for the scenarios with high input levels. Downside risks could partly explain why farmers do not currently use optimal input levels, and the results suggest that these constraints could intensify with climate change.","container-title":"Agricultural Systems","DOI":"10.1016/j.agsy.2015.12.017","ISSN":"0308-521X","journalAbbreviation":"Agricultural Systems","language":"en","page":"217-224","source":"ScienceDirect","title":"Interactions between intervention packages, climatic risk, climate change and food security in mixed crop–livestock systems in Burkina Faso","volume":"151","author":[{"family":"Rigolot","given":"C."},{"family":"Voil","given":"P.","non-dropping-particle":"de"},{"family":"Douxchamps","given":"S."},{"family":"Prestwidge","given":"D."},{"family":"Van Wijk","given":"M."},{"family":"Thornton","given":"P. K."},{"family":"Rodriguez","given":"D."},{"family":"Henderson","given":"B."},{"family":"Medina","given":"D."},{"family":"Herrero","given":"M."}],"issued":{"date-parts":[["2017",2,1]]},"citation-key":"rigolot_etal_2017"}},{"id":697,"uris":["http://zotero.org/users/7734624/items/IM6WSCSJ"],"itemData":{"id":697,"type":"article-journal","abstract":"Conservation Agriculture (CA) is promoted by research and development (R&amp;D) agencies to sustainably intensify agricultural systems with the goals of improving food security and livelihoods and adapting food systems to global climate change. Despite the many benefits of CA, there are few farmers around the world that have simultaneously implemented all facets of the strategy. In part, this reflects the challenges in applying, adapting, and understanding this complex and multi-dimensional agricultural innovation in the context of diverse farming systems. In this paper, we applied an integrated framework that combines bioeconomic simulation, risk analysis, adoption theory, and impact assessment to investigate how various combinations of CA components (no-tillage, soil cover, crop diversification, plus growing a new crop or variety) performed over a 10-year period in representative farms in a central Mexican case study. We found significant differences in profit, net value, downside risk, and risk-aversion cost between double-component scenarios (and improved CA to a lesser extent) and all other scenarios, which suggested that disaggregating CA into smaller component packages could increase farmer adoption in risky contexts. Our findings provided valuable insights on CA feasibility and could help establish policy and reporting metrics. The study highlighted the need for employing a range of research tools to understand the relative value of agricultural innovations and to identify and reduce trade-offs and uncertainty in farming systems. © 2021 by the authors. Licensee MDPI, Basel, Switzerland.","container-title":"Agronomy","DOI":"10.3390/agronomy11061214","ISSN":"20734395","issue":"6","language":"English","note":"publisher: MDPI AG","title":"Disaggregating the value of conservation agriculture to inform smallholder transition to sustainable farming: A mexican case study","URL":"https://www.scopus.com/inward/record.uri?eid=2-s2.0-85108835109&amp;doi=10.3390%2fagronomy11061214&amp;partnerID=40&amp;md5=05911882b0621e212e1959d79f5cb1f7","volume":"11","author":[{"family":"Monjardino","given":"M."},{"family":"Ridaura","given":"S.L."},{"family":"Van Loon","given":"J."},{"family":"Mottaleb","given":"K."},{"family":"Kruseman","given":"G."},{"family":"Zepeda","given":"A."},{"family":"Hernández","given":"E.O."},{"family":"Burgueño","given":"J."},{"family":"Singh","given":"R.G."},{"family":"Govaerts","given":"B."},{"family":"Erenstein","given":"O."}],"issued":{"date-parts":[["2021"]]},"citation-key":"monjardino_etal_2021"}},{"id":1057,"uris":["http://zotero.org/users/7734624/items/GBHGFLYH"],"itemData":{"id":1057,"type":"article-journal","abstract":"Decision makers need accurate information to address climate variability and change and accelerate transformation to sustainability. A stakeholder-driven, science-based multi-model approach has been developed and used by the Agricultural Model Intercomparison and Improvement Project (AgMIP) to generate actionable information for adaptation planning processes. For a range of mid-century climate projections—likely to be hotter, drier, and more variable—contrasting future socio-economic scenarios (Representative Agricultural Pathways, RAPs) were co-developed with stakeholders to portray a sustainable development scenario and a rapid economic growth pathway. The unique characteristic of this application is the integration of a multi-modeling approach with stakeholder engagement to co-develop scenarios and adaptation strategies. Distribution of outcomes were simulated with climate, crop, livestock, and economic impact assessment models for smallholder crop livestock farmers in a typical dryland agro-ecological zone in Zimbabwe, characterized by low and erratic rainfall and nutrient depleted soils. Results showed that in Nkayi District, Western Zimbabwe, climate change would threaten most of the farms, and, in particular, those with large cattle herds due to feed shortages. Adaptation strategies that showed the most promise included diversification using legume production, soil fertility improvement, and investment in conducive market environments. The switch to more legumes in the farming systems reduced the vulnerability of the very poor as well as the more resourced farmers. Overall, the sustainable development scenario consistently addressed institutional failures and motivated productivity-enhancing, environmentally sound technologies and inclusive development approaches. This yielded more favorable outcomes than investment in quick economic wins from commercializing agriculture.","container-title":"Climatic Change","DOI":"10.1007/s10584-021-03151-8","ISSN":"1573-1480","issue":"1","journalAbbreviation":"Climatic Change","language":"en","page":"10","source":"Springer Link","title":"Climate change impacts and adaptation for dryland farming systems in Zimbabwe: a stakeholder-driven integrated multi-model assessment","title-short":"Climate change impacts and adaptation for dryland farming systems in Zimbabwe","volume":"168","author":[{"family":"Homann-Kee Tui","given":"Sabine"},{"family":"Descheemaeker","given":"Katrien"},{"family":"Valdivia","given":"Roberto O."},{"family":"Masikati","given":"Patricia"},{"family":"Sisito","given":"Gevious"},{"family":"Moyo","given":"Elisha N."},{"family":"Crespo","given":"Olivier"},{"family":"Ruane","given":"Alex C."},{"family":"Rosenzweig","given":"Cynthia"}],"issued":{"date-parts":[["2021",9,25]]},"citation-key":"homann-keetui_etal_2021"}},{"id":3318,"uris":["http://zotero.org/users/7734624/items/BVAW9QTB"],"itemData":{"id":3318,"type":"article-journal","abstract":"Abstract\n            \n            Climate change adversely impacts food and feed production, depletes water, and increases the vulnerability of the people living within arid and semi-arid areas. The current study aims to assess crop–livestock water productivity within such drought-recurrent or water-stressed regions. This was done through secondary data collection and interviews from 589 households across the Sudan, Sudan–Sahel, and Sahel climatic zones of Burkina Faso. The findings confirm that the feeding strategies of livestock were based essentially on natural pasture, crop residues, and agricultural by-products. Moreover, crop–livestock total water productivity (TWP) was found generally higher in the Sudan zone (0.29 ± 0.02 $US/m3) characterized by more favorable climatic conditions than the Sudan–Sahel and Sahel regions that experienced a similar TWP (0.21 ± 0.01 $US/m3). The research gives insight into the valuation of virtual water contained in livestock feeds. Improving the accessibility in quantity and quality of such feeds through informed policy actions could enhance returns on transpired water. Additionally, other water harvesting and conservation methods are also essential to sustain more productive crop–livestock systems within water-stressed regions like Burkina Faso.","container-title":"Water Practice &amp; Technology","DOI":"10.2166/wpt.2023.162","ISSN":"1751-231X","issue":"11","language":"en","page":"2577-2591","source":"DOI.org (Crossref)","title":"Assessing crop–livestock water productivity in mixed-farming systems across climatic zones of Burkina Faso","volume":"18","author":[{"family":"Sanou","given":"Charles Lamoussa"},{"family":"Agodzo","given":"Sampson Kwaku"},{"family":"Bessah","given":"Enoch"},{"family":"Antwi-Agyei","given":"Philip"}],"issued":{"date-parts":[["2023",11,1]]},"citation-key":"sanou_etal_2023"}}],"schema":"https://github.com/citation-style-language/schema/raw/master/csl-citation.json"}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8A6153" w:rsidRPr="008A6153">
              <w:rPr>
                <w:rFonts w:ascii="Times New Roman" w:hAnsi="Times New Roman" w:cs="Times New Roman"/>
                <w:lang w:val="fr-FR"/>
              </w:rPr>
              <w:t>(Rigolot et al. 2017; Monjardino et al. 2021; Homann-Kee Tui et al. 2021; Sanou et al. 2023)</w:t>
            </w:r>
            <w:r w:rsidRPr="00FF4B56">
              <w:rPr>
                <w:rFonts w:ascii="Times New Roman" w:eastAsia="Times New Roman" w:hAnsi="Times New Roman" w:cs="Times New Roman"/>
                <w:color w:val="000000"/>
                <w:lang w:eastAsia="en-GB"/>
              </w:rPr>
              <w:fldChar w:fldCharType="end"/>
            </w:r>
          </w:p>
        </w:tc>
      </w:tr>
      <w:tr w:rsidR="00663667" w:rsidRPr="008A6153" w14:paraId="1247E399" w14:textId="77777777" w:rsidTr="00406364">
        <w:trPr>
          <w:trHeight w:val="288"/>
        </w:trPr>
        <w:tc>
          <w:tcPr>
            <w:tcW w:w="0" w:type="auto"/>
            <w:tcBorders>
              <w:top w:val="nil"/>
              <w:left w:val="nil"/>
              <w:bottom w:val="nil"/>
              <w:right w:val="nil"/>
            </w:tcBorders>
            <w:shd w:val="clear" w:color="000000" w:fill="FFFFFF"/>
          </w:tcPr>
          <w:p w14:paraId="5A6B80DD" w14:textId="77777777" w:rsidR="00663667" w:rsidRPr="008A6153"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tcPr>
          <w:p w14:paraId="693B7C8B" w14:textId="77777777" w:rsidR="00663667" w:rsidRPr="008A6153" w:rsidRDefault="00663667" w:rsidP="00663667">
            <w:pPr>
              <w:spacing w:after="0" w:line="360" w:lineRule="auto"/>
              <w:rPr>
                <w:rFonts w:ascii="Times New Roman" w:eastAsia="Times New Roman" w:hAnsi="Times New Roman" w:cs="Times New Roman"/>
                <w:color w:val="000000"/>
                <w:lang w:val="fr-FR" w:eastAsia="en-GB"/>
              </w:rPr>
            </w:pPr>
          </w:p>
        </w:tc>
        <w:tc>
          <w:tcPr>
            <w:tcW w:w="5310" w:type="dxa"/>
            <w:tcBorders>
              <w:top w:val="nil"/>
              <w:left w:val="nil"/>
              <w:bottom w:val="nil"/>
              <w:right w:val="nil"/>
            </w:tcBorders>
            <w:shd w:val="clear" w:color="000000" w:fill="FFFFFF"/>
            <w:noWrap/>
          </w:tcPr>
          <w:p w14:paraId="2A25CDAB" w14:textId="1CB276C6" w:rsidR="00663667" w:rsidRPr="00FF4B56"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Manure used as organic fertilizer</w:t>
            </w:r>
          </w:p>
        </w:tc>
        <w:tc>
          <w:tcPr>
            <w:tcW w:w="1350" w:type="dxa"/>
            <w:tcBorders>
              <w:top w:val="nil"/>
              <w:left w:val="nil"/>
              <w:bottom w:val="nil"/>
              <w:right w:val="nil"/>
            </w:tcBorders>
            <w:shd w:val="clear" w:color="000000" w:fill="FFFFFF"/>
            <w:noWrap/>
          </w:tcPr>
          <w:p w14:paraId="074FE58D" w14:textId="05834DB2" w:rsidR="00663667" w:rsidRPr="00FF4B56" w:rsidRDefault="00663667" w:rsidP="00663667">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w:t>
            </w:r>
          </w:p>
        </w:tc>
        <w:tc>
          <w:tcPr>
            <w:tcW w:w="5274" w:type="dxa"/>
            <w:tcBorders>
              <w:left w:val="nil"/>
              <w:right w:val="nil"/>
            </w:tcBorders>
            <w:shd w:val="clear" w:color="000000" w:fill="FFFFFF"/>
          </w:tcPr>
          <w:p w14:paraId="1F261031" w14:textId="7A77E623" w:rsidR="00663667" w:rsidRPr="008A6153" w:rsidRDefault="00663667" w:rsidP="00663667">
            <w:pPr>
              <w:spacing w:after="0" w:line="360" w:lineRule="auto"/>
              <w:rPr>
                <w:rFonts w:ascii="Times New Roman" w:eastAsia="Times New Roman" w:hAnsi="Times New Roman" w:cs="Times New Roman"/>
                <w:color w:val="000000"/>
                <w:lang w:val="fr-FR" w:eastAsia="en-GB"/>
              </w:rPr>
            </w:pPr>
            <w:r w:rsidRPr="00FF4B56">
              <w:rPr>
                <w:rFonts w:ascii="Times New Roman" w:eastAsia="Times New Roman" w:hAnsi="Times New Roman" w:cs="Times New Roman"/>
                <w:color w:val="000000"/>
                <w:lang w:eastAsia="en-GB"/>
              </w:rPr>
              <w:fldChar w:fldCharType="begin"/>
            </w:r>
            <w:r w:rsidR="008A6153">
              <w:rPr>
                <w:rFonts w:ascii="Times New Roman" w:eastAsia="Times New Roman" w:hAnsi="Times New Roman" w:cs="Times New Roman"/>
                <w:color w:val="000000"/>
                <w:lang w:eastAsia="en-GB"/>
              </w:rPr>
              <w:instrText xml:space="preserve"> ADDIN ZOTERO_ITEM CSL_CITATION {"citationID":"26OccUoy","properties":{"formattedCitation":"(Descheemaeker et al. 2018; Homann-Kee Tui et al. 2021; Maggio et al. 2022)","plainCitation":"(Descheemaeker et al. 2018; Homann-Kee Tui et al. 2021; Maggio et al. 2022)","noteIndex":0},"citationItems":[{"id":1058,"uris":["http://zotero.org/users/7734624/items/6SWCRLFE"],"itemData":{"id":1058,"type":"article-journal","abstract":"Large uncertainties about the impacts of climate change and adaptation options on the livestock component of heterogeneous African farming systems hamper tailored decision making towards climate-smart agriculture. This study addressed this knowledge gap through the development and use of a dynamic modelling framework integrating climate, crop, pasture and livestock models. The framework was applied to a population of 91 farms located in semi-arid Zimbabwe to assess effects on livestock production resulting from climate change and management interventions. Climate scenarios representing relative “cool-wet”, “hot-dry” and “middle” conditions by mid-century (2040–2070) for two representative concentration pathways were compared with the baseline climate. On-farm fodder resources and rangeland grass production were simulated with the crop model APSIM and the pasture model GRASP respectively. The simulated fodder availability was used in the livestock model LIVSIM to generate various production indicators including milk, offtake, mortality, manure, and net revenue. We investigated the effects of two adaptation packages targeting soil fertility management and crop diversification and quantified the sensitivity to climate change of both current and improved systems. Livestock productivity was constrained by dry-season feed gaps, which were particularly severe for crude protein and caused by the reliance on rangeland grazing and crop residues, both of low quality in the dry season. Effects on grass and stover production depended on the climate scenario and the crop, but year-to-year variation generally increased. Relative changes in livestock net revenue compared to the baseline climate varied from a 6% increase to a 43% decrease, and the proportion of farmers negatively affected varied from 20% to 100%, depending on the climate scenario. Adverse effects of climate change on average livestock production usually coincided with increased year-to-year variability and risk. Farms with larger stocking density faced more severe feed gaps and were more sensitive to climate change than less densely stocked farms. The first adaptation package resulted in increased stover production and a small increase in livestock productivity. The inclusion of grain and forage legumes with the second package increased milk productivity and net revenues more profoundly by 30%. This was attributed to the alleviation of dry-season feed gaps, which also reduced the sensitivity to climate change compared to the current system. Clearly, individual farms were affected differently by climate change and by improved farm management, illustrating that disaggregated impact assessments are needed to effectively inform decision making towards climate change adaptation.","container-title":"Agricultural Systems","DOI":"10.1016/j.agsy.2017.05.004","ISSN":"0308-521X","journalAbbreviation":"Agricultural Systems","language":"en","page":"282-295","source":"ScienceDirect","title":"Effects of climate change and adaptation on the livestock component of mixed farming systems: A modelling study from semi-arid Zimbabwe","title-short":"Effects of climate change and adaptation on the livestock component of mixed farming systems","volume":"159","author":[{"family":"Descheemaeker","given":"Katrien"},{"family":"Zijlstra","given":"Mink"},{"family":"Masikati","given":"Patricia"},{"family":"Crespo","given":"Olivier"},{"family":"Homann-Kee Tui","given":"Sabine"}],"issued":{"date-parts":[["2018",1,1]]},"citation-key":"descheemaeker_etal_2018"}},{"id":1057,"uris":["http://zotero.org/users/7734624/items/GBHGFLYH"],"itemData":{"id":1057,"type":"article-journal","abstract":"Decision makers need accurate information to address climate variability and change and accelerate transformation to sustainability. A stakeholder-driven, science-based multi-model approach has been developed and used by the Agricultural Model Intercomparison and Improvement Project (AgMIP) to generate actionable information for adaptation planning processes. For a range of mid-century climate projections—likely to be hotter, drier, and more variable—contrasting future socio-economic scenarios (Representative Agricultural Pathways, RAPs) were co-developed with stakeholders to portray a sustainable development scenario and a rapid economic growth pathway. The unique characteristic of this application is the integration of a multi-modeling approach with stakeholder engagement to co-develop scenarios and adaptation strategies. Distribution of outcomes were simulated with climate, crop, livestock, and economic impact assessment models for smallholder crop livestock farmers in a typical dryland agro-ecological zone in Zimbabwe, characterized by low and erratic rainfall and nutrient depleted soils. Results showed that in Nkayi District, Western Zimbabwe, climate change would threaten most of the farms, and, in particular, those with large cattle herds due to feed shortages. Adaptation strategies that showed the most promise included diversification using legume production, soil fertility improvement, and investment in conducive market environments. The switch to more legumes in the farming systems reduced the vulnerability of the very poor as well as the more resourced farmers. Overall, the sustainable development scenario consistently addressed institutional failures and motivated productivity-enhancing, environmentally sound technologies and inclusive development approaches. This yielded more favorable outcomes than investment in quick economic wins from commercializing agriculture.","container-title":"Climatic Change","DOI":"10.1007/s10584-021-03151-8","ISSN":"1573-1480","issue":"1","journalAbbreviation":"Climatic Change","language":"en","page":"10","source":"Springer Link","title":"Climate change impacts and adaptation for dryland farming systems in Zimbabwe: a stakeholder-driven integrated multi-model assessment","title-short":"Climate change impacts and adaptation for dryland farming systems in Zimbabwe","volume":"168","author":[{"family":"Homann-Kee Tui","given":"Sabine"},{"family":"Descheemaeker","given":"Katrien"},{"family":"Valdivia","given":"Roberto O."},{"family":"Masikati","given":"Patricia"},{"family":"Sisito","given":"Gevious"},{"family":"Moyo","given":"Elisha N."},{"family":"Crespo","given":"Olivier"},{"family":"Ruane","given":"Alex C."},{"family":"Rosenzweig","given":"Cynthia"}],"issued":{"date-parts":[["2021",9,25]]},"citation-key":"homann-keetui_etal_2021"}},{"id":3361,"uris":["http://zotero.org/users/7734624/items/RH6ZIHNH"],"itemData":{"id":3361,"type":"article-journal","abstract":"In this article, we use spatially granular climate data merged with four waves of household survey data in Uganda to examine empirically the relationships among high temperatures, total value of crop production, and the adoption and adoption duration of two sustainable agricultural practices (organic fertilizer adoption and maize–legume intercropping). We do this using a fixed‐effect model with instrumental variables to address potential endogeneity issues. Our findings indicate that the adoption of these practices has a positive effect on the total value of crop production, and such effect increases monotonically as temperatures increase from long‐term averages. Moreover, the number of years a farmer uses the practice is associated with higher total value of crop production, and this relationship holds across the full distribution of high temperature deviations. Taken together, the results suggest that promoting the adoption, and particularly the sustained adoption, of these practices can help to address the risks posed by rising temperatures to Ugandan agriculture and the livelihoods of farmers who depend on it.","container-title":"American Journal of Agricultural Economics","DOI":"10.1111/ajae.12229","ISSN":"0002-9092, 1467-8276","issue":"1","journalAbbreviation":"American J Agri Economics","language":"en","page":"385-403","source":"DOI.org (Crossref)","title":"Adapting to High Temperatures: Effect of Farm Practices and Their Adoption Duration on Total Value of Crop Production in Uganda","title-short":"Adapting to High Temperatures","volume":"104","author":[{"family":"Maggio","given":"Giuseppe"},{"family":"Mastrorillo","given":"Marina"},{"family":"Sitko","given":"Nicholas J."}],"issued":{"date-parts":[["2022",1]]},"citation-key":"maggio_etal_2022"}}],"schema":"https://github.com/citation-style-language/schema/raw/master/csl-citation.json"}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8A6153" w:rsidRPr="008A6153">
              <w:rPr>
                <w:rFonts w:ascii="Times New Roman" w:hAnsi="Times New Roman" w:cs="Times New Roman"/>
              </w:rPr>
              <w:t>(Descheemaeker et al. 2018; Homann-Kee Tui et al. 2021; Maggio et al. 2022)</w:t>
            </w:r>
            <w:r w:rsidRPr="00FF4B56">
              <w:rPr>
                <w:rFonts w:ascii="Times New Roman" w:eastAsia="Times New Roman" w:hAnsi="Times New Roman" w:cs="Times New Roman"/>
                <w:color w:val="000000"/>
                <w:lang w:eastAsia="en-GB"/>
              </w:rPr>
              <w:fldChar w:fldCharType="end"/>
            </w:r>
          </w:p>
        </w:tc>
      </w:tr>
      <w:tr w:rsidR="00663667" w:rsidRPr="00FF4B56" w14:paraId="334FCFFC" w14:textId="51378C86" w:rsidTr="00406364">
        <w:trPr>
          <w:trHeight w:val="288"/>
        </w:trPr>
        <w:tc>
          <w:tcPr>
            <w:tcW w:w="0" w:type="auto"/>
            <w:tcBorders>
              <w:top w:val="nil"/>
              <w:left w:val="nil"/>
              <w:bottom w:val="nil"/>
              <w:right w:val="nil"/>
            </w:tcBorders>
            <w:shd w:val="clear" w:color="000000" w:fill="FFFFFF"/>
          </w:tcPr>
          <w:p w14:paraId="473332B9" w14:textId="77777777" w:rsidR="00663667" w:rsidRPr="008A6153" w:rsidRDefault="00663667" w:rsidP="00663667">
            <w:pPr>
              <w:spacing w:after="0" w:line="360" w:lineRule="auto"/>
              <w:rPr>
                <w:rFonts w:ascii="Times New Roman" w:eastAsia="Times New Roman" w:hAnsi="Times New Roman" w:cs="Times New Roman"/>
                <w:color w:val="000000"/>
                <w:lang w:val="fr-FR" w:eastAsia="en-GB"/>
              </w:rPr>
            </w:pPr>
          </w:p>
        </w:tc>
        <w:tc>
          <w:tcPr>
            <w:tcW w:w="1848" w:type="dxa"/>
            <w:tcBorders>
              <w:top w:val="nil"/>
              <w:left w:val="nil"/>
              <w:bottom w:val="nil"/>
              <w:right w:val="nil"/>
            </w:tcBorders>
            <w:shd w:val="clear" w:color="000000" w:fill="FFFFFF"/>
            <w:noWrap/>
            <w:hideMark/>
          </w:tcPr>
          <w:p w14:paraId="38428E63" w14:textId="00E0B2AC" w:rsidR="00663667" w:rsidRPr="008A6153" w:rsidRDefault="00663667" w:rsidP="00663667">
            <w:pPr>
              <w:spacing w:after="0" w:line="360" w:lineRule="auto"/>
              <w:rPr>
                <w:rFonts w:ascii="Times New Roman" w:eastAsia="Times New Roman" w:hAnsi="Times New Roman" w:cs="Times New Roman"/>
                <w:color w:val="000000"/>
                <w:lang w:val="fr-FR" w:eastAsia="en-GB"/>
              </w:rPr>
            </w:pPr>
            <w:r w:rsidRPr="008A6153">
              <w:rPr>
                <w:rFonts w:ascii="Times New Roman" w:eastAsia="Times New Roman" w:hAnsi="Times New Roman" w:cs="Times New Roman"/>
                <w:color w:val="000000"/>
                <w:lang w:val="fr-FR" w:eastAsia="en-GB"/>
              </w:rPr>
              <w:t> </w:t>
            </w:r>
          </w:p>
        </w:tc>
        <w:tc>
          <w:tcPr>
            <w:tcW w:w="5310" w:type="dxa"/>
            <w:tcBorders>
              <w:top w:val="nil"/>
              <w:left w:val="nil"/>
              <w:bottom w:val="nil"/>
              <w:right w:val="nil"/>
            </w:tcBorders>
            <w:shd w:val="clear" w:color="000000" w:fill="FFFFFF"/>
            <w:noWrap/>
            <w:hideMark/>
          </w:tcPr>
          <w:p w14:paraId="6C5D3AA3" w14:textId="75B904E6" w:rsidR="00663667" w:rsidRPr="00FF4B56"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Crop residues used as mulch</w:t>
            </w:r>
          </w:p>
        </w:tc>
        <w:tc>
          <w:tcPr>
            <w:tcW w:w="1350" w:type="dxa"/>
            <w:tcBorders>
              <w:top w:val="nil"/>
              <w:left w:val="nil"/>
              <w:bottom w:val="nil"/>
              <w:right w:val="nil"/>
            </w:tcBorders>
            <w:shd w:val="clear" w:color="000000" w:fill="FFFFFF"/>
            <w:noWrap/>
            <w:hideMark/>
          </w:tcPr>
          <w:p w14:paraId="4F9F74C7" w14:textId="77777777" w:rsidR="00663667" w:rsidRPr="00FF4B56"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2</w:t>
            </w:r>
          </w:p>
        </w:tc>
        <w:tc>
          <w:tcPr>
            <w:tcW w:w="5274" w:type="dxa"/>
            <w:tcBorders>
              <w:left w:val="nil"/>
              <w:right w:val="nil"/>
            </w:tcBorders>
            <w:shd w:val="clear" w:color="000000" w:fill="FFFFFF"/>
          </w:tcPr>
          <w:p w14:paraId="5B16D741" w14:textId="372CE2DB" w:rsidR="00663667" w:rsidRPr="00FF4B56"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fldChar w:fldCharType="begin"/>
            </w:r>
            <w:r w:rsidRPr="00FF4B56">
              <w:rPr>
                <w:rFonts w:ascii="Times New Roman" w:eastAsia="Times New Roman" w:hAnsi="Times New Roman" w:cs="Times New Roman"/>
                <w:color w:val="000000"/>
                <w:lang w:eastAsia="en-GB"/>
              </w:rPr>
              <w:instrText xml:space="preserve"> ADDIN ZOTERO_ITEM CSL_CITATION {"citationID":"Ou23cAQM","properties":{"formattedCitation":"(Rigolot et al. 2017; Monjardino et al. 2021)","plainCitation":"(Rigolot et al. 2017; Monjardino et al. 2021)","noteIndex":0},"citationItems":[{"id":938,"uris":["http://zotero.org/users/7734624/items/6NDCKPE2"],"itemData":{"id":938,"type":"article-journal","abstract":"Smallholder crop–livestock farming systems have an important role to play for food security in Sub-Saharan Africa, but they have to cope with the effects of climate variability and change. In this study, we test the impacts of different interventions in two contrasting mixed farms in Northern Burkina Faso against the background of plausible current and future climate scenarios. For this purpose, we developed a dynamic farm-household modeling framework around existing tools: crop and animal production models APSIM and LivSim, the household model IAT and the climate generator Marksim. The two farms (a small and a larger) were selected and parameterized based on information collected in a household survey. Tested interventions included different crop fertilization and animal supplementation levels, mulching with crop residues and an alternative livestock feeding strategy. Baseline (2013) and a 2050 projection based on IPCC RCP 8.5 describe two climate scenarios (90years) for comparison. The maximum level of inputs increases farm energy production by +90% and +76% compared to the baseline for the small and the larger farm, respectively. Input levels maximizing net incomes are moderate, though higher than those currently used in both farms. The inter-annual distributions of net income show that the use of external inputs increases both upside and downside risks, i.e. the probability of getting both very high and very low results. This is because the interventions are more effective at increasing the highest yields in good years than at preventing the low production levels of some years. The 2050 climate scenario has a negative impact on energy production and potential income, especially for the scenarios with high input levels. Downside risks could partly explain why farmers do not currently use optimal input levels, and the results suggest that these constraints could intensify with climate change.","container-title":"Agricultural Systems","DOI":"10.1016/j.agsy.2015.12.017","ISSN":"0308-521X","journalAbbreviation":"Agricultural Systems","language":"en","page":"217-224","source":"ScienceDirect","title":"Interactions between intervention packages, climatic risk, climate change and food security in mixed crop–livestock systems in Burkina Faso","volume":"151","author":[{"family":"Rigolot","given":"C."},{"family":"Voil","given":"P.","non-dropping-particle":"de"},{"family":"Douxchamps","given":"S."},{"family":"Prestwidge","given":"D."},{"family":"Van Wijk","given":"M."},{"family":"Thornton","given":"P. K."},{"family":"Rodriguez","given":"D."},{"family":"Henderson","given":"B."},{"family":"Medina","given":"D."},{"family":"Herrero","given":"M."}],"issued":{"date-parts":[["2017",2,1]]},"citation-key":"rigolot_etal_2017"}},{"id":697,"uris":["http://zotero.org/users/7734624/items/IM6WSCSJ"],"itemData":{"id":697,"type":"article-journal","abstract":"Conservation Agriculture (CA) is promoted by research and development (R&amp;D) agencies to sustainably intensify agricultural systems with the goals of improving food security and livelihoods and adapting food systems to global climate change. Despite the many benefits of CA, there are few farmers around the world that have simultaneously implemented all facets of the strategy. In part, this reflects the challenges in applying, adapting, and understanding this complex and multi-dimensional agricultural innovation in the context of diverse farming systems. In this paper, we applied an integrated framework that combines bioeconomic simulation, risk analysis, adoption theory, and impact assessment to investigate how various combinations of CA components (no-tillage, soil cover, crop diversification, plus growing a new crop or variety) performed over a 10-year period in representative farms in a central Mexican case study. We found significant differences in profit, net value, downside risk, and risk-aversion cost between double-component scenarios (and improved CA to a lesser extent) and all other scenarios, which suggested that disaggregating CA into smaller component packages could increase farmer adoption in risky contexts. Our findings provided valuable insights on CA feasibility and could help establish policy and reporting metrics. The study highlighted the need for employing a range of research tools to understand the relative value of agricultural innovations and to identify and reduce trade-offs and uncertainty in farming systems. © 2021 by the authors. Licensee MDPI, Basel, Switzerland.","container-title":"Agronomy","DOI":"10.3390/agronomy11061214","ISSN":"20734395","issue":"6","language":"English","note":"publisher: MDPI AG","title":"Disaggregating the value of conservation agriculture to inform smallholder transition to sustainable farming: A mexican case study","URL":"https://www.scopus.com/inward/record.uri?eid=2-s2.0-85108835109&amp;doi=10.3390%2fagronomy11061214&amp;partnerID=40&amp;md5=05911882b0621e212e1959d79f5cb1f7","volume":"11","author":[{"family":"Monjardino","given":"M."},{"family":"Ridaura","given":"S.L."},{"family":"Van Loon","given":"J."},{"family":"Mottaleb","given":"K."},{"family":"Kruseman","given":"G."},{"family":"Zepeda","given":"A."},{"family":"Hernández","given":"E.O."},{"family":"Burgueño","given":"J."},{"family":"Singh","given":"R.G."},{"family":"Govaerts","given":"B."},{"family":"Erenstein","given":"O."}],"issued":{"date-parts":[["2021"]]},"citation-key":"monjardino_etal_2021"}}],"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Pr="00FF4B56">
              <w:rPr>
                <w:rFonts w:ascii="Times New Roman" w:hAnsi="Times New Roman" w:cs="Times New Roman"/>
              </w:rPr>
              <w:t>(Rigolot et al. 2017; Monjardino et al. 2021)</w:t>
            </w:r>
            <w:r w:rsidRPr="00FF4B56">
              <w:rPr>
                <w:rFonts w:ascii="Times New Roman" w:eastAsia="Times New Roman" w:hAnsi="Times New Roman" w:cs="Times New Roman"/>
                <w:color w:val="000000"/>
                <w:lang w:eastAsia="en-GB"/>
              </w:rPr>
              <w:fldChar w:fldCharType="end"/>
            </w:r>
          </w:p>
        </w:tc>
      </w:tr>
      <w:tr w:rsidR="00663667" w:rsidRPr="00FF4B56" w14:paraId="53F18E36" w14:textId="4336AA52" w:rsidTr="00406364">
        <w:trPr>
          <w:trHeight w:val="288"/>
        </w:trPr>
        <w:tc>
          <w:tcPr>
            <w:tcW w:w="0" w:type="auto"/>
            <w:tcBorders>
              <w:top w:val="nil"/>
              <w:left w:val="nil"/>
              <w:bottom w:val="nil"/>
              <w:right w:val="nil"/>
            </w:tcBorders>
            <w:shd w:val="clear" w:color="000000" w:fill="FFFFFF"/>
          </w:tcPr>
          <w:p w14:paraId="023A2EA1" w14:textId="77777777" w:rsidR="00663667" w:rsidRPr="00FF4B56" w:rsidRDefault="00663667" w:rsidP="00663667">
            <w:pPr>
              <w:spacing w:after="0" w:line="360" w:lineRule="auto"/>
              <w:rPr>
                <w:rFonts w:ascii="Times New Roman" w:eastAsia="Times New Roman" w:hAnsi="Times New Roman" w:cs="Times New Roman"/>
                <w:color w:val="000000"/>
                <w:lang w:eastAsia="en-GB"/>
              </w:rPr>
            </w:pPr>
          </w:p>
        </w:tc>
        <w:tc>
          <w:tcPr>
            <w:tcW w:w="1848" w:type="dxa"/>
            <w:tcBorders>
              <w:top w:val="nil"/>
              <w:left w:val="nil"/>
              <w:bottom w:val="nil"/>
              <w:right w:val="nil"/>
            </w:tcBorders>
            <w:shd w:val="clear" w:color="000000" w:fill="FFFFFF"/>
            <w:noWrap/>
            <w:hideMark/>
          </w:tcPr>
          <w:p w14:paraId="036816AC" w14:textId="6901B99A" w:rsidR="00663667" w:rsidRPr="00FF4B56"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 </w:t>
            </w:r>
          </w:p>
        </w:tc>
        <w:tc>
          <w:tcPr>
            <w:tcW w:w="5310" w:type="dxa"/>
            <w:tcBorders>
              <w:top w:val="nil"/>
              <w:left w:val="nil"/>
              <w:bottom w:val="nil"/>
              <w:right w:val="nil"/>
            </w:tcBorders>
            <w:shd w:val="clear" w:color="000000" w:fill="FFFFFF"/>
            <w:noWrap/>
            <w:hideMark/>
          </w:tcPr>
          <w:p w14:paraId="4B3A7B42" w14:textId="2D1D9D8C" w:rsidR="00663667" w:rsidRPr="00FF4B56"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t>Crop residue</w:t>
            </w:r>
            <w:r>
              <w:rPr>
                <w:rFonts w:ascii="Times New Roman" w:eastAsia="Times New Roman" w:hAnsi="Times New Roman" w:cs="Times New Roman"/>
                <w:color w:val="000000"/>
                <w:lang w:eastAsia="en-GB"/>
              </w:rPr>
              <w:t>s</w:t>
            </w:r>
            <w:r w:rsidRPr="00FF4B56">
              <w:rPr>
                <w:rFonts w:ascii="Times New Roman" w:eastAsia="Times New Roman" w:hAnsi="Times New Roman" w:cs="Times New Roman"/>
                <w:color w:val="000000"/>
                <w:lang w:eastAsia="en-GB"/>
              </w:rPr>
              <w:t xml:space="preserve"> uses</w:t>
            </w:r>
          </w:p>
        </w:tc>
        <w:tc>
          <w:tcPr>
            <w:tcW w:w="1350" w:type="dxa"/>
            <w:tcBorders>
              <w:top w:val="nil"/>
              <w:left w:val="nil"/>
              <w:bottom w:val="nil"/>
              <w:right w:val="nil"/>
            </w:tcBorders>
            <w:shd w:val="clear" w:color="000000" w:fill="FFFFFF"/>
            <w:noWrap/>
            <w:hideMark/>
          </w:tcPr>
          <w:p w14:paraId="1D97645A" w14:textId="74138D38" w:rsidR="00663667" w:rsidRPr="00FF4B56" w:rsidRDefault="00663667" w:rsidP="00663667">
            <w:pPr>
              <w:spacing w:after="0" w:line="36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w:t>
            </w:r>
          </w:p>
        </w:tc>
        <w:tc>
          <w:tcPr>
            <w:tcW w:w="5274" w:type="dxa"/>
            <w:tcBorders>
              <w:left w:val="nil"/>
              <w:right w:val="nil"/>
            </w:tcBorders>
            <w:shd w:val="clear" w:color="000000" w:fill="FFFFFF"/>
          </w:tcPr>
          <w:p w14:paraId="2330D393" w14:textId="6182FC30" w:rsidR="00663667" w:rsidRPr="00FF4B56" w:rsidRDefault="00663667" w:rsidP="00663667">
            <w:pPr>
              <w:spacing w:after="0" w:line="360" w:lineRule="auto"/>
              <w:rPr>
                <w:rFonts w:ascii="Times New Roman" w:eastAsia="Times New Roman" w:hAnsi="Times New Roman" w:cs="Times New Roman"/>
                <w:color w:val="000000"/>
                <w:lang w:eastAsia="en-GB"/>
              </w:rPr>
            </w:pPr>
            <w:r w:rsidRPr="00FF4B56">
              <w:rPr>
                <w:rFonts w:ascii="Times New Roman" w:eastAsia="Times New Roman" w:hAnsi="Times New Roman" w:cs="Times New Roman"/>
                <w:color w:val="000000"/>
                <w:lang w:eastAsia="en-GB"/>
              </w:rPr>
              <w:fldChar w:fldCharType="begin"/>
            </w:r>
            <w:r w:rsidR="008A6153">
              <w:rPr>
                <w:rFonts w:ascii="Times New Roman" w:eastAsia="Times New Roman" w:hAnsi="Times New Roman" w:cs="Times New Roman"/>
                <w:color w:val="000000"/>
                <w:lang w:eastAsia="en-GB"/>
              </w:rPr>
              <w:instrText xml:space="preserve"> ADDIN ZOTERO_ITEM CSL_CITATION {"citationID":"48qPuqFf","properties":{"formattedCitation":"(Lopez-Ridaura et al. 2018; Asmare et al. 2022)","plainCitation":"(Lopez-Ridaura et al. 2018; Asmare et al. 2022)","noteIndex":0},"citationItems":[{"id":351,"uris":["http://zotero.org/users/7734624/items/VMQZYXSU"],"itemData":{"id":351,"type":"article-journal","abstract":"One of the great challenges in agricultural development and sustainable intensiﬁcation is the assurance of social equity in food security oriented interventions. Development practitioners, researchers, and policy makers alike could beneﬁt from prior insight into what interventions or environmental shocks might diﬀerentially aﬀect farmers' food security status, in order to move towards more informed and equitable development. We examined the food security status and livelihood activities of 269 smallholder farm households (HHs) in Bihar, India. Proceeding with a four-step analysis, we ﬁrst applied a multivariate statistical methodology to diﬀerentiate ﬁve primary farming system types. We next applied an indicator of food security in the form of HH potential food availability (PFA), and examined the contribution of crop, livestock, and on- and oﬀ-farm income generation to PFA within each farm HH type. Lastly, we applied scenario analysis to examine the potential impact of the adoption of ‘climate smart’ agricultural (CSA) practices in the form of conservation agriculture (CA) and improved livestock husbandry, and environmental shocks on HH PFA. Our results indicate that compared to livestock interventions, CA may hold considerable potential to boost HH PFA, though primarily for wealthier and medium-scale cereal farmers. These farm HH types were however considerably more vulnerable to food insecurity risks resulting from simulated drought, while part-time farmers and resource-poor agricultural laborers generating income from oﬀ-farm pursuits were comparatively less vulnerable, due in part to their more diversiﬁed income sources and potential to migrate in search of work. Our results underscore the importance of prior planning for development initiatives aimed at increasing smallholder food security while maintaining social equity, while providing a robust methodology to vet the implications of agricultural interventions on an ex ante basis.","container-title":"Agricultural Systems","DOI":"10.1016/j.agsy.2017.09.007","ISSN":"0308521X","journalAbbreviation":"Agricultural Systems","language":"en","page":"57-68","source":"DOI.org (Crossref)","title":"Climate smart agriculture, farm household typologies and food security","volume":"159","author":[{"family":"Lopez-Ridaura","given":"Santiago"},{"family":"Frelat","given":"Romain"},{"family":"Wijk","given":"Mark T.","non-dropping-particle":"van"},{"family":"Valbuena","given":"Diego"},{"family":"Krupnik","given":"Timothy J."},{"family":"Jat","given":"M.L."}],"issued":{"date-parts":[["2018",1]]},"citation-key":"lopez-ridaura_etal_2018"}},{"id":3322,"uris":["http://zotero.org/users/7734624/items/JC8P99DK"],"itemData":{"id":3322,"type":"article-journal","abstract":"Abstract\n            We explore the impact of climate change adaptation on the technical efficiency of Ethiopian farmers using panel data collected from 6820 farm plots. We employ Green's (2010) stochastic frontier approach and propensity score matching to address selection bias. Our results reveal that climate change adaptation improves the efficiency of maize, wheat and barley production. We also show that failure to account for selection bias underestimates the average efficiency level. Our findings imply that the expansion of climate change adaptation at larger scales will provide a double benefit by curbing climate‐related risks and increasing the efficiency of farmers. Moreover, increasing credit access and introducing mechanisms that allow farmers to get enough water during the main growing season will enhance the efficiency of subsistence farmers.","container-title":"Journal of Agricultural Economics","DOI":"10.1111/1477-9552.12479","ISSN":"0021-857X, 1477-9552","issue":"3","journalAbbreviation":"J Agricultural Economics","language":"en","page":"739-760","source":"DOI.org (Crossref)","title":"Climate change adaptation and productive efficiency of subsistence farming: A bias‐corrected panel data stochastic frontier approach","title-short":"Climate change adaptation and productive efficiency of subsistence farming","volume":"73","author":[{"family":"Asmare","given":"Fissha"},{"family":"Jaraitė","given":"Jūratė"},{"family":"Kažukauskas","given":"Andrius"}],"issued":{"date-parts":[["2022",9]]},"citation-key":"asmare_etal_2022"}}],"schema":"https://github.com/citation-style-language/schema/raw/master/csl-citation.json"} </w:instrText>
            </w:r>
            <w:r w:rsidRPr="00FF4B56">
              <w:rPr>
                <w:rFonts w:ascii="Times New Roman" w:eastAsia="Times New Roman" w:hAnsi="Times New Roman" w:cs="Times New Roman"/>
                <w:color w:val="000000"/>
                <w:lang w:eastAsia="en-GB"/>
              </w:rPr>
              <w:fldChar w:fldCharType="separate"/>
            </w:r>
            <w:r w:rsidR="008A6153" w:rsidRPr="008A6153">
              <w:rPr>
                <w:rFonts w:ascii="Times New Roman" w:hAnsi="Times New Roman" w:cs="Times New Roman"/>
              </w:rPr>
              <w:t>(Lopez-Ridaura et al. 2018; Asmare et al. 2022)</w:t>
            </w:r>
            <w:r w:rsidRPr="00FF4B56">
              <w:rPr>
                <w:rFonts w:ascii="Times New Roman" w:eastAsia="Times New Roman" w:hAnsi="Times New Roman" w:cs="Times New Roman"/>
                <w:color w:val="000000"/>
                <w:lang w:eastAsia="en-GB"/>
              </w:rPr>
              <w:fldChar w:fldCharType="end"/>
            </w:r>
          </w:p>
        </w:tc>
      </w:tr>
      <w:tr w:rsidR="00663667" w:rsidRPr="005C0424" w14:paraId="086285F1" w14:textId="6E62FEE0" w:rsidTr="00406364">
        <w:trPr>
          <w:trHeight w:val="288"/>
        </w:trPr>
        <w:tc>
          <w:tcPr>
            <w:tcW w:w="0" w:type="auto"/>
            <w:tcBorders>
              <w:top w:val="nil"/>
              <w:left w:val="nil"/>
              <w:bottom w:val="single" w:sz="4" w:space="0" w:color="auto"/>
              <w:right w:val="nil"/>
            </w:tcBorders>
            <w:shd w:val="clear" w:color="000000" w:fill="FFFFFF"/>
          </w:tcPr>
          <w:p w14:paraId="06209C76" w14:textId="77777777" w:rsidR="00663667" w:rsidRPr="005C0424" w:rsidRDefault="00663667" w:rsidP="00663667">
            <w:pPr>
              <w:spacing w:after="0" w:line="360" w:lineRule="auto"/>
              <w:rPr>
                <w:rFonts w:ascii="Times New Roman" w:eastAsia="Times New Roman" w:hAnsi="Times New Roman" w:cs="Times New Roman"/>
                <w:color w:val="000000"/>
                <w:lang w:eastAsia="en-GB"/>
              </w:rPr>
            </w:pPr>
          </w:p>
        </w:tc>
        <w:tc>
          <w:tcPr>
            <w:tcW w:w="1848" w:type="dxa"/>
            <w:tcBorders>
              <w:top w:val="nil"/>
              <w:left w:val="nil"/>
              <w:bottom w:val="single" w:sz="4" w:space="0" w:color="auto"/>
              <w:right w:val="nil"/>
            </w:tcBorders>
            <w:shd w:val="clear" w:color="000000" w:fill="FFFFFF"/>
            <w:noWrap/>
            <w:hideMark/>
          </w:tcPr>
          <w:p w14:paraId="74E98C53" w14:textId="6D41888E" w:rsidR="00663667" w:rsidRPr="005C0424" w:rsidRDefault="00663667" w:rsidP="00663667">
            <w:pPr>
              <w:spacing w:after="0" w:line="360" w:lineRule="auto"/>
              <w:rPr>
                <w:rFonts w:ascii="Times New Roman" w:eastAsia="Times New Roman" w:hAnsi="Times New Roman" w:cs="Times New Roman"/>
                <w:color w:val="000000"/>
                <w:lang w:eastAsia="en-GB"/>
              </w:rPr>
            </w:pPr>
            <w:r w:rsidRPr="005C0424">
              <w:rPr>
                <w:rFonts w:ascii="Times New Roman" w:eastAsia="Times New Roman" w:hAnsi="Times New Roman" w:cs="Times New Roman"/>
                <w:color w:val="000000"/>
                <w:lang w:eastAsia="en-GB"/>
              </w:rPr>
              <w:t> </w:t>
            </w:r>
          </w:p>
        </w:tc>
        <w:tc>
          <w:tcPr>
            <w:tcW w:w="5310" w:type="dxa"/>
            <w:tcBorders>
              <w:top w:val="nil"/>
              <w:left w:val="nil"/>
              <w:bottom w:val="single" w:sz="4" w:space="0" w:color="auto"/>
              <w:right w:val="nil"/>
            </w:tcBorders>
            <w:shd w:val="clear" w:color="000000" w:fill="FFFFFF"/>
            <w:noWrap/>
            <w:hideMark/>
          </w:tcPr>
          <w:p w14:paraId="3EB93CC5" w14:textId="1D6721D7" w:rsidR="00663667" w:rsidRPr="005C0424" w:rsidRDefault="00663667" w:rsidP="00663667">
            <w:pPr>
              <w:spacing w:after="0" w:line="360" w:lineRule="auto"/>
              <w:rPr>
                <w:rFonts w:ascii="Times New Roman" w:eastAsia="Times New Roman" w:hAnsi="Times New Roman" w:cs="Times New Roman"/>
                <w:color w:val="000000"/>
                <w:lang w:eastAsia="en-GB"/>
              </w:rPr>
            </w:pPr>
            <w:r w:rsidRPr="005C0424">
              <w:rPr>
                <w:rFonts w:ascii="Times New Roman" w:eastAsia="Times New Roman" w:hAnsi="Times New Roman" w:cs="Times New Roman"/>
                <w:color w:val="000000"/>
                <w:lang w:eastAsia="en-GB"/>
              </w:rPr>
              <w:t>Number of types of use of manure</w:t>
            </w:r>
          </w:p>
        </w:tc>
        <w:tc>
          <w:tcPr>
            <w:tcW w:w="1350" w:type="dxa"/>
            <w:tcBorders>
              <w:top w:val="nil"/>
              <w:left w:val="nil"/>
              <w:bottom w:val="single" w:sz="4" w:space="0" w:color="auto"/>
              <w:right w:val="nil"/>
            </w:tcBorders>
            <w:shd w:val="clear" w:color="000000" w:fill="FFFFFF"/>
            <w:noWrap/>
            <w:hideMark/>
          </w:tcPr>
          <w:p w14:paraId="635D2BB4" w14:textId="77777777" w:rsidR="00663667" w:rsidRPr="005C0424" w:rsidRDefault="00663667" w:rsidP="00663667">
            <w:pPr>
              <w:spacing w:after="0" w:line="360" w:lineRule="auto"/>
              <w:rPr>
                <w:rFonts w:ascii="Times New Roman" w:eastAsia="Times New Roman" w:hAnsi="Times New Roman" w:cs="Times New Roman"/>
                <w:color w:val="000000"/>
                <w:lang w:eastAsia="en-GB"/>
              </w:rPr>
            </w:pPr>
            <w:r w:rsidRPr="005C0424">
              <w:rPr>
                <w:rFonts w:ascii="Times New Roman" w:eastAsia="Times New Roman" w:hAnsi="Times New Roman" w:cs="Times New Roman"/>
                <w:color w:val="000000"/>
                <w:lang w:eastAsia="en-GB"/>
              </w:rPr>
              <w:t>1</w:t>
            </w:r>
          </w:p>
        </w:tc>
        <w:tc>
          <w:tcPr>
            <w:tcW w:w="5274" w:type="dxa"/>
            <w:tcBorders>
              <w:left w:val="nil"/>
              <w:bottom w:val="single" w:sz="4" w:space="0" w:color="auto"/>
              <w:right w:val="nil"/>
            </w:tcBorders>
            <w:shd w:val="clear" w:color="000000" w:fill="FFFFFF"/>
          </w:tcPr>
          <w:p w14:paraId="66D8CE36" w14:textId="0C3F8901" w:rsidR="00663667" w:rsidRPr="005C0424" w:rsidRDefault="00663667" w:rsidP="00663667">
            <w:pPr>
              <w:spacing w:after="0" w:line="360" w:lineRule="auto"/>
              <w:rPr>
                <w:rFonts w:ascii="Times New Roman" w:eastAsia="Times New Roman" w:hAnsi="Times New Roman" w:cs="Times New Roman"/>
                <w:color w:val="000000"/>
                <w:lang w:eastAsia="en-GB"/>
              </w:rPr>
            </w:pPr>
            <w:r w:rsidRPr="005C0424">
              <w:rPr>
                <w:rFonts w:ascii="Times New Roman" w:eastAsia="Times New Roman" w:hAnsi="Times New Roman" w:cs="Times New Roman"/>
                <w:color w:val="000000"/>
                <w:lang w:eastAsia="en-GB"/>
              </w:rPr>
              <w:fldChar w:fldCharType="begin"/>
            </w:r>
            <w:r w:rsidRPr="005C0424">
              <w:rPr>
                <w:rFonts w:ascii="Times New Roman" w:eastAsia="Times New Roman" w:hAnsi="Times New Roman" w:cs="Times New Roman"/>
                <w:color w:val="000000"/>
                <w:lang w:eastAsia="en-GB"/>
              </w:rPr>
              <w:instrText xml:space="preserve"> ADDIN ZOTERO_ITEM CSL_CITATION {"citationID":"TuySN8Pq","properties":{"formattedCitation":"(Rotz et al. 2016)","plainCitation":"(Rotz et al. 2016)","noteIndex":0},"citationItems":[{"id":702,"uris":["http://zotero.org/users/7734624/items/KAUKSQW5"],"itemData":{"id":702,"type":"article-journal","abstract":"Process-level modeling at the farm scale provides a tool for evaluating strategies for both mitigating greenhouse gas emissions and adapting to climate change. The Integrated Farm System Model (IFSM) simulates representative crop, beef, or dairy farms over many years of weather to predict performance, economics, and environmental impacts including various emissions and a farm-gate life cycle assessment of carbon, energy, water, and reactive nitrogen footprints of the feed, meat, or milk produced. To illustrate use of the model, a representative dairy farm in central New York was simulated over 25 years of recent historical weather to determine the environmental benefits and economic costs of alternative manure handling strategies. Use of an enclosed manure storage with a flare to burn the methane produced decreased the farm-gate carbon footprint of the milk produced by 20% at an increased annual cost of $42 cow(-1). Using an anaerobic digester to produce gas and electricity used on the farm reduced the carbon footprint by 19% and reduced profitability by $56 cow(-1). The addition of subsurface injection of manure along with a reduction in N fertilizer use greatly reduced ammonia emission from the farm and increased annual profit by $9 cow(-1). Climate change is projected to affect many aspects of dairy production, including growing season length, crop growth processes, harvest timing and losses, cattle performance, nutrient emissions and losses, and ultimately farm profitability. Climate projections for high and low emission scenarios were downscaled from nine general circulation models. IFSM was then used to simulate the same New York dairy farm over 25-year periods using recent, mid-century, and late century climate projected by each of the climate models. Simulations were done without and with adaptation through modified crop varieties and planting and harvest dates. Forage production normally increased with projected climate change and corn grain yields decreased, and together feed production was maintained. Warmer temperatures increased volatile loss of ammonia N, and changes in precipitation patterns increased nutrient runoff losses in surface water. The reactive N footprint of the milk produced was increased by 2% to 11% with the change in climate, but other environmental footprints were relatively unaffected. With appropriate adaptation to climate change, annual farm profitability increased by about $100 cow(-1). However, for the high emission, late century projection, profit decreased by $10 cow(-1) and the risk or annual variance in profit increased by 34%, reflecting greater annual variation in crop and animal productivity. Whole-farm and climate models provide useful tools for studying the benefits and costs of greenhouse gas mitigation and the adaptation of farms to changing climate.","container-title":"TRANSACTIONS OF THE ASABE","DOI":"10.13031/trans.59.11594","ISSN":"2151-0032","issue":"6","language":"English","note":"publisher-place: 2950 NILES RD, ST JOSEPH, MI 49085-9659 USA\npublisher: AMER SOC AGRICULTURAL &amp; BIOLOGICAL ENGINEERS\ntype: Article","page":"1771-1781","title":"EVALUATING GREENHOUSE GAS MITIGATION AND CLIMATE CHANGE ADAPTATION IN DAIRY PRODUCTION USING FARM SIMULATION","volume":"59","author":[{"family":"Rotz","given":"C. A."},{"family":"Skinner","given":"R. H."},{"family":"Stoner","given":"A. M. K."},{"family":"Hayhoe","given":"K."}],"issued":{"date-parts":[["2016"]]},"citation-key":"rotz_etal_2016"}}],"schema":"https://github.com/citation-style-language/schema/raw/master/csl-citation.json"} </w:instrText>
            </w:r>
            <w:r w:rsidRPr="005C0424">
              <w:rPr>
                <w:rFonts w:ascii="Times New Roman" w:eastAsia="Times New Roman" w:hAnsi="Times New Roman" w:cs="Times New Roman"/>
                <w:color w:val="000000"/>
                <w:lang w:eastAsia="en-GB"/>
              </w:rPr>
              <w:fldChar w:fldCharType="separate"/>
            </w:r>
            <w:r w:rsidRPr="005C0424">
              <w:rPr>
                <w:rFonts w:ascii="Times New Roman" w:hAnsi="Times New Roman" w:cs="Times New Roman"/>
              </w:rPr>
              <w:t>(Rotz et al. 2016)</w:t>
            </w:r>
            <w:r w:rsidRPr="005C0424">
              <w:rPr>
                <w:rFonts w:ascii="Times New Roman" w:eastAsia="Times New Roman" w:hAnsi="Times New Roman" w:cs="Times New Roman"/>
                <w:color w:val="000000"/>
                <w:lang w:eastAsia="en-GB"/>
              </w:rPr>
              <w:fldChar w:fldCharType="end"/>
            </w:r>
          </w:p>
        </w:tc>
      </w:tr>
    </w:tbl>
    <w:p w14:paraId="4D0CB513" w14:textId="77777777" w:rsidR="00017A08" w:rsidRPr="005C0424" w:rsidRDefault="00017A08" w:rsidP="00A96D37">
      <w:pPr>
        <w:spacing w:line="360" w:lineRule="auto"/>
        <w:rPr>
          <w:rFonts w:ascii="Times New Roman" w:hAnsi="Times New Roman" w:cs="Times New Roman"/>
        </w:rPr>
      </w:pPr>
    </w:p>
    <w:p w14:paraId="172F0B94" w14:textId="5B8E019B" w:rsidR="00853122" w:rsidRPr="00FF4B56" w:rsidRDefault="00243B73" w:rsidP="004F1AB1">
      <w:pPr>
        <w:pStyle w:val="Heading3"/>
        <w:spacing w:line="360" w:lineRule="auto"/>
        <w:jc w:val="both"/>
        <w:rPr>
          <w:rFonts w:cs="Times New Roman"/>
          <w:szCs w:val="22"/>
        </w:rPr>
      </w:pPr>
      <w:r w:rsidRPr="00FF4B56">
        <w:rPr>
          <w:rFonts w:cs="Times New Roman"/>
          <w:szCs w:val="22"/>
        </w:rPr>
        <w:t>Table S</w:t>
      </w:r>
      <w:r w:rsidR="002066C9" w:rsidRPr="00FF4B56">
        <w:rPr>
          <w:rFonts w:cs="Times New Roman"/>
          <w:szCs w:val="22"/>
        </w:rPr>
        <w:t>3</w:t>
      </w:r>
      <w:r w:rsidRPr="00FF4B56">
        <w:rPr>
          <w:rFonts w:cs="Times New Roman"/>
          <w:szCs w:val="22"/>
        </w:rPr>
        <w:t xml:space="preserve">: </w:t>
      </w:r>
      <w:r w:rsidR="001F0C25" w:rsidRPr="00FF4B56">
        <w:rPr>
          <w:rFonts w:cs="Times New Roman"/>
          <w:szCs w:val="22"/>
        </w:rPr>
        <w:t>L</w:t>
      </w:r>
      <w:r w:rsidR="0087209B" w:rsidRPr="00FF4B56">
        <w:rPr>
          <w:rFonts w:cs="Times New Roman"/>
          <w:szCs w:val="22"/>
        </w:rPr>
        <w:t xml:space="preserve">ist of the </w:t>
      </w:r>
      <w:r w:rsidR="00572724">
        <w:rPr>
          <w:rFonts w:cs="Times New Roman"/>
          <w:szCs w:val="22"/>
        </w:rPr>
        <w:t>204</w:t>
      </w:r>
      <w:r w:rsidR="00572724" w:rsidRPr="00FF4B56">
        <w:rPr>
          <w:rFonts w:cs="Times New Roman"/>
          <w:szCs w:val="22"/>
        </w:rPr>
        <w:t xml:space="preserve"> </w:t>
      </w:r>
      <w:r w:rsidR="001F0C25" w:rsidRPr="00FF4B56">
        <w:rPr>
          <w:rFonts w:cs="Times New Roman"/>
          <w:szCs w:val="22"/>
        </w:rPr>
        <w:t>studies</w:t>
      </w:r>
      <w:r w:rsidR="008B6DCB" w:rsidRPr="00FF4B56">
        <w:rPr>
          <w:rFonts w:cs="Times New Roman"/>
          <w:szCs w:val="22"/>
        </w:rPr>
        <w:t xml:space="preserve"> systematically reviewed</w:t>
      </w:r>
      <w:r w:rsidR="0087209B" w:rsidRPr="00FF4B56">
        <w:rPr>
          <w:rFonts w:cs="Times New Roman"/>
          <w:szCs w:val="22"/>
        </w:rPr>
        <w:t xml:space="preserve"> from Scopus and Web of Science database</w:t>
      </w:r>
      <w:r w:rsidR="008B6DCB" w:rsidRPr="00FF4B56">
        <w:rPr>
          <w:rFonts w:cs="Times New Roman"/>
          <w:szCs w:val="22"/>
        </w:rPr>
        <w:t>s</w:t>
      </w:r>
      <w:r w:rsidR="0087209B" w:rsidRPr="00FF4B56">
        <w:rPr>
          <w:rFonts w:cs="Times New Roman"/>
          <w:szCs w:val="22"/>
        </w:rPr>
        <w:t xml:space="preserve"> </w:t>
      </w:r>
      <w:r w:rsidR="00853122" w:rsidRPr="00FF4B56">
        <w:rPr>
          <w:rFonts w:cs="Times New Roman"/>
          <w:szCs w:val="22"/>
        </w:rPr>
        <w:t>on</w:t>
      </w:r>
      <w:r w:rsidR="0087209B" w:rsidRPr="00FF4B56">
        <w:rPr>
          <w:rFonts w:cs="Times New Roman"/>
          <w:szCs w:val="22"/>
        </w:rPr>
        <w:t xml:space="preserve"> </w:t>
      </w:r>
      <w:r w:rsidR="00572724">
        <w:rPr>
          <w:rFonts w:cs="Times New Roman"/>
          <w:szCs w:val="22"/>
        </w:rPr>
        <w:t>13/08/2024</w:t>
      </w:r>
    </w:p>
    <w:tbl>
      <w:tblPr>
        <w:tblW w:w="11120" w:type="dxa"/>
        <w:tblLook w:val="04A0" w:firstRow="1" w:lastRow="0" w:firstColumn="1" w:lastColumn="0" w:noHBand="0" w:noVBand="1"/>
      </w:tblPr>
      <w:tblGrid>
        <w:gridCol w:w="4940"/>
        <w:gridCol w:w="4940"/>
        <w:gridCol w:w="1240"/>
      </w:tblGrid>
      <w:tr w:rsidR="00572724" w:rsidRPr="00572724" w14:paraId="4C813562" w14:textId="77777777" w:rsidTr="00572724">
        <w:trPr>
          <w:trHeight w:val="288"/>
        </w:trPr>
        <w:tc>
          <w:tcPr>
            <w:tcW w:w="49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E29B57" w14:textId="77777777" w:rsidR="00572724" w:rsidRPr="00572724" w:rsidRDefault="00572724" w:rsidP="00572724">
            <w:pPr>
              <w:spacing w:after="0" w:line="276" w:lineRule="auto"/>
              <w:rPr>
                <w:rFonts w:ascii="Times New Roman" w:eastAsia="Times New Roman" w:hAnsi="Times New Roman" w:cs="Times New Roman"/>
                <w:b/>
                <w:bCs/>
                <w:color w:val="000000"/>
                <w:lang w:eastAsia="en-GB"/>
              </w:rPr>
            </w:pPr>
            <w:r w:rsidRPr="00572724">
              <w:rPr>
                <w:rFonts w:ascii="Times New Roman" w:eastAsia="Times New Roman" w:hAnsi="Times New Roman" w:cs="Times New Roman"/>
                <w:b/>
                <w:bCs/>
                <w:color w:val="000000"/>
                <w:lang w:eastAsia="en-GB"/>
              </w:rPr>
              <w:t>Authors</w:t>
            </w:r>
          </w:p>
        </w:tc>
        <w:tc>
          <w:tcPr>
            <w:tcW w:w="4940" w:type="dxa"/>
            <w:tcBorders>
              <w:top w:val="single" w:sz="4" w:space="0" w:color="auto"/>
              <w:left w:val="nil"/>
              <w:bottom w:val="single" w:sz="4" w:space="0" w:color="auto"/>
              <w:right w:val="single" w:sz="4" w:space="0" w:color="auto"/>
            </w:tcBorders>
            <w:shd w:val="clear" w:color="auto" w:fill="auto"/>
            <w:vAlign w:val="bottom"/>
            <w:hideMark/>
          </w:tcPr>
          <w:p w14:paraId="696E1658" w14:textId="77777777" w:rsidR="00572724" w:rsidRPr="00572724" w:rsidRDefault="00572724" w:rsidP="00572724">
            <w:pPr>
              <w:spacing w:after="0" w:line="276" w:lineRule="auto"/>
              <w:rPr>
                <w:rFonts w:ascii="Times New Roman" w:eastAsia="Times New Roman" w:hAnsi="Times New Roman" w:cs="Times New Roman"/>
                <w:b/>
                <w:bCs/>
                <w:color w:val="000000"/>
                <w:lang w:eastAsia="en-GB"/>
              </w:rPr>
            </w:pPr>
            <w:r w:rsidRPr="00572724">
              <w:rPr>
                <w:rFonts w:ascii="Times New Roman" w:eastAsia="Times New Roman" w:hAnsi="Times New Roman" w:cs="Times New Roman"/>
                <w:b/>
                <w:bCs/>
                <w:color w:val="000000"/>
                <w:lang w:eastAsia="en-GB"/>
              </w:rPr>
              <w:t>Title</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3F5C2195" w14:textId="77777777" w:rsidR="00572724" w:rsidRPr="00572724" w:rsidRDefault="00572724" w:rsidP="00572724">
            <w:pPr>
              <w:spacing w:after="0" w:line="276" w:lineRule="auto"/>
              <w:rPr>
                <w:rFonts w:ascii="Times New Roman" w:eastAsia="Times New Roman" w:hAnsi="Times New Roman" w:cs="Times New Roman"/>
                <w:b/>
                <w:bCs/>
                <w:color w:val="000000"/>
                <w:lang w:eastAsia="en-GB"/>
              </w:rPr>
            </w:pPr>
            <w:r w:rsidRPr="00572724">
              <w:rPr>
                <w:rFonts w:ascii="Times New Roman" w:eastAsia="Times New Roman" w:hAnsi="Times New Roman" w:cs="Times New Roman"/>
                <w:b/>
                <w:bCs/>
                <w:color w:val="000000"/>
                <w:lang w:eastAsia="en-GB"/>
              </w:rPr>
              <w:t>Year</w:t>
            </w:r>
          </w:p>
        </w:tc>
      </w:tr>
      <w:tr w:rsidR="00572724" w:rsidRPr="00572724" w14:paraId="42671B75"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3E9CBC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Abdollahzadeh G.; </w:t>
            </w:r>
            <w:proofErr w:type="spellStart"/>
            <w:r w:rsidRPr="00572724">
              <w:rPr>
                <w:rFonts w:ascii="Times New Roman" w:eastAsia="Times New Roman" w:hAnsi="Times New Roman" w:cs="Times New Roman"/>
                <w:color w:val="000000"/>
                <w:lang w:eastAsia="en-GB"/>
              </w:rPr>
              <w:t>Sharifzadeh</w:t>
            </w:r>
            <w:proofErr w:type="spellEnd"/>
            <w:r w:rsidRPr="00572724">
              <w:rPr>
                <w:rFonts w:ascii="Times New Roman" w:eastAsia="Times New Roman" w:hAnsi="Times New Roman" w:cs="Times New Roman"/>
                <w:color w:val="000000"/>
                <w:lang w:eastAsia="en-GB"/>
              </w:rPr>
              <w:t xml:space="preserve"> M.S.; </w:t>
            </w:r>
            <w:proofErr w:type="spellStart"/>
            <w:r w:rsidRPr="00572724">
              <w:rPr>
                <w:rFonts w:ascii="Times New Roman" w:eastAsia="Times New Roman" w:hAnsi="Times New Roman" w:cs="Times New Roman"/>
                <w:color w:val="000000"/>
                <w:lang w:eastAsia="en-GB"/>
              </w:rPr>
              <w:t>Sklenička</w:t>
            </w:r>
            <w:proofErr w:type="spellEnd"/>
            <w:r w:rsidRPr="00572724">
              <w:rPr>
                <w:rFonts w:ascii="Times New Roman" w:eastAsia="Times New Roman" w:hAnsi="Times New Roman" w:cs="Times New Roman"/>
                <w:color w:val="000000"/>
                <w:lang w:eastAsia="en-GB"/>
              </w:rPr>
              <w:t xml:space="preserve"> P.; Azadi H.</w:t>
            </w:r>
          </w:p>
        </w:tc>
        <w:tc>
          <w:tcPr>
            <w:tcW w:w="4940" w:type="dxa"/>
            <w:tcBorders>
              <w:top w:val="nil"/>
              <w:left w:val="nil"/>
              <w:bottom w:val="single" w:sz="4" w:space="0" w:color="auto"/>
              <w:right w:val="single" w:sz="4" w:space="0" w:color="auto"/>
            </w:tcBorders>
            <w:shd w:val="clear" w:color="auto" w:fill="auto"/>
            <w:vAlign w:val="bottom"/>
            <w:hideMark/>
          </w:tcPr>
          <w:p w14:paraId="0B3BE06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Adaptive capacity of farming systems to climate change in Iran: Application of composite index approach</w:t>
            </w:r>
          </w:p>
        </w:tc>
        <w:tc>
          <w:tcPr>
            <w:tcW w:w="1240" w:type="dxa"/>
            <w:tcBorders>
              <w:top w:val="nil"/>
              <w:left w:val="nil"/>
              <w:bottom w:val="single" w:sz="4" w:space="0" w:color="auto"/>
              <w:right w:val="single" w:sz="4" w:space="0" w:color="auto"/>
            </w:tcBorders>
            <w:shd w:val="clear" w:color="auto" w:fill="auto"/>
            <w:noWrap/>
            <w:vAlign w:val="bottom"/>
            <w:hideMark/>
          </w:tcPr>
          <w:p w14:paraId="131C5EA2"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3A30D04B"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895309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Adelhart</w:t>
            </w:r>
            <w:proofErr w:type="spellEnd"/>
            <w:r w:rsidRPr="00572724">
              <w:rPr>
                <w:rFonts w:ascii="Times New Roman" w:eastAsia="Times New Roman" w:hAnsi="Times New Roman" w:cs="Times New Roman"/>
                <w:color w:val="000000"/>
                <w:lang w:eastAsia="en-GB"/>
              </w:rPr>
              <w:t xml:space="preserve"> Toorop R.; Lopez-Ridaura S.; Jat M.L.; </w:t>
            </w:r>
            <w:proofErr w:type="spellStart"/>
            <w:r w:rsidRPr="00572724">
              <w:rPr>
                <w:rFonts w:ascii="Times New Roman" w:eastAsia="Times New Roman" w:hAnsi="Times New Roman" w:cs="Times New Roman"/>
                <w:color w:val="000000"/>
                <w:lang w:eastAsia="en-GB"/>
              </w:rPr>
              <w:t>Eichenseer</w:t>
            </w:r>
            <w:proofErr w:type="spellEnd"/>
            <w:r w:rsidRPr="00572724">
              <w:rPr>
                <w:rFonts w:ascii="Times New Roman" w:eastAsia="Times New Roman" w:hAnsi="Times New Roman" w:cs="Times New Roman"/>
                <w:color w:val="000000"/>
                <w:lang w:eastAsia="en-GB"/>
              </w:rPr>
              <w:t xml:space="preserve"> P.; </w:t>
            </w:r>
            <w:proofErr w:type="spellStart"/>
            <w:r w:rsidRPr="00572724">
              <w:rPr>
                <w:rFonts w:ascii="Times New Roman" w:eastAsia="Times New Roman" w:hAnsi="Times New Roman" w:cs="Times New Roman"/>
                <w:color w:val="000000"/>
                <w:lang w:eastAsia="en-GB"/>
              </w:rPr>
              <w:t>Bijarniya</w:t>
            </w:r>
            <w:proofErr w:type="spellEnd"/>
            <w:r w:rsidRPr="00572724">
              <w:rPr>
                <w:rFonts w:ascii="Times New Roman" w:eastAsia="Times New Roman" w:hAnsi="Times New Roman" w:cs="Times New Roman"/>
                <w:color w:val="000000"/>
                <w:lang w:eastAsia="en-GB"/>
              </w:rPr>
              <w:t xml:space="preserve"> D.; Jat R.K.; Groot J.C.J.</w:t>
            </w:r>
          </w:p>
        </w:tc>
        <w:tc>
          <w:tcPr>
            <w:tcW w:w="4940" w:type="dxa"/>
            <w:tcBorders>
              <w:top w:val="nil"/>
              <w:left w:val="nil"/>
              <w:bottom w:val="single" w:sz="4" w:space="0" w:color="auto"/>
              <w:right w:val="single" w:sz="4" w:space="0" w:color="auto"/>
            </w:tcBorders>
            <w:shd w:val="clear" w:color="auto" w:fill="auto"/>
            <w:vAlign w:val="bottom"/>
            <w:hideMark/>
          </w:tcPr>
          <w:p w14:paraId="5E760FE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Analyzing</w:t>
            </w:r>
            <w:proofErr w:type="spellEnd"/>
            <w:r w:rsidRPr="00572724">
              <w:rPr>
                <w:rFonts w:ascii="Times New Roman" w:eastAsia="Times New Roman" w:hAnsi="Times New Roman" w:cs="Times New Roman"/>
                <w:color w:val="000000"/>
                <w:lang w:eastAsia="en-GB"/>
              </w:rPr>
              <w:t xml:space="preserve"> antifragility among smallholder farmers in Bihar, India: An assessment of farmers' vulnerability and the strengths of positive deviants</w:t>
            </w:r>
          </w:p>
        </w:tc>
        <w:tc>
          <w:tcPr>
            <w:tcW w:w="1240" w:type="dxa"/>
            <w:tcBorders>
              <w:top w:val="nil"/>
              <w:left w:val="nil"/>
              <w:bottom w:val="single" w:sz="4" w:space="0" w:color="auto"/>
              <w:right w:val="single" w:sz="4" w:space="0" w:color="auto"/>
            </w:tcBorders>
            <w:shd w:val="clear" w:color="auto" w:fill="auto"/>
            <w:noWrap/>
            <w:vAlign w:val="bottom"/>
            <w:hideMark/>
          </w:tcPr>
          <w:p w14:paraId="724E200F"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7469009D"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DB395FF" w14:textId="77777777" w:rsidR="00572724" w:rsidRPr="00AF6801" w:rsidRDefault="00572724" w:rsidP="00572724">
            <w:pPr>
              <w:spacing w:after="0" w:line="276" w:lineRule="auto"/>
              <w:rPr>
                <w:rFonts w:ascii="Times New Roman" w:eastAsia="Times New Roman" w:hAnsi="Times New Roman" w:cs="Times New Roman"/>
                <w:color w:val="000000"/>
                <w:lang w:eastAsia="en-GB"/>
              </w:rPr>
            </w:pPr>
            <w:r w:rsidRPr="00AF6801">
              <w:rPr>
                <w:rFonts w:ascii="Times New Roman" w:eastAsia="Times New Roman" w:hAnsi="Times New Roman" w:cs="Times New Roman"/>
                <w:color w:val="000000"/>
                <w:lang w:eastAsia="en-GB"/>
              </w:rPr>
              <w:t xml:space="preserve">Adhikari L.; Komarek A.M.; de </w:t>
            </w:r>
            <w:proofErr w:type="spellStart"/>
            <w:r w:rsidRPr="00AF6801">
              <w:rPr>
                <w:rFonts w:ascii="Times New Roman" w:eastAsia="Times New Roman" w:hAnsi="Times New Roman" w:cs="Times New Roman"/>
                <w:color w:val="000000"/>
                <w:lang w:eastAsia="en-GB"/>
              </w:rPr>
              <w:t>Voil</w:t>
            </w:r>
            <w:proofErr w:type="spellEnd"/>
            <w:r w:rsidRPr="00AF6801">
              <w:rPr>
                <w:rFonts w:ascii="Times New Roman" w:eastAsia="Times New Roman" w:hAnsi="Times New Roman" w:cs="Times New Roman"/>
                <w:color w:val="000000"/>
                <w:lang w:eastAsia="en-GB"/>
              </w:rPr>
              <w:t xml:space="preserve"> P.; Rodriguez D.</w:t>
            </w:r>
          </w:p>
        </w:tc>
        <w:tc>
          <w:tcPr>
            <w:tcW w:w="4940" w:type="dxa"/>
            <w:tcBorders>
              <w:top w:val="nil"/>
              <w:left w:val="nil"/>
              <w:bottom w:val="single" w:sz="4" w:space="0" w:color="auto"/>
              <w:right w:val="single" w:sz="4" w:space="0" w:color="auto"/>
            </w:tcBorders>
            <w:shd w:val="clear" w:color="auto" w:fill="auto"/>
            <w:vAlign w:val="bottom"/>
            <w:hideMark/>
          </w:tcPr>
          <w:p w14:paraId="6D8E662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 framework for the assessment of farm diversification options in broadacre agriculture</w:t>
            </w:r>
          </w:p>
        </w:tc>
        <w:tc>
          <w:tcPr>
            <w:tcW w:w="1240" w:type="dxa"/>
            <w:tcBorders>
              <w:top w:val="nil"/>
              <w:left w:val="nil"/>
              <w:bottom w:val="single" w:sz="4" w:space="0" w:color="auto"/>
              <w:right w:val="single" w:sz="4" w:space="0" w:color="auto"/>
            </w:tcBorders>
            <w:shd w:val="clear" w:color="auto" w:fill="auto"/>
            <w:noWrap/>
            <w:vAlign w:val="bottom"/>
            <w:hideMark/>
          </w:tcPr>
          <w:p w14:paraId="0AF1AC3B"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4543BA94"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B49752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Ado, AM; </w:t>
            </w:r>
            <w:proofErr w:type="spellStart"/>
            <w:r w:rsidRPr="00572724">
              <w:rPr>
                <w:rFonts w:ascii="Times New Roman" w:eastAsia="Times New Roman" w:hAnsi="Times New Roman" w:cs="Times New Roman"/>
                <w:color w:val="000000"/>
                <w:lang w:eastAsia="en-GB"/>
              </w:rPr>
              <w:t>Leshan</w:t>
            </w:r>
            <w:proofErr w:type="spellEnd"/>
            <w:r w:rsidRPr="00572724">
              <w:rPr>
                <w:rFonts w:ascii="Times New Roman" w:eastAsia="Times New Roman" w:hAnsi="Times New Roman" w:cs="Times New Roman"/>
                <w:color w:val="000000"/>
                <w:lang w:eastAsia="en-GB"/>
              </w:rPr>
              <w:t xml:space="preserve">, J; </w:t>
            </w:r>
            <w:proofErr w:type="spellStart"/>
            <w:r w:rsidRPr="00572724">
              <w:rPr>
                <w:rFonts w:ascii="Times New Roman" w:eastAsia="Times New Roman" w:hAnsi="Times New Roman" w:cs="Times New Roman"/>
                <w:color w:val="000000"/>
                <w:lang w:eastAsia="en-GB"/>
              </w:rPr>
              <w:t>Savadogo</w:t>
            </w:r>
            <w:proofErr w:type="spellEnd"/>
            <w:r w:rsidRPr="00572724">
              <w:rPr>
                <w:rFonts w:ascii="Times New Roman" w:eastAsia="Times New Roman" w:hAnsi="Times New Roman" w:cs="Times New Roman"/>
                <w:color w:val="000000"/>
                <w:lang w:eastAsia="en-GB"/>
              </w:rPr>
              <w:t>, P; Bo, L; Shah, AA</w:t>
            </w:r>
          </w:p>
        </w:tc>
        <w:tc>
          <w:tcPr>
            <w:tcW w:w="4940" w:type="dxa"/>
            <w:tcBorders>
              <w:top w:val="nil"/>
              <w:left w:val="nil"/>
              <w:bottom w:val="single" w:sz="4" w:space="0" w:color="auto"/>
              <w:right w:val="single" w:sz="4" w:space="0" w:color="auto"/>
            </w:tcBorders>
            <w:shd w:val="clear" w:color="auto" w:fill="auto"/>
            <w:vAlign w:val="bottom"/>
            <w:hideMark/>
          </w:tcPr>
          <w:p w14:paraId="4C21402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Farmers' awareness and perception of climate change impacts: case study of </w:t>
            </w:r>
            <w:proofErr w:type="spellStart"/>
            <w:r w:rsidRPr="00572724">
              <w:rPr>
                <w:rFonts w:ascii="Times New Roman" w:eastAsia="Times New Roman" w:hAnsi="Times New Roman" w:cs="Times New Roman"/>
                <w:color w:val="000000"/>
                <w:lang w:eastAsia="en-GB"/>
              </w:rPr>
              <w:t>Aguie</w:t>
            </w:r>
            <w:proofErr w:type="spellEnd"/>
            <w:r w:rsidRPr="00572724">
              <w:rPr>
                <w:rFonts w:ascii="Times New Roman" w:eastAsia="Times New Roman" w:hAnsi="Times New Roman" w:cs="Times New Roman"/>
                <w:color w:val="000000"/>
                <w:lang w:eastAsia="en-GB"/>
              </w:rPr>
              <w:t xml:space="preserve"> district in Niger</w:t>
            </w:r>
          </w:p>
        </w:tc>
        <w:tc>
          <w:tcPr>
            <w:tcW w:w="1240" w:type="dxa"/>
            <w:tcBorders>
              <w:top w:val="nil"/>
              <w:left w:val="nil"/>
              <w:bottom w:val="single" w:sz="4" w:space="0" w:color="auto"/>
              <w:right w:val="single" w:sz="4" w:space="0" w:color="auto"/>
            </w:tcBorders>
            <w:shd w:val="clear" w:color="auto" w:fill="auto"/>
            <w:vAlign w:val="bottom"/>
            <w:hideMark/>
          </w:tcPr>
          <w:p w14:paraId="32A6D4F0"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2019</w:t>
            </w:r>
          </w:p>
        </w:tc>
      </w:tr>
      <w:tr w:rsidR="00572724" w:rsidRPr="00572724" w14:paraId="20021129"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2598CD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Ado, AM; </w:t>
            </w:r>
            <w:proofErr w:type="spellStart"/>
            <w:r w:rsidRPr="00572724">
              <w:rPr>
                <w:rFonts w:ascii="Times New Roman" w:eastAsia="Times New Roman" w:hAnsi="Times New Roman" w:cs="Times New Roman"/>
                <w:color w:val="000000"/>
                <w:lang w:eastAsia="en-GB"/>
              </w:rPr>
              <w:t>Savadogo</w:t>
            </w:r>
            <w:proofErr w:type="spellEnd"/>
            <w:r w:rsidRPr="00572724">
              <w:rPr>
                <w:rFonts w:ascii="Times New Roman" w:eastAsia="Times New Roman" w:hAnsi="Times New Roman" w:cs="Times New Roman"/>
                <w:color w:val="000000"/>
                <w:lang w:eastAsia="en-GB"/>
              </w:rPr>
              <w:t>, P; Pervez, AKMK; Mudimu, GT</w:t>
            </w:r>
          </w:p>
        </w:tc>
        <w:tc>
          <w:tcPr>
            <w:tcW w:w="4940" w:type="dxa"/>
            <w:tcBorders>
              <w:top w:val="nil"/>
              <w:left w:val="nil"/>
              <w:bottom w:val="single" w:sz="4" w:space="0" w:color="auto"/>
              <w:right w:val="single" w:sz="4" w:space="0" w:color="auto"/>
            </w:tcBorders>
            <w:shd w:val="clear" w:color="auto" w:fill="auto"/>
            <w:vAlign w:val="bottom"/>
            <w:hideMark/>
          </w:tcPr>
          <w:p w14:paraId="507DF6F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Farmers' perceptions and adaptation strategies to climate risks and their determinants: insights from a farming community of </w:t>
            </w:r>
            <w:proofErr w:type="spellStart"/>
            <w:r w:rsidRPr="00572724">
              <w:rPr>
                <w:rFonts w:ascii="Times New Roman" w:eastAsia="Times New Roman" w:hAnsi="Times New Roman" w:cs="Times New Roman"/>
                <w:color w:val="000000"/>
                <w:lang w:eastAsia="en-GB"/>
              </w:rPr>
              <w:t>Aguie</w:t>
            </w:r>
            <w:proofErr w:type="spellEnd"/>
            <w:r w:rsidRPr="00572724">
              <w:rPr>
                <w:rFonts w:ascii="Times New Roman" w:eastAsia="Times New Roman" w:hAnsi="Times New Roman" w:cs="Times New Roman"/>
                <w:color w:val="000000"/>
                <w:lang w:eastAsia="en-GB"/>
              </w:rPr>
              <w:t xml:space="preserve"> district in Niger</w:t>
            </w:r>
          </w:p>
        </w:tc>
        <w:tc>
          <w:tcPr>
            <w:tcW w:w="1240" w:type="dxa"/>
            <w:tcBorders>
              <w:top w:val="nil"/>
              <w:left w:val="nil"/>
              <w:bottom w:val="single" w:sz="4" w:space="0" w:color="auto"/>
              <w:right w:val="single" w:sz="4" w:space="0" w:color="auto"/>
            </w:tcBorders>
            <w:shd w:val="clear" w:color="auto" w:fill="auto"/>
            <w:vAlign w:val="bottom"/>
            <w:hideMark/>
          </w:tcPr>
          <w:p w14:paraId="0B78452A"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09C7C732"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A590E8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Ahmed N., Diana J.S.,</w:t>
            </w:r>
          </w:p>
        </w:tc>
        <w:tc>
          <w:tcPr>
            <w:tcW w:w="4940" w:type="dxa"/>
            <w:tcBorders>
              <w:top w:val="nil"/>
              <w:left w:val="nil"/>
              <w:bottom w:val="single" w:sz="4" w:space="0" w:color="auto"/>
              <w:right w:val="single" w:sz="4" w:space="0" w:color="auto"/>
            </w:tcBorders>
            <w:shd w:val="clear" w:color="auto" w:fill="auto"/>
            <w:vAlign w:val="bottom"/>
            <w:hideMark/>
          </w:tcPr>
          <w:p w14:paraId="158E8F6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Threatening "white gold": Impacts of climate change on shrimp farming in coastal Bangladesh</w:t>
            </w:r>
          </w:p>
        </w:tc>
        <w:tc>
          <w:tcPr>
            <w:tcW w:w="1240" w:type="dxa"/>
            <w:tcBorders>
              <w:top w:val="nil"/>
              <w:left w:val="nil"/>
              <w:bottom w:val="single" w:sz="4" w:space="0" w:color="auto"/>
              <w:right w:val="single" w:sz="4" w:space="0" w:color="auto"/>
            </w:tcBorders>
            <w:shd w:val="clear" w:color="auto" w:fill="auto"/>
            <w:vAlign w:val="bottom"/>
            <w:hideMark/>
          </w:tcPr>
          <w:p w14:paraId="19205E21"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2015</w:t>
            </w:r>
          </w:p>
        </w:tc>
      </w:tr>
      <w:tr w:rsidR="00572724" w:rsidRPr="00572724" w14:paraId="57DE57D1"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0318D4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Ahmed Z., Guha G.S., Shew A.M., Alam G.M.M.,</w:t>
            </w:r>
          </w:p>
        </w:tc>
        <w:tc>
          <w:tcPr>
            <w:tcW w:w="4940" w:type="dxa"/>
            <w:tcBorders>
              <w:top w:val="nil"/>
              <w:left w:val="nil"/>
              <w:bottom w:val="single" w:sz="4" w:space="0" w:color="auto"/>
              <w:right w:val="single" w:sz="4" w:space="0" w:color="auto"/>
            </w:tcBorders>
            <w:shd w:val="clear" w:color="auto" w:fill="auto"/>
            <w:vAlign w:val="bottom"/>
            <w:hideMark/>
          </w:tcPr>
          <w:p w14:paraId="1805948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 risk perceptions and agricultural adaptation strategies in vulnerable riverine char islands of Bangladesh</w:t>
            </w:r>
          </w:p>
        </w:tc>
        <w:tc>
          <w:tcPr>
            <w:tcW w:w="1240" w:type="dxa"/>
            <w:tcBorders>
              <w:top w:val="nil"/>
              <w:left w:val="nil"/>
              <w:bottom w:val="single" w:sz="4" w:space="0" w:color="auto"/>
              <w:right w:val="single" w:sz="4" w:space="0" w:color="auto"/>
            </w:tcBorders>
            <w:shd w:val="clear" w:color="auto" w:fill="auto"/>
            <w:vAlign w:val="bottom"/>
            <w:hideMark/>
          </w:tcPr>
          <w:p w14:paraId="2920515E"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610DF7C9"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7DBD08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lastRenderedPageBreak/>
              <w:t xml:space="preserve">Albert M.; </w:t>
            </w:r>
            <w:proofErr w:type="spellStart"/>
            <w:r w:rsidRPr="00572724">
              <w:rPr>
                <w:rFonts w:ascii="Times New Roman" w:eastAsia="Times New Roman" w:hAnsi="Times New Roman" w:cs="Times New Roman"/>
                <w:color w:val="000000"/>
                <w:lang w:eastAsia="en-GB"/>
              </w:rPr>
              <w:t>Bergez</w:t>
            </w:r>
            <w:proofErr w:type="spellEnd"/>
            <w:r w:rsidRPr="00572724">
              <w:rPr>
                <w:rFonts w:ascii="Times New Roman" w:eastAsia="Times New Roman" w:hAnsi="Times New Roman" w:cs="Times New Roman"/>
                <w:color w:val="000000"/>
                <w:lang w:eastAsia="en-GB"/>
              </w:rPr>
              <w:t xml:space="preserve"> J.-E.; </w:t>
            </w:r>
            <w:proofErr w:type="spellStart"/>
            <w:r w:rsidRPr="00572724">
              <w:rPr>
                <w:rFonts w:ascii="Times New Roman" w:eastAsia="Times New Roman" w:hAnsi="Times New Roman" w:cs="Times New Roman"/>
                <w:color w:val="000000"/>
                <w:lang w:eastAsia="en-GB"/>
              </w:rPr>
              <w:t>Willaume</w:t>
            </w:r>
            <w:proofErr w:type="spellEnd"/>
            <w:r w:rsidRPr="00572724">
              <w:rPr>
                <w:rFonts w:ascii="Times New Roman" w:eastAsia="Times New Roman" w:hAnsi="Times New Roman" w:cs="Times New Roman"/>
                <w:color w:val="000000"/>
                <w:lang w:eastAsia="en-GB"/>
              </w:rPr>
              <w:t xml:space="preserve"> M.; Couture S.</w:t>
            </w:r>
          </w:p>
        </w:tc>
        <w:tc>
          <w:tcPr>
            <w:tcW w:w="4940" w:type="dxa"/>
            <w:tcBorders>
              <w:top w:val="nil"/>
              <w:left w:val="nil"/>
              <w:bottom w:val="single" w:sz="4" w:space="0" w:color="auto"/>
              <w:right w:val="single" w:sz="4" w:space="0" w:color="auto"/>
            </w:tcBorders>
            <w:shd w:val="clear" w:color="auto" w:fill="auto"/>
            <w:vAlign w:val="bottom"/>
            <w:hideMark/>
          </w:tcPr>
          <w:p w14:paraId="16DACE1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Vulnerability of Maize Farming Systems to Climate Change: Farmers’ Opinions Differ about the Relevance of Adaptation Strategies</w:t>
            </w:r>
          </w:p>
        </w:tc>
        <w:tc>
          <w:tcPr>
            <w:tcW w:w="1240" w:type="dxa"/>
            <w:tcBorders>
              <w:top w:val="nil"/>
              <w:left w:val="nil"/>
              <w:bottom w:val="single" w:sz="4" w:space="0" w:color="auto"/>
              <w:right w:val="single" w:sz="4" w:space="0" w:color="auto"/>
            </w:tcBorders>
            <w:shd w:val="clear" w:color="auto" w:fill="auto"/>
            <w:noWrap/>
            <w:vAlign w:val="bottom"/>
            <w:hideMark/>
          </w:tcPr>
          <w:p w14:paraId="6320168D"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3543C77D"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FE7CEA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Alcon F.; </w:t>
            </w:r>
            <w:proofErr w:type="spellStart"/>
            <w:r w:rsidRPr="00572724">
              <w:rPr>
                <w:rFonts w:ascii="Times New Roman" w:eastAsia="Times New Roman" w:hAnsi="Times New Roman" w:cs="Times New Roman"/>
                <w:color w:val="000000"/>
                <w:lang w:eastAsia="en-GB"/>
              </w:rPr>
              <w:t>Albaladejo</w:t>
            </w:r>
            <w:proofErr w:type="spellEnd"/>
            <w:r w:rsidRPr="00572724">
              <w:rPr>
                <w:rFonts w:ascii="Times New Roman" w:eastAsia="Times New Roman" w:hAnsi="Times New Roman" w:cs="Times New Roman"/>
                <w:color w:val="000000"/>
                <w:lang w:eastAsia="en-GB"/>
              </w:rPr>
              <w:t xml:space="preserve">-García J.A.; Martínez-García V.; Rossi E.S.; Blasi E.; Lehtonen H.; Martínez-Paz J.M.; </w:t>
            </w:r>
            <w:proofErr w:type="spellStart"/>
            <w:r w:rsidRPr="00572724">
              <w:rPr>
                <w:rFonts w:ascii="Times New Roman" w:eastAsia="Times New Roman" w:hAnsi="Times New Roman" w:cs="Times New Roman"/>
                <w:color w:val="000000"/>
                <w:lang w:eastAsia="en-GB"/>
              </w:rPr>
              <w:t>Zabala</w:t>
            </w:r>
            <w:proofErr w:type="spellEnd"/>
            <w:r w:rsidRPr="00572724">
              <w:rPr>
                <w:rFonts w:ascii="Times New Roman" w:eastAsia="Times New Roman" w:hAnsi="Times New Roman" w:cs="Times New Roman"/>
                <w:color w:val="000000"/>
                <w:lang w:eastAsia="en-GB"/>
              </w:rPr>
              <w:t xml:space="preserve"> J.A.</w:t>
            </w:r>
          </w:p>
        </w:tc>
        <w:tc>
          <w:tcPr>
            <w:tcW w:w="4940" w:type="dxa"/>
            <w:tcBorders>
              <w:top w:val="nil"/>
              <w:left w:val="nil"/>
              <w:bottom w:val="single" w:sz="4" w:space="0" w:color="auto"/>
              <w:right w:val="single" w:sz="4" w:space="0" w:color="auto"/>
            </w:tcBorders>
            <w:shd w:val="clear" w:color="auto" w:fill="auto"/>
            <w:vAlign w:val="bottom"/>
            <w:hideMark/>
          </w:tcPr>
          <w:p w14:paraId="2AF0E24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Cost benefit analysis of diversified farming systems across Europe: Incorporating non-market benefits of ecosystem services</w:t>
            </w:r>
          </w:p>
        </w:tc>
        <w:tc>
          <w:tcPr>
            <w:tcW w:w="1240" w:type="dxa"/>
            <w:tcBorders>
              <w:top w:val="nil"/>
              <w:left w:val="nil"/>
              <w:bottom w:val="single" w:sz="4" w:space="0" w:color="auto"/>
              <w:right w:val="single" w:sz="4" w:space="0" w:color="auto"/>
            </w:tcBorders>
            <w:shd w:val="clear" w:color="auto" w:fill="auto"/>
            <w:vAlign w:val="bottom"/>
            <w:hideMark/>
          </w:tcPr>
          <w:p w14:paraId="76264576"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30F74568"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448D79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Alotaibi B.A.; Xu W.; Shah A.A.; Ullah W.</w:t>
            </w:r>
          </w:p>
        </w:tc>
        <w:tc>
          <w:tcPr>
            <w:tcW w:w="4940" w:type="dxa"/>
            <w:tcBorders>
              <w:top w:val="nil"/>
              <w:left w:val="nil"/>
              <w:bottom w:val="single" w:sz="4" w:space="0" w:color="auto"/>
              <w:right w:val="single" w:sz="4" w:space="0" w:color="auto"/>
            </w:tcBorders>
            <w:shd w:val="clear" w:color="auto" w:fill="auto"/>
            <w:vAlign w:val="bottom"/>
            <w:hideMark/>
          </w:tcPr>
          <w:p w14:paraId="798257E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Exploring Climate-Induced Agricultural Risk in Saudi Arabia: Evidence from Farming Communities of Medina Region</w:t>
            </w:r>
          </w:p>
        </w:tc>
        <w:tc>
          <w:tcPr>
            <w:tcW w:w="1240" w:type="dxa"/>
            <w:tcBorders>
              <w:top w:val="nil"/>
              <w:left w:val="nil"/>
              <w:bottom w:val="single" w:sz="4" w:space="0" w:color="auto"/>
              <w:right w:val="single" w:sz="4" w:space="0" w:color="auto"/>
            </w:tcBorders>
            <w:shd w:val="clear" w:color="auto" w:fill="auto"/>
            <w:noWrap/>
            <w:vAlign w:val="bottom"/>
            <w:hideMark/>
          </w:tcPr>
          <w:p w14:paraId="1873E3CF"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14A4CEF3"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92E6C05"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Amadu F.O.; McNamara P.E.; Davis K.E.</w:t>
            </w:r>
          </w:p>
        </w:tc>
        <w:tc>
          <w:tcPr>
            <w:tcW w:w="4940" w:type="dxa"/>
            <w:tcBorders>
              <w:top w:val="nil"/>
              <w:left w:val="nil"/>
              <w:bottom w:val="single" w:sz="4" w:space="0" w:color="auto"/>
              <w:right w:val="single" w:sz="4" w:space="0" w:color="auto"/>
            </w:tcBorders>
            <w:shd w:val="clear" w:color="auto" w:fill="auto"/>
            <w:vAlign w:val="bottom"/>
            <w:hideMark/>
          </w:tcPr>
          <w:p w14:paraId="24F2A90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Soil health and grain yield impacts of climate resilient agriculture projects: Evidence from southern Malawi</w:t>
            </w:r>
          </w:p>
        </w:tc>
        <w:tc>
          <w:tcPr>
            <w:tcW w:w="1240" w:type="dxa"/>
            <w:tcBorders>
              <w:top w:val="nil"/>
              <w:left w:val="nil"/>
              <w:bottom w:val="single" w:sz="4" w:space="0" w:color="auto"/>
              <w:right w:val="single" w:sz="4" w:space="0" w:color="auto"/>
            </w:tcBorders>
            <w:shd w:val="clear" w:color="auto" w:fill="auto"/>
            <w:noWrap/>
            <w:vAlign w:val="bottom"/>
            <w:hideMark/>
          </w:tcPr>
          <w:p w14:paraId="0C4A2CC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691B0998"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1A3EF0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Amamou</w:t>
            </w:r>
            <w:proofErr w:type="spellEnd"/>
            <w:r w:rsidRPr="00572724">
              <w:rPr>
                <w:rFonts w:ascii="Times New Roman" w:eastAsia="Times New Roman" w:hAnsi="Times New Roman" w:cs="Times New Roman"/>
                <w:color w:val="000000"/>
                <w:lang w:eastAsia="en-GB"/>
              </w:rPr>
              <w:t xml:space="preserve"> H.; </w:t>
            </w:r>
            <w:proofErr w:type="spellStart"/>
            <w:r w:rsidRPr="00572724">
              <w:rPr>
                <w:rFonts w:ascii="Times New Roman" w:eastAsia="Times New Roman" w:hAnsi="Times New Roman" w:cs="Times New Roman"/>
                <w:color w:val="000000"/>
                <w:lang w:eastAsia="en-GB"/>
              </w:rPr>
              <w:t>Mahouachi</w:t>
            </w:r>
            <w:proofErr w:type="spellEnd"/>
            <w:r w:rsidRPr="00572724">
              <w:rPr>
                <w:rFonts w:ascii="Times New Roman" w:eastAsia="Times New Roman" w:hAnsi="Times New Roman" w:cs="Times New Roman"/>
                <w:color w:val="000000"/>
                <w:lang w:eastAsia="en-GB"/>
              </w:rPr>
              <w:t xml:space="preserve"> M.; Dale L.M.; Beckers Y.; </w:t>
            </w:r>
            <w:proofErr w:type="spellStart"/>
            <w:r w:rsidRPr="00572724">
              <w:rPr>
                <w:rFonts w:ascii="Times New Roman" w:eastAsia="Times New Roman" w:hAnsi="Times New Roman" w:cs="Times New Roman"/>
                <w:color w:val="000000"/>
                <w:lang w:eastAsia="en-GB"/>
              </w:rPr>
              <w:t>Hammami</w:t>
            </w:r>
            <w:proofErr w:type="spellEnd"/>
            <w:r w:rsidRPr="00572724">
              <w:rPr>
                <w:rFonts w:ascii="Times New Roman" w:eastAsia="Times New Roman" w:hAnsi="Times New Roman" w:cs="Times New Roman"/>
                <w:color w:val="000000"/>
                <w:lang w:eastAsia="en-GB"/>
              </w:rPr>
              <w:t xml:space="preserve"> H.</w:t>
            </w:r>
          </w:p>
        </w:tc>
        <w:tc>
          <w:tcPr>
            <w:tcW w:w="4940" w:type="dxa"/>
            <w:tcBorders>
              <w:top w:val="nil"/>
              <w:left w:val="nil"/>
              <w:bottom w:val="single" w:sz="4" w:space="0" w:color="auto"/>
              <w:right w:val="single" w:sz="4" w:space="0" w:color="auto"/>
            </w:tcBorders>
            <w:shd w:val="clear" w:color="auto" w:fill="auto"/>
            <w:vAlign w:val="bottom"/>
            <w:hideMark/>
          </w:tcPr>
          <w:p w14:paraId="5915ECE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Vulnerability assessments in dairy cattle farms based on individual sensitivity to heat stress</w:t>
            </w:r>
          </w:p>
        </w:tc>
        <w:tc>
          <w:tcPr>
            <w:tcW w:w="1240" w:type="dxa"/>
            <w:tcBorders>
              <w:top w:val="nil"/>
              <w:left w:val="nil"/>
              <w:bottom w:val="single" w:sz="4" w:space="0" w:color="auto"/>
              <w:right w:val="single" w:sz="4" w:space="0" w:color="auto"/>
            </w:tcBorders>
            <w:shd w:val="clear" w:color="auto" w:fill="auto"/>
            <w:noWrap/>
            <w:vAlign w:val="bottom"/>
            <w:hideMark/>
          </w:tcPr>
          <w:p w14:paraId="392F5D4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35402D3C"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D4BF60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Amamou</w:t>
            </w:r>
            <w:proofErr w:type="spellEnd"/>
            <w:r w:rsidRPr="00572724">
              <w:rPr>
                <w:rFonts w:ascii="Times New Roman" w:eastAsia="Times New Roman" w:hAnsi="Times New Roman" w:cs="Times New Roman"/>
                <w:color w:val="000000"/>
                <w:lang w:eastAsia="en-GB"/>
              </w:rPr>
              <w:t xml:space="preserve">, H; Ben Sassi, M; </w:t>
            </w:r>
            <w:proofErr w:type="spellStart"/>
            <w:r w:rsidRPr="00572724">
              <w:rPr>
                <w:rFonts w:ascii="Times New Roman" w:eastAsia="Times New Roman" w:hAnsi="Times New Roman" w:cs="Times New Roman"/>
                <w:color w:val="000000"/>
                <w:lang w:eastAsia="en-GB"/>
              </w:rPr>
              <w:t>Aouadi</w:t>
            </w:r>
            <w:proofErr w:type="spellEnd"/>
            <w:r w:rsidRPr="00572724">
              <w:rPr>
                <w:rFonts w:ascii="Times New Roman" w:eastAsia="Times New Roman" w:hAnsi="Times New Roman" w:cs="Times New Roman"/>
                <w:color w:val="000000"/>
                <w:lang w:eastAsia="en-GB"/>
              </w:rPr>
              <w:t xml:space="preserve">, H; </w:t>
            </w:r>
            <w:proofErr w:type="spellStart"/>
            <w:r w:rsidRPr="00572724">
              <w:rPr>
                <w:rFonts w:ascii="Times New Roman" w:eastAsia="Times New Roman" w:hAnsi="Times New Roman" w:cs="Times New Roman"/>
                <w:color w:val="000000"/>
                <w:lang w:eastAsia="en-GB"/>
              </w:rPr>
              <w:t>Khemiri</w:t>
            </w:r>
            <w:proofErr w:type="spellEnd"/>
            <w:r w:rsidRPr="00572724">
              <w:rPr>
                <w:rFonts w:ascii="Times New Roman" w:eastAsia="Times New Roman" w:hAnsi="Times New Roman" w:cs="Times New Roman"/>
                <w:color w:val="000000"/>
                <w:lang w:eastAsia="en-GB"/>
              </w:rPr>
              <w:t xml:space="preserve">, H; </w:t>
            </w:r>
            <w:proofErr w:type="spellStart"/>
            <w:r w:rsidRPr="00572724">
              <w:rPr>
                <w:rFonts w:ascii="Times New Roman" w:eastAsia="Times New Roman" w:hAnsi="Times New Roman" w:cs="Times New Roman"/>
                <w:color w:val="000000"/>
                <w:lang w:eastAsia="en-GB"/>
              </w:rPr>
              <w:t>Mahouachi</w:t>
            </w:r>
            <w:proofErr w:type="spellEnd"/>
            <w:r w:rsidRPr="00572724">
              <w:rPr>
                <w:rFonts w:ascii="Times New Roman" w:eastAsia="Times New Roman" w:hAnsi="Times New Roman" w:cs="Times New Roman"/>
                <w:color w:val="000000"/>
                <w:lang w:eastAsia="en-GB"/>
              </w:rPr>
              <w:t xml:space="preserve">, M; Beckers, Y; </w:t>
            </w:r>
            <w:proofErr w:type="spellStart"/>
            <w:r w:rsidRPr="00572724">
              <w:rPr>
                <w:rFonts w:ascii="Times New Roman" w:eastAsia="Times New Roman" w:hAnsi="Times New Roman" w:cs="Times New Roman"/>
                <w:color w:val="000000"/>
                <w:lang w:eastAsia="en-GB"/>
              </w:rPr>
              <w:t>Hammami</w:t>
            </w:r>
            <w:proofErr w:type="spellEnd"/>
            <w:r w:rsidRPr="00572724">
              <w:rPr>
                <w:rFonts w:ascii="Times New Roman" w:eastAsia="Times New Roman" w:hAnsi="Times New Roman" w:cs="Times New Roman"/>
                <w:color w:val="000000"/>
                <w:lang w:eastAsia="en-GB"/>
              </w:rPr>
              <w:t>, H</w:t>
            </w:r>
          </w:p>
        </w:tc>
        <w:tc>
          <w:tcPr>
            <w:tcW w:w="4940" w:type="dxa"/>
            <w:tcBorders>
              <w:top w:val="nil"/>
              <w:left w:val="nil"/>
              <w:bottom w:val="single" w:sz="4" w:space="0" w:color="auto"/>
              <w:right w:val="single" w:sz="4" w:space="0" w:color="auto"/>
            </w:tcBorders>
            <w:shd w:val="clear" w:color="auto" w:fill="auto"/>
            <w:vAlign w:val="bottom"/>
            <w:hideMark/>
          </w:tcPr>
          <w:p w14:paraId="7629E39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change-related risks and adaptation strategies as perceived in dairy cattle farming systems in Tunisia</w:t>
            </w:r>
          </w:p>
        </w:tc>
        <w:tc>
          <w:tcPr>
            <w:tcW w:w="1240" w:type="dxa"/>
            <w:tcBorders>
              <w:top w:val="nil"/>
              <w:left w:val="nil"/>
              <w:bottom w:val="single" w:sz="4" w:space="0" w:color="auto"/>
              <w:right w:val="single" w:sz="4" w:space="0" w:color="auto"/>
            </w:tcBorders>
            <w:shd w:val="clear" w:color="auto" w:fill="auto"/>
            <w:vAlign w:val="bottom"/>
            <w:hideMark/>
          </w:tcPr>
          <w:p w14:paraId="400C5C5D"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0CF81CF2"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A141B4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Amarnath G.; Taron A.; </w:t>
            </w:r>
            <w:proofErr w:type="spellStart"/>
            <w:r w:rsidRPr="00572724">
              <w:rPr>
                <w:rFonts w:ascii="Times New Roman" w:eastAsia="Times New Roman" w:hAnsi="Times New Roman" w:cs="Times New Roman"/>
                <w:color w:val="000000"/>
                <w:lang w:eastAsia="en-GB"/>
              </w:rPr>
              <w:t>Alahacoon</w:t>
            </w:r>
            <w:proofErr w:type="spellEnd"/>
            <w:r w:rsidRPr="00572724">
              <w:rPr>
                <w:rFonts w:ascii="Times New Roman" w:eastAsia="Times New Roman" w:hAnsi="Times New Roman" w:cs="Times New Roman"/>
                <w:color w:val="000000"/>
                <w:lang w:eastAsia="en-GB"/>
              </w:rPr>
              <w:t xml:space="preserve"> N.; Ghosh S.</w:t>
            </w:r>
          </w:p>
        </w:tc>
        <w:tc>
          <w:tcPr>
            <w:tcW w:w="4940" w:type="dxa"/>
            <w:tcBorders>
              <w:top w:val="nil"/>
              <w:left w:val="nil"/>
              <w:bottom w:val="single" w:sz="4" w:space="0" w:color="auto"/>
              <w:right w:val="single" w:sz="4" w:space="0" w:color="auto"/>
            </w:tcBorders>
            <w:shd w:val="clear" w:color="auto" w:fill="auto"/>
            <w:vAlign w:val="bottom"/>
            <w:hideMark/>
          </w:tcPr>
          <w:p w14:paraId="706773B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Bundled climate-smart agricultural solutions for smallholder farmers in Sri Lanka</w:t>
            </w:r>
          </w:p>
        </w:tc>
        <w:tc>
          <w:tcPr>
            <w:tcW w:w="1240" w:type="dxa"/>
            <w:tcBorders>
              <w:top w:val="nil"/>
              <w:left w:val="nil"/>
              <w:bottom w:val="single" w:sz="4" w:space="0" w:color="auto"/>
              <w:right w:val="single" w:sz="4" w:space="0" w:color="auto"/>
            </w:tcBorders>
            <w:shd w:val="clear" w:color="auto" w:fill="auto"/>
            <w:noWrap/>
            <w:vAlign w:val="bottom"/>
            <w:hideMark/>
          </w:tcPr>
          <w:p w14:paraId="4BD0311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43AE0F1E"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57B1E5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Antwi</w:t>
            </w:r>
            <w:proofErr w:type="spellEnd"/>
            <w:r w:rsidRPr="00572724">
              <w:rPr>
                <w:rFonts w:ascii="Times New Roman" w:eastAsia="Times New Roman" w:hAnsi="Times New Roman" w:cs="Times New Roman"/>
                <w:color w:val="000000"/>
                <w:lang w:eastAsia="en-GB"/>
              </w:rPr>
              <w:t xml:space="preserve"> K.; </w:t>
            </w:r>
            <w:proofErr w:type="spellStart"/>
            <w:r w:rsidRPr="00572724">
              <w:rPr>
                <w:rFonts w:ascii="Times New Roman" w:eastAsia="Times New Roman" w:hAnsi="Times New Roman" w:cs="Times New Roman"/>
                <w:color w:val="000000"/>
                <w:lang w:eastAsia="en-GB"/>
              </w:rPr>
              <w:t>Antwi</w:t>
            </w:r>
            <w:proofErr w:type="spellEnd"/>
            <w:r w:rsidRPr="00572724">
              <w:rPr>
                <w:rFonts w:ascii="Times New Roman" w:eastAsia="Times New Roman" w:hAnsi="Times New Roman" w:cs="Times New Roman"/>
                <w:color w:val="000000"/>
                <w:lang w:eastAsia="en-GB"/>
              </w:rPr>
              <w:t>-Agyei P.</w:t>
            </w:r>
          </w:p>
        </w:tc>
        <w:tc>
          <w:tcPr>
            <w:tcW w:w="4940" w:type="dxa"/>
            <w:tcBorders>
              <w:top w:val="nil"/>
              <w:left w:val="nil"/>
              <w:bottom w:val="single" w:sz="4" w:space="0" w:color="auto"/>
              <w:right w:val="single" w:sz="4" w:space="0" w:color="auto"/>
            </w:tcBorders>
            <w:shd w:val="clear" w:color="auto" w:fill="auto"/>
            <w:vAlign w:val="bottom"/>
            <w:hideMark/>
          </w:tcPr>
          <w:p w14:paraId="7F48EDA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Intra-gendered perceptions and adoption of climate-smart agriculture: Evidence from smallholder farmers in the Upper East Region of Ghana</w:t>
            </w:r>
          </w:p>
        </w:tc>
        <w:tc>
          <w:tcPr>
            <w:tcW w:w="1240" w:type="dxa"/>
            <w:tcBorders>
              <w:top w:val="nil"/>
              <w:left w:val="nil"/>
              <w:bottom w:val="single" w:sz="4" w:space="0" w:color="auto"/>
              <w:right w:val="single" w:sz="4" w:space="0" w:color="auto"/>
            </w:tcBorders>
            <w:shd w:val="clear" w:color="auto" w:fill="auto"/>
            <w:noWrap/>
            <w:vAlign w:val="bottom"/>
            <w:hideMark/>
          </w:tcPr>
          <w:p w14:paraId="2BD273B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0B1D5D81"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786D15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Aryal</w:t>
            </w:r>
            <w:proofErr w:type="spellEnd"/>
            <w:r w:rsidRPr="00572724">
              <w:rPr>
                <w:rFonts w:ascii="Times New Roman" w:eastAsia="Times New Roman" w:hAnsi="Times New Roman" w:cs="Times New Roman"/>
                <w:color w:val="000000"/>
                <w:lang w:eastAsia="en-GB"/>
              </w:rPr>
              <w:t xml:space="preserve"> J.P., Sapkota T.B., </w:t>
            </w:r>
            <w:proofErr w:type="spellStart"/>
            <w:r w:rsidRPr="00572724">
              <w:rPr>
                <w:rFonts w:ascii="Times New Roman" w:eastAsia="Times New Roman" w:hAnsi="Times New Roman" w:cs="Times New Roman"/>
                <w:color w:val="000000"/>
                <w:lang w:eastAsia="en-GB"/>
              </w:rPr>
              <w:t>Rahut</w:t>
            </w:r>
            <w:proofErr w:type="spellEnd"/>
            <w:r w:rsidRPr="00572724">
              <w:rPr>
                <w:rFonts w:ascii="Times New Roman" w:eastAsia="Times New Roman" w:hAnsi="Times New Roman" w:cs="Times New Roman"/>
                <w:color w:val="000000"/>
                <w:lang w:eastAsia="en-GB"/>
              </w:rPr>
              <w:t xml:space="preserve"> D.B., </w:t>
            </w:r>
            <w:proofErr w:type="spellStart"/>
            <w:r w:rsidRPr="00572724">
              <w:rPr>
                <w:rFonts w:ascii="Times New Roman" w:eastAsia="Times New Roman" w:hAnsi="Times New Roman" w:cs="Times New Roman"/>
                <w:color w:val="000000"/>
                <w:lang w:eastAsia="en-GB"/>
              </w:rPr>
              <w:t>Krupnik</w:t>
            </w:r>
            <w:proofErr w:type="spellEnd"/>
            <w:r w:rsidRPr="00572724">
              <w:rPr>
                <w:rFonts w:ascii="Times New Roman" w:eastAsia="Times New Roman" w:hAnsi="Times New Roman" w:cs="Times New Roman"/>
                <w:color w:val="000000"/>
                <w:lang w:eastAsia="en-GB"/>
              </w:rPr>
              <w:t xml:space="preserve"> T.J., </w:t>
            </w:r>
            <w:proofErr w:type="spellStart"/>
            <w:r w:rsidRPr="00572724">
              <w:rPr>
                <w:rFonts w:ascii="Times New Roman" w:eastAsia="Times New Roman" w:hAnsi="Times New Roman" w:cs="Times New Roman"/>
                <w:color w:val="000000"/>
                <w:lang w:eastAsia="en-GB"/>
              </w:rPr>
              <w:t>Shahrin</w:t>
            </w:r>
            <w:proofErr w:type="spellEnd"/>
            <w:r w:rsidRPr="00572724">
              <w:rPr>
                <w:rFonts w:ascii="Times New Roman" w:eastAsia="Times New Roman" w:hAnsi="Times New Roman" w:cs="Times New Roman"/>
                <w:color w:val="000000"/>
                <w:lang w:eastAsia="en-GB"/>
              </w:rPr>
              <w:t xml:space="preserve"> S., Jat M.L., Stirling C.M.,</w:t>
            </w:r>
          </w:p>
        </w:tc>
        <w:tc>
          <w:tcPr>
            <w:tcW w:w="4940" w:type="dxa"/>
            <w:tcBorders>
              <w:top w:val="nil"/>
              <w:left w:val="nil"/>
              <w:bottom w:val="single" w:sz="4" w:space="0" w:color="auto"/>
              <w:right w:val="single" w:sz="4" w:space="0" w:color="auto"/>
            </w:tcBorders>
            <w:shd w:val="clear" w:color="auto" w:fill="auto"/>
            <w:vAlign w:val="bottom"/>
            <w:hideMark/>
          </w:tcPr>
          <w:p w14:paraId="5A1A79A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Major Climate risks and Adaptation Strategies of Smallholder Farmers in Coastal Bangladesh</w:t>
            </w:r>
          </w:p>
        </w:tc>
        <w:tc>
          <w:tcPr>
            <w:tcW w:w="1240" w:type="dxa"/>
            <w:tcBorders>
              <w:top w:val="nil"/>
              <w:left w:val="nil"/>
              <w:bottom w:val="single" w:sz="4" w:space="0" w:color="auto"/>
              <w:right w:val="single" w:sz="4" w:space="0" w:color="auto"/>
            </w:tcBorders>
            <w:shd w:val="clear" w:color="auto" w:fill="auto"/>
            <w:vAlign w:val="bottom"/>
            <w:hideMark/>
          </w:tcPr>
          <w:p w14:paraId="44B91311"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31F5EBA5"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098C7A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Asmare</w:t>
            </w:r>
            <w:proofErr w:type="spellEnd"/>
            <w:r w:rsidRPr="00572724">
              <w:rPr>
                <w:rFonts w:ascii="Times New Roman" w:eastAsia="Times New Roman" w:hAnsi="Times New Roman" w:cs="Times New Roman"/>
                <w:color w:val="000000"/>
                <w:lang w:eastAsia="en-GB"/>
              </w:rPr>
              <w:t xml:space="preserve"> F.; </w:t>
            </w:r>
            <w:proofErr w:type="spellStart"/>
            <w:r w:rsidRPr="00572724">
              <w:rPr>
                <w:rFonts w:ascii="Times New Roman" w:eastAsia="Times New Roman" w:hAnsi="Times New Roman" w:cs="Times New Roman"/>
                <w:color w:val="000000"/>
                <w:lang w:eastAsia="en-GB"/>
              </w:rPr>
              <w:t>Jaraitė</w:t>
            </w:r>
            <w:proofErr w:type="spellEnd"/>
            <w:r w:rsidRPr="00572724">
              <w:rPr>
                <w:rFonts w:ascii="Times New Roman" w:eastAsia="Times New Roman" w:hAnsi="Times New Roman" w:cs="Times New Roman"/>
                <w:color w:val="000000"/>
                <w:lang w:eastAsia="en-GB"/>
              </w:rPr>
              <w:t xml:space="preserve"> J.; </w:t>
            </w:r>
            <w:proofErr w:type="spellStart"/>
            <w:r w:rsidRPr="00572724">
              <w:rPr>
                <w:rFonts w:ascii="Times New Roman" w:eastAsia="Times New Roman" w:hAnsi="Times New Roman" w:cs="Times New Roman"/>
                <w:color w:val="000000"/>
                <w:lang w:eastAsia="en-GB"/>
              </w:rPr>
              <w:t>Kažukauskas</w:t>
            </w:r>
            <w:proofErr w:type="spellEnd"/>
            <w:r w:rsidRPr="00572724">
              <w:rPr>
                <w:rFonts w:ascii="Times New Roman" w:eastAsia="Times New Roman" w:hAnsi="Times New Roman" w:cs="Times New Roman"/>
                <w:color w:val="000000"/>
                <w:lang w:eastAsia="en-GB"/>
              </w:rPr>
              <w:t xml:space="preserve"> A.</w:t>
            </w:r>
          </w:p>
        </w:tc>
        <w:tc>
          <w:tcPr>
            <w:tcW w:w="4940" w:type="dxa"/>
            <w:tcBorders>
              <w:top w:val="nil"/>
              <w:left w:val="nil"/>
              <w:bottom w:val="single" w:sz="4" w:space="0" w:color="auto"/>
              <w:right w:val="single" w:sz="4" w:space="0" w:color="auto"/>
            </w:tcBorders>
            <w:shd w:val="clear" w:color="auto" w:fill="auto"/>
            <w:vAlign w:val="bottom"/>
            <w:hideMark/>
          </w:tcPr>
          <w:p w14:paraId="0030F8F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 adaptation and productive efficiency of subsistence farming: A bias-corrected panel data stochastic frontier approach</w:t>
            </w:r>
          </w:p>
        </w:tc>
        <w:tc>
          <w:tcPr>
            <w:tcW w:w="1240" w:type="dxa"/>
            <w:tcBorders>
              <w:top w:val="nil"/>
              <w:left w:val="nil"/>
              <w:bottom w:val="single" w:sz="4" w:space="0" w:color="auto"/>
              <w:right w:val="single" w:sz="4" w:space="0" w:color="auto"/>
            </w:tcBorders>
            <w:shd w:val="clear" w:color="auto" w:fill="auto"/>
            <w:noWrap/>
            <w:vAlign w:val="bottom"/>
            <w:hideMark/>
          </w:tcPr>
          <w:p w14:paraId="71CBC94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1A94142A"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25DD928"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proofErr w:type="spellStart"/>
            <w:r w:rsidRPr="00572724">
              <w:rPr>
                <w:rFonts w:ascii="Times New Roman" w:eastAsia="Times New Roman" w:hAnsi="Times New Roman" w:cs="Times New Roman"/>
                <w:color w:val="000000"/>
                <w:lang w:val="fr-FR" w:eastAsia="en-GB"/>
              </w:rPr>
              <w:t>Asrari</w:t>
            </w:r>
            <w:proofErr w:type="spellEnd"/>
            <w:r w:rsidRPr="00572724">
              <w:rPr>
                <w:rFonts w:ascii="Times New Roman" w:eastAsia="Times New Roman" w:hAnsi="Times New Roman" w:cs="Times New Roman"/>
                <w:color w:val="000000"/>
                <w:lang w:val="fr-FR" w:eastAsia="en-GB"/>
              </w:rPr>
              <w:t xml:space="preserve"> A.; </w:t>
            </w:r>
            <w:proofErr w:type="spellStart"/>
            <w:r w:rsidRPr="00572724">
              <w:rPr>
                <w:rFonts w:ascii="Times New Roman" w:eastAsia="Times New Roman" w:hAnsi="Times New Roman" w:cs="Times New Roman"/>
                <w:color w:val="000000"/>
                <w:lang w:val="fr-FR" w:eastAsia="en-GB"/>
              </w:rPr>
              <w:t>Omidi</w:t>
            </w:r>
            <w:proofErr w:type="spellEnd"/>
            <w:r w:rsidRPr="00572724">
              <w:rPr>
                <w:rFonts w:ascii="Times New Roman" w:eastAsia="Times New Roman" w:hAnsi="Times New Roman" w:cs="Times New Roman"/>
                <w:color w:val="000000"/>
                <w:lang w:val="fr-FR" w:eastAsia="en-GB"/>
              </w:rPr>
              <w:t xml:space="preserve"> </w:t>
            </w:r>
            <w:proofErr w:type="spellStart"/>
            <w:r w:rsidRPr="00572724">
              <w:rPr>
                <w:rFonts w:ascii="Times New Roman" w:eastAsia="Times New Roman" w:hAnsi="Times New Roman" w:cs="Times New Roman"/>
                <w:color w:val="000000"/>
                <w:lang w:val="fr-FR" w:eastAsia="en-GB"/>
              </w:rPr>
              <w:t>Najafabadi</w:t>
            </w:r>
            <w:proofErr w:type="spellEnd"/>
            <w:r w:rsidRPr="00572724">
              <w:rPr>
                <w:rFonts w:ascii="Times New Roman" w:eastAsia="Times New Roman" w:hAnsi="Times New Roman" w:cs="Times New Roman"/>
                <w:color w:val="000000"/>
                <w:lang w:val="fr-FR" w:eastAsia="en-GB"/>
              </w:rPr>
              <w:t xml:space="preserve"> M.; </w:t>
            </w:r>
            <w:proofErr w:type="spellStart"/>
            <w:r w:rsidRPr="00572724">
              <w:rPr>
                <w:rFonts w:ascii="Times New Roman" w:eastAsia="Times New Roman" w:hAnsi="Times New Roman" w:cs="Times New Roman"/>
                <w:color w:val="000000"/>
                <w:lang w:val="fr-FR" w:eastAsia="en-GB"/>
              </w:rPr>
              <w:t>Farajollah</w:t>
            </w:r>
            <w:proofErr w:type="spellEnd"/>
            <w:r w:rsidRPr="00572724">
              <w:rPr>
                <w:rFonts w:ascii="Times New Roman" w:eastAsia="Times New Roman" w:hAnsi="Times New Roman" w:cs="Times New Roman"/>
                <w:color w:val="000000"/>
                <w:lang w:val="fr-FR" w:eastAsia="en-GB"/>
              </w:rPr>
              <w:t xml:space="preserve"> </w:t>
            </w:r>
            <w:proofErr w:type="spellStart"/>
            <w:r w:rsidRPr="00572724">
              <w:rPr>
                <w:rFonts w:ascii="Times New Roman" w:eastAsia="Times New Roman" w:hAnsi="Times New Roman" w:cs="Times New Roman"/>
                <w:color w:val="000000"/>
                <w:lang w:val="fr-FR" w:eastAsia="en-GB"/>
              </w:rPr>
              <w:t>Hosseini</w:t>
            </w:r>
            <w:proofErr w:type="spellEnd"/>
            <w:r w:rsidRPr="00572724">
              <w:rPr>
                <w:rFonts w:ascii="Times New Roman" w:eastAsia="Times New Roman" w:hAnsi="Times New Roman" w:cs="Times New Roman"/>
                <w:color w:val="000000"/>
                <w:lang w:val="fr-FR" w:eastAsia="en-GB"/>
              </w:rPr>
              <w:t xml:space="preserve"> J.</w:t>
            </w:r>
          </w:p>
        </w:tc>
        <w:tc>
          <w:tcPr>
            <w:tcW w:w="4940" w:type="dxa"/>
            <w:tcBorders>
              <w:top w:val="nil"/>
              <w:left w:val="nil"/>
              <w:bottom w:val="single" w:sz="4" w:space="0" w:color="auto"/>
              <w:right w:val="single" w:sz="4" w:space="0" w:color="auto"/>
            </w:tcBorders>
            <w:shd w:val="clear" w:color="auto" w:fill="auto"/>
            <w:vAlign w:val="bottom"/>
            <w:hideMark/>
          </w:tcPr>
          <w:p w14:paraId="2560A08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Modeling</w:t>
            </w:r>
            <w:proofErr w:type="spellEnd"/>
            <w:r w:rsidRPr="00572724">
              <w:rPr>
                <w:rFonts w:ascii="Times New Roman" w:eastAsia="Times New Roman" w:hAnsi="Times New Roman" w:cs="Times New Roman"/>
                <w:color w:val="000000"/>
                <w:lang w:eastAsia="en-GB"/>
              </w:rPr>
              <w:t xml:space="preserve"> resilience </w:t>
            </w:r>
            <w:proofErr w:type="spellStart"/>
            <w:r w:rsidRPr="00572724">
              <w:rPr>
                <w:rFonts w:ascii="Times New Roman" w:eastAsia="Times New Roman" w:hAnsi="Times New Roman" w:cs="Times New Roman"/>
                <w:color w:val="000000"/>
                <w:lang w:eastAsia="en-GB"/>
              </w:rPr>
              <w:t>behavior</w:t>
            </w:r>
            <w:proofErr w:type="spellEnd"/>
            <w:r w:rsidRPr="00572724">
              <w:rPr>
                <w:rFonts w:ascii="Times New Roman" w:eastAsia="Times New Roman" w:hAnsi="Times New Roman" w:cs="Times New Roman"/>
                <w:color w:val="000000"/>
                <w:lang w:eastAsia="en-GB"/>
              </w:rPr>
              <w:t xml:space="preserve"> against climate change with food security approach</w:t>
            </w:r>
          </w:p>
        </w:tc>
        <w:tc>
          <w:tcPr>
            <w:tcW w:w="1240" w:type="dxa"/>
            <w:tcBorders>
              <w:top w:val="nil"/>
              <w:left w:val="nil"/>
              <w:bottom w:val="single" w:sz="4" w:space="0" w:color="auto"/>
              <w:right w:val="single" w:sz="4" w:space="0" w:color="auto"/>
            </w:tcBorders>
            <w:shd w:val="clear" w:color="auto" w:fill="auto"/>
            <w:noWrap/>
            <w:vAlign w:val="bottom"/>
            <w:hideMark/>
          </w:tcPr>
          <w:p w14:paraId="06FC5D4D"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6E9FCC1C"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DD643C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lastRenderedPageBreak/>
              <w:t>Awazi</w:t>
            </w:r>
            <w:proofErr w:type="spellEnd"/>
            <w:r w:rsidRPr="00572724">
              <w:rPr>
                <w:rFonts w:ascii="Times New Roman" w:eastAsia="Times New Roman" w:hAnsi="Times New Roman" w:cs="Times New Roman"/>
                <w:color w:val="000000"/>
                <w:lang w:eastAsia="en-GB"/>
              </w:rPr>
              <w:t xml:space="preserve"> N.P.; </w:t>
            </w:r>
            <w:proofErr w:type="spellStart"/>
            <w:r w:rsidRPr="00572724">
              <w:rPr>
                <w:rFonts w:ascii="Times New Roman" w:eastAsia="Times New Roman" w:hAnsi="Times New Roman" w:cs="Times New Roman"/>
                <w:color w:val="000000"/>
                <w:lang w:eastAsia="en-GB"/>
              </w:rPr>
              <w:t>Temgoua</w:t>
            </w:r>
            <w:proofErr w:type="spellEnd"/>
            <w:r w:rsidRPr="00572724">
              <w:rPr>
                <w:rFonts w:ascii="Times New Roman" w:eastAsia="Times New Roman" w:hAnsi="Times New Roman" w:cs="Times New Roman"/>
                <w:color w:val="000000"/>
                <w:lang w:eastAsia="en-GB"/>
              </w:rPr>
              <w:t xml:space="preserve"> L.F.; </w:t>
            </w:r>
            <w:proofErr w:type="spellStart"/>
            <w:r w:rsidRPr="00572724">
              <w:rPr>
                <w:rFonts w:ascii="Times New Roman" w:eastAsia="Times New Roman" w:hAnsi="Times New Roman" w:cs="Times New Roman"/>
                <w:color w:val="000000"/>
                <w:lang w:eastAsia="en-GB"/>
              </w:rPr>
              <w:t>Tientcheu-Avana</w:t>
            </w:r>
            <w:proofErr w:type="spellEnd"/>
            <w:r w:rsidRPr="00572724">
              <w:rPr>
                <w:rFonts w:ascii="Times New Roman" w:eastAsia="Times New Roman" w:hAnsi="Times New Roman" w:cs="Times New Roman"/>
                <w:color w:val="000000"/>
                <w:lang w:eastAsia="en-GB"/>
              </w:rPr>
              <w:t xml:space="preserve"> M.-L.; </w:t>
            </w:r>
            <w:proofErr w:type="spellStart"/>
            <w:r w:rsidRPr="00572724">
              <w:rPr>
                <w:rFonts w:ascii="Times New Roman" w:eastAsia="Times New Roman" w:hAnsi="Times New Roman" w:cs="Times New Roman"/>
                <w:color w:val="000000"/>
                <w:lang w:eastAsia="en-GB"/>
              </w:rPr>
              <w:t>Tchamba</w:t>
            </w:r>
            <w:proofErr w:type="spellEnd"/>
            <w:r w:rsidRPr="00572724">
              <w:rPr>
                <w:rFonts w:ascii="Times New Roman" w:eastAsia="Times New Roman" w:hAnsi="Times New Roman" w:cs="Times New Roman"/>
                <w:color w:val="000000"/>
                <w:lang w:eastAsia="en-GB"/>
              </w:rPr>
              <w:t xml:space="preserve"> M.N.</w:t>
            </w:r>
          </w:p>
        </w:tc>
        <w:tc>
          <w:tcPr>
            <w:tcW w:w="4940" w:type="dxa"/>
            <w:tcBorders>
              <w:top w:val="nil"/>
              <w:left w:val="nil"/>
              <w:bottom w:val="single" w:sz="4" w:space="0" w:color="auto"/>
              <w:right w:val="single" w:sz="4" w:space="0" w:color="auto"/>
            </w:tcBorders>
            <w:shd w:val="clear" w:color="auto" w:fill="auto"/>
            <w:vAlign w:val="bottom"/>
            <w:hideMark/>
          </w:tcPr>
          <w:p w14:paraId="5FF3362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Reducing Vulnerability to Climate Change Through Agroforestry: Case Study of Small-Scale Farmers in the Northwest Region of Cameroon</w:t>
            </w:r>
          </w:p>
        </w:tc>
        <w:tc>
          <w:tcPr>
            <w:tcW w:w="1240" w:type="dxa"/>
            <w:tcBorders>
              <w:top w:val="nil"/>
              <w:left w:val="nil"/>
              <w:bottom w:val="single" w:sz="4" w:space="0" w:color="auto"/>
              <w:right w:val="single" w:sz="4" w:space="0" w:color="auto"/>
            </w:tcBorders>
            <w:shd w:val="clear" w:color="auto" w:fill="auto"/>
            <w:noWrap/>
            <w:vAlign w:val="bottom"/>
            <w:hideMark/>
          </w:tcPr>
          <w:p w14:paraId="107188F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0E3D89A6"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366355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Baccar</w:t>
            </w:r>
            <w:proofErr w:type="spellEnd"/>
            <w:r w:rsidRPr="00572724">
              <w:rPr>
                <w:rFonts w:ascii="Times New Roman" w:eastAsia="Times New Roman" w:hAnsi="Times New Roman" w:cs="Times New Roman"/>
                <w:color w:val="000000"/>
                <w:lang w:eastAsia="en-GB"/>
              </w:rPr>
              <w:t xml:space="preserve">, M; </w:t>
            </w:r>
            <w:proofErr w:type="spellStart"/>
            <w:r w:rsidRPr="00572724">
              <w:rPr>
                <w:rFonts w:ascii="Times New Roman" w:eastAsia="Times New Roman" w:hAnsi="Times New Roman" w:cs="Times New Roman"/>
                <w:color w:val="000000"/>
                <w:lang w:eastAsia="en-GB"/>
              </w:rPr>
              <w:t>Raynal</w:t>
            </w:r>
            <w:proofErr w:type="spellEnd"/>
            <w:r w:rsidRPr="00572724">
              <w:rPr>
                <w:rFonts w:ascii="Times New Roman" w:eastAsia="Times New Roman" w:hAnsi="Times New Roman" w:cs="Times New Roman"/>
                <w:color w:val="000000"/>
                <w:lang w:eastAsia="en-GB"/>
              </w:rPr>
              <w:t xml:space="preserve">, H; Sekhar, M; </w:t>
            </w:r>
            <w:proofErr w:type="spellStart"/>
            <w:r w:rsidRPr="00572724">
              <w:rPr>
                <w:rFonts w:ascii="Times New Roman" w:eastAsia="Times New Roman" w:hAnsi="Times New Roman" w:cs="Times New Roman"/>
                <w:color w:val="000000"/>
                <w:lang w:eastAsia="en-GB"/>
              </w:rPr>
              <w:t>Bergez</w:t>
            </w:r>
            <w:proofErr w:type="spellEnd"/>
            <w:r w:rsidRPr="00572724">
              <w:rPr>
                <w:rFonts w:ascii="Times New Roman" w:eastAsia="Times New Roman" w:hAnsi="Times New Roman" w:cs="Times New Roman"/>
                <w:color w:val="000000"/>
                <w:lang w:eastAsia="en-GB"/>
              </w:rPr>
              <w:t xml:space="preserve">, JE; </w:t>
            </w:r>
            <w:proofErr w:type="spellStart"/>
            <w:r w:rsidRPr="00572724">
              <w:rPr>
                <w:rFonts w:ascii="Times New Roman" w:eastAsia="Times New Roman" w:hAnsi="Times New Roman" w:cs="Times New Roman"/>
                <w:color w:val="000000"/>
                <w:lang w:eastAsia="en-GB"/>
              </w:rPr>
              <w:t>Willaume</w:t>
            </w:r>
            <w:proofErr w:type="spellEnd"/>
            <w:r w:rsidRPr="00572724">
              <w:rPr>
                <w:rFonts w:ascii="Times New Roman" w:eastAsia="Times New Roman" w:hAnsi="Times New Roman" w:cs="Times New Roman"/>
                <w:color w:val="000000"/>
                <w:lang w:eastAsia="en-GB"/>
              </w:rPr>
              <w:t xml:space="preserve">, M; </w:t>
            </w:r>
            <w:proofErr w:type="spellStart"/>
            <w:r w:rsidRPr="00572724">
              <w:rPr>
                <w:rFonts w:ascii="Times New Roman" w:eastAsia="Times New Roman" w:hAnsi="Times New Roman" w:cs="Times New Roman"/>
                <w:color w:val="000000"/>
                <w:lang w:eastAsia="en-GB"/>
              </w:rPr>
              <w:t>Casel</w:t>
            </w:r>
            <w:proofErr w:type="spellEnd"/>
            <w:r w:rsidRPr="00572724">
              <w:rPr>
                <w:rFonts w:ascii="Times New Roman" w:eastAsia="Times New Roman" w:hAnsi="Times New Roman" w:cs="Times New Roman"/>
                <w:color w:val="000000"/>
                <w:lang w:eastAsia="en-GB"/>
              </w:rPr>
              <w:t>, P; Giriraj, P; Murthy, S; Ruiz, L</w:t>
            </w:r>
          </w:p>
        </w:tc>
        <w:tc>
          <w:tcPr>
            <w:tcW w:w="4940" w:type="dxa"/>
            <w:tcBorders>
              <w:top w:val="nil"/>
              <w:left w:val="nil"/>
              <w:bottom w:val="single" w:sz="4" w:space="0" w:color="auto"/>
              <w:right w:val="single" w:sz="4" w:space="0" w:color="auto"/>
            </w:tcBorders>
            <w:shd w:val="clear" w:color="auto" w:fill="auto"/>
            <w:vAlign w:val="bottom"/>
            <w:hideMark/>
          </w:tcPr>
          <w:p w14:paraId="031975D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Dynamics of crop category choices reveal strategies and tactics used by smallholder farmers in India to cope with unreliable water availability</w:t>
            </w:r>
          </w:p>
        </w:tc>
        <w:tc>
          <w:tcPr>
            <w:tcW w:w="1240" w:type="dxa"/>
            <w:tcBorders>
              <w:top w:val="nil"/>
              <w:left w:val="nil"/>
              <w:bottom w:val="single" w:sz="4" w:space="0" w:color="auto"/>
              <w:right w:val="single" w:sz="4" w:space="0" w:color="auto"/>
            </w:tcBorders>
            <w:shd w:val="clear" w:color="auto" w:fill="auto"/>
            <w:vAlign w:val="bottom"/>
            <w:hideMark/>
          </w:tcPr>
          <w:p w14:paraId="02C9AEA4"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63587701"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9D6550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Bagambilana</w:t>
            </w:r>
            <w:proofErr w:type="spellEnd"/>
            <w:r w:rsidRPr="00572724">
              <w:rPr>
                <w:rFonts w:ascii="Times New Roman" w:eastAsia="Times New Roman" w:hAnsi="Times New Roman" w:cs="Times New Roman"/>
                <w:color w:val="000000"/>
                <w:lang w:eastAsia="en-GB"/>
              </w:rPr>
              <w:t xml:space="preserve"> F.R.; </w:t>
            </w:r>
            <w:proofErr w:type="spellStart"/>
            <w:r w:rsidRPr="00572724">
              <w:rPr>
                <w:rFonts w:ascii="Times New Roman" w:eastAsia="Times New Roman" w:hAnsi="Times New Roman" w:cs="Times New Roman"/>
                <w:color w:val="000000"/>
                <w:lang w:eastAsia="en-GB"/>
              </w:rPr>
              <w:t>Rugumamu</w:t>
            </w:r>
            <w:proofErr w:type="spellEnd"/>
            <w:r w:rsidRPr="00572724">
              <w:rPr>
                <w:rFonts w:ascii="Times New Roman" w:eastAsia="Times New Roman" w:hAnsi="Times New Roman" w:cs="Times New Roman"/>
                <w:color w:val="000000"/>
                <w:lang w:eastAsia="en-GB"/>
              </w:rPr>
              <w:t xml:space="preserve"> W.M.</w:t>
            </w:r>
          </w:p>
        </w:tc>
        <w:tc>
          <w:tcPr>
            <w:tcW w:w="4940" w:type="dxa"/>
            <w:tcBorders>
              <w:top w:val="nil"/>
              <w:left w:val="nil"/>
              <w:bottom w:val="single" w:sz="4" w:space="0" w:color="auto"/>
              <w:right w:val="single" w:sz="4" w:space="0" w:color="auto"/>
            </w:tcBorders>
            <w:shd w:val="clear" w:color="auto" w:fill="auto"/>
            <w:vAlign w:val="bottom"/>
            <w:hideMark/>
          </w:tcPr>
          <w:p w14:paraId="5E88DAC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Small-Scale Farmers’ Vulnerability to Biophysical and Socio-Economic Risks in Semi-Arid Lowlands of Mwanga District, Kilimanjaro Region, Tanzania</w:t>
            </w:r>
          </w:p>
        </w:tc>
        <w:tc>
          <w:tcPr>
            <w:tcW w:w="1240" w:type="dxa"/>
            <w:tcBorders>
              <w:top w:val="nil"/>
              <w:left w:val="nil"/>
              <w:bottom w:val="single" w:sz="4" w:space="0" w:color="auto"/>
              <w:right w:val="single" w:sz="4" w:space="0" w:color="auto"/>
            </w:tcBorders>
            <w:shd w:val="clear" w:color="auto" w:fill="auto"/>
            <w:noWrap/>
            <w:vAlign w:val="bottom"/>
            <w:hideMark/>
          </w:tcPr>
          <w:p w14:paraId="433F02BA"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09C22823"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3DA4E9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Bagambilana</w:t>
            </w:r>
            <w:proofErr w:type="spellEnd"/>
            <w:r w:rsidRPr="00572724">
              <w:rPr>
                <w:rFonts w:ascii="Times New Roman" w:eastAsia="Times New Roman" w:hAnsi="Times New Roman" w:cs="Times New Roman"/>
                <w:color w:val="000000"/>
                <w:lang w:eastAsia="en-GB"/>
              </w:rPr>
              <w:t xml:space="preserve"> F.R.; </w:t>
            </w:r>
            <w:proofErr w:type="spellStart"/>
            <w:r w:rsidRPr="00572724">
              <w:rPr>
                <w:rFonts w:ascii="Times New Roman" w:eastAsia="Times New Roman" w:hAnsi="Times New Roman" w:cs="Times New Roman"/>
                <w:color w:val="000000"/>
                <w:lang w:eastAsia="en-GB"/>
              </w:rPr>
              <w:t>Rugumamu</w:t>
            </w:r>
            <w:proofErr w:type="spellEnd"/>
            <w:r w:rsidRPr="00572724">
              <w:rPr>
                <w:rFonts w:ascii="Times New Roman" w:eastAsia="Times New Roman" w:hAnsi="Times New Roman" w:cs="Times New Roman"/>
                <w:color w:val="000000"/>
                <w:lang w:eastAsia="en-GB"/>
              </w:rPr>
              <w:t xml:space="preserve"> W.M.</w:t>
            </w:r>
          </w:p>
        </w:tc>
        <w:tc>
          <w:tcPr>
            <w:tcW w:w="4940" w:type="dxa"/>
            <w:tcBorders>
              <w:top w:val="nil"/>
              <w:left w:val="nil"/>
              <w:bottom w:val="single" w:sz="4" w:space="0" w:color="auto"/>
              <w:right w:val="single" w:sz="4" w:space="0" w:color="auto"/>
            </w:tcBorders>
            <w:shd w:val="clear" w:color="auto" w:fill="auto"/>
            <w:vAlign w:val="bottom"/>
            <w:hideMark/>
          </w:tcPr>
          <w:p w14:paraId="79068A1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Determinants of Farmers’ Adaptation Intent And Adoption of Adaptation Strategies To Climate Change And Variability In Mwanga District, Tanzania</w:t>
            </w:r>
          </w:p>
        </w:tc>
        <w:tc>
          <w:tcPr>
            <w:tcW w:w="1240" w:type="dxa"/>
            <w:tcBorders>
              <w:top w:val="nil"/>
              <w:left w:val="nil"/>
              <w:bottom w:val="single" w:sz="4" w:space="0" w:color="auto"/>
              <w:right w:val="single" w:sz="4" w:space="0" w:color="auto"/>
            </w:tcBorders>
            <w:shd w:val="clear" w:color="auto" w:fill="auto"/>
            <w:noWrap/>
            <w:vAlign w:val="bottom"/>
            <w:hideMark/>
          </w:tcPr>
          <w:p w14:paraId="0AEB8E6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71FAE7B3"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88A74B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Bardati</w:t>
            </w:r>
            <w:proofErr w:type="spellEnd"/>
            <w:r w:rsidRPr="00572724">
              <w:rPr>
                <w:rFonts w:ascii="Times New Roman" w:eastAsia="Times New Roman" w:hAnsi="Times New Roman" w:cs="Times New Roman"/>
                <w:color w:val="000000"/>
                <w:lang w:eastAsia="en-GB"/>
              </w:rPr>
              <w:t xml:space="preserve"> D.,</w:t>
            </w:r>
          </w:p>
        </w:tc>
        <w:tc>
          <w:tcPr>
            <w:tcW w:w="4940" w:type="dxa"/>
            <w:tcBorders>
              <w:top w:val="nil"/>
              <w:left w:val="nil"/>
              <w:bottom w:val="single" w:sz="4" w:space="0" w:color="auto"/>
              <w:right w:val="single" w:sz="4" w:space="0" w:color="auto"/>
            </w:tcBorders>
            <w:shd w:val="clear" w:color="auto" w:fill="auto"/>
            <w:vAlign w:val="bottom"/>
            <w:hideMark/>
          </w:tcPr>
          <w:p w14:paraId="72ACA4E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Participatory Agroecological Assessment of Farmers’ Capacity to Adapt to Climate Change in Malawi</w:t>
            </w:r>
          </w:p>
        </w:tc>
        <w:tc>
          <w:tcPr>
            <w:tcW w:w="1240" w:type="dxa"/>
            <w:tcBorders>
              <w:top w:val="nil"/>
              <w:left w:val="nil"/>
              <w:bottom w:val="single" w:sz="4" w:space="0" w:color="auto"/>
              <w:right w:val="single" w:sz="4" w:space="0" w:color="auto"/>
            </w:tcBorders>
            <w:shd w:val="clear" w:color="auto" w:fill="auto"/>
            <w:vAlign w:val="bottom"/>
            <w:hideMark/>
          </w:tcPr>
          <w:p w14:paraId="643F786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2019</w:t>
            </w:r>
          </w:p>
        </w:tc>
      </w:tr>
      <w:tr w:rsidR="00572724" w:rsidRPr="00572724" w14:paraId="52101D77"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197A78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Bardsley</w:t>
            </w:r>
            <w:proofErr w:type="spellEnd"/>
            <w:r w:rsidRPr="00572724">
              <w:rPr>
                <w:rFonts w:ascii="Times New Roman" w:eastAsia="Times New Roman" w:hAnsi="Times New Roman" w:cs="Times New Roman"/>
                <w:color w:val="000000"/>
                <w:lang w:eastAsia="en-GB"/>
              </w:rPr>
              <w:t xml:space="preserve"> D.K., Palazzo E., </w:t>
            </w:r>
            <w:proofErr w:type="spellStart"/>
            <w:r w:rsidRPr="00572724">
              <w:rPr>
                <w:rFonts w:ascii="Times New Roman" w:eastAsia="Times New Roman" w:hAnsi="Times New Roman" w:cs="Times New Roman"/>
                <w:color w:val="000000"/>
                <w:lang w:eastAsia="en-GB"/>
              </w:rPr>
              <w:t>Pütz</w:t>
            </w:r>
            <w:proofErr w:type="spellEnd"/>
            <w:r w:rsidRPr="00572724">
              <w:rPr>
                <w:rFonts w:ascii="Times New Roman" w:eastAsia="Times New Roman" w:hAnsi="Times New Roman" w:cs="Times New Roman"/>
                <w:color w:val="000000"/>
                <w:lang w:eastAsia="en-GB"/>
              </w:rPr>
              <w:t xml:space="preserve"> M.,</w:t>
            </w:r>
          </w:p>
        </w:tc>
        <w:tc>
          <w:tcPr>
            <w:tcW w:w="4940" w:type="dxa"/>
            <w:tcBorders>
              <w:top w:val="nil"/>
              <w:left w:val="nil"/>
              <w:bottom w:val="single" w:sz="4" w:space="0" w:color="auto"/>
              <w:right w:val="single" w:sz="4" w:space="0" w:color="auto"/>
            </w:tcBorders>
            <w:shd w:val="clear" w:color="auto" w:fill="auto"/>
            <w:vAlign w:val="bottom"/>
            <w:hideMark/>
          </w:tcPr>
          <w:p w14:paraId="7202B64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Regional path dependence and climate change adaptation: A case study from the McLaren Vale, South Australia</w:t>
            </w:r>
          </w:p>
        </w:tc>
        <w:tc>
          <w:tcPr>
            <w:tcW w:w="1240" w:type="dxa"/>
            <w:tcBorders>
              <w:top w:val="nil"/>
              <w:left w:val="nil"/>
              <w:bottom w:val="single" w:sz="4" w:space="0" w:color="auto"/>
              <w:right w:val="single" w:sz="4" w:space="0" w:color="auto"/>
            </w:tcBorders>
            <w:shd w:val="clear" w:color="auto" w:fill="auto"/>
            <w:vAlign w:val="bottom"/>
            <w:hideMark/>
          </w:tcPr>
          <w:p w14:paraId="6D18235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5897508F"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F4730E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Bell L.W., Moore A.D., Thomas D.T.,</w:t>
            </w:r>
          </w:p>
        </w:tc>
        <w:tc>
          <w:tcPr>
            <w:tcW w:w="4940" w:type="dxa"/>
            <w:tcBorders>
              <w:top w:val="nil"/>
              <w:left w:val="nil"/>
              <w:bottom w:val="single" w:sz="4" w:space="0" w:color="auto"/>
              <w:right w:val="single" w:sz="4" w:space="0" w:color="auto"/>
            </w:tcBorders>
            <w:shd w:val="clear" w:color="auto" w:fill="auto"/>
            <w:vAlign w:val="bottom"/>
            <w:hideMark/>
          </w:tcPr>
          <w:p w14:paraId="792AE89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Diversified crop-livestock farms are risk-efficient in the face of price and production variability</w:t>
            </w:r>
          </w:p>
        </w:tc>
        <w:tc>
          <w:tcPr>
            <w:tcW w:w="1240" w:type="dxa"/>
            <w:tcBorders>
              <w:top w:val="nil"/>
              <w:left w:val="nil"/>
              <w:bottom w:val="single" w:sz="4" w:space="0" w:color="auto"/>
              <w:right w:val="single" w:sz="4" w:space="0" w:color="auto"/>
            </w:tcBorders>
            <w:shd w:val="clear" w:color="auto" w:fill="auto"/>
            <w:vAlign w:val="bottom"/>
            <w:hideMark/>
          </w:tcPr>
          <w:p w14:paraId="7E2B2780"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2421A3D7"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FFA6FE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Below T.B., Schmid J.C., </w:t>
            </w:r>
            <w:proofErr w:type="spellStart"/>
            <w:r w:rsidRPr="00572724">
              <w:rPr>
                <w:rFonts w:ascii="Times New Roman" w:eastAsia="Times New Roman" w:hAnsi="Times New Roman" w:cs="Times New Roman"/>
                <w:color w:val="000000"/>
                <w:lang w:eastAsia="en-GB"/>
              </w:rPr>
              <w:t>Sieber</w:t>
            </w:r>
            <w:proofErr w:type="spellEnd"/>
            <w:r w:rsidRPr="00572724">
              <w:rPr>
                <w:rFonts w:ascii="Times New Roman" w:eastAsia="Times New Roman" w:hAnsi="Times New Roman" w:cs="Times New Roman"/>
                <w:color w:val="000000"/>
                <w:lang w:eastAsia="en-GB"/>
              </w:rPr>
              <w:t xml:space="preserve"> S.,</w:t>
            </w:r>
          </w:p>
        </w:tc>
        <w:tc>
          <w:tcPr>
            <w:tcW w:w="4940" w:type="dxa"/>
            <w:tcBorders>
              <w:top w:val="nil"/>
              <w:left w:val="nil"/>
              <w:bottom w:val="single" w:sz="4" w:space="0" w:color="auto"/>
              <w:right w:val="single" w:sz="4" w:space="0" w:color="auto"/>
            </w:tcBorders>
            <w:shd w:val="clear" w:color="auto" w:fill="auto"/>
            <w:vAlign w:val="bottom"/>
            <w:hideMark/>
          </w:tcPr>
          <w:p w14:paraId="05A4486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Farmers’ knowledge and perception of climatic risks and options for climate change adaptation: a case study from two Tanzanian villages</w:t>
            </w:r>
          </w:p>
        </w:tc>
        <w:tc>
          <w:tcPr>
            <w:tcW w:w="1240" w:type="dxa"/>
            <w:tcBorders>
              <w:top w:val="nil"/>
              <w:left w:val="nil"/>
              <w:bottom w:val="single" w:sz="4" w:space="0" w:color="auto"/>
              <w:right w:val="single" w:sz="4" w:space="0" w:color="auto"/>
            </w:tcBorders>
            <w:shd w:val="clear" w:color="auto" w:fill="auto"/>
            <w:vAlign w:val="bottom"/>
            <w:hideMark/>
          </w:tcPr>
          <w:p w14:paraId="0A7ACD46"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2015</w:t>
            </w:r>
          </w:p>
        </w:tc>
      </w:tr>
      <w:tr w:rsidR="00572724" w:rsidRPr="00572724" w14:paraId="0348384B"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997256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Ben Nasr J., </w:t>
            </w:r>
            <w:proofErr w:type="spellStart"/>
            <w:r w:rsidRPr="00572724">
              <w:rPr>
                <w:rFonts w:ascii="Times New Roman" w:eastAsia="Times New Roman" w:hAnsi="Times New Roman" w:cs="Times New Roman"/>
                <w:color w:val="000000"/>
                <w:lang w:eastAsia="en-GB"/>
              </w:rPr>
              <w:t>Chaar</w:t>
            </w:r>
            <w:proofErr w:type="spellEnd"/>
            <w:r w:rsidRPr="00572724">
              <w:rPr>
                <w:rFonts w:ascii="Times New Roman" w:eastAsia="Times New Roman" w:hAnsi="Times New Roman" w:cs="Times New Roman"/>
                <w:color w:val="000000"/>
                <w:lang w:eastAsia="en-GB"/>
              </w:rPr>
              <w:t xml:space="preserve"> H., </w:t>
            </w:r>
            <w:proofErr w:type="spellStart"/>
            <w:r w:rsidRPr="00572724">
              <w:rPr>
                <w:rFonts w:ascii="Times New Roman" w:eastAsia="Times New Roman" w:hAnsi="Times New Roman" w:cs="Times New Roman"/>
                <w:color w:val="000000"/>
                <w:lang w:eastAsia="en-GB"/>
              </w:rPr>
              <w:t>Bouchiba</w:t>
            </w:r>
            <w:proofErr w:type="spellEnd"/>
            <w:r w:rsidRPr="00572724">
              <w:rPr>
                <w:rFonts w:ascii="Times New Roman" w:eastAsia="Times New Roman" w:hAnsi="Times New Roman" w:cs="Times New Roman"/>
                <w:color w:val="000000"/>
                <w:lang w:eastAsia="en-GB"/>
              </w:rPr>
              <w:t xml:space="preserve"> F., </w:t>
            </w:r>
            <w:proofErr w:type="spellStart"/>
            <w:r w:rsidRPr="00572724">
              <w:rPr>
                <w:rFonts w:ascii="Times New Roman" w:eastAsia="Times New Roman" w:hAnsi="Times New Roman" w:cs="Times New Roman"/>
                <w:color w:val="000000"/>
                <w:lang w:eastAsia="en-GB"/>
              </w:rPr>
              <w:t>Zaibet</w:t>
            </w:r>
            <w:proofErr w:type="spellEnd"/>
            <w:r w:rsidRPr="00572724">
              <w:rPr>
                <w:rFonts w:ascii="Times New Roman" w:eastAsia="Times New Roman" w:hAnsi="Times New Roman" w:cs="Times New Roman"/>
                <w:color w:val="000000"/>
                <w:lang w:eastAsia="en-GB"/>
              </w:rPr>
              <w:t xml:space="preserve"> L.,</w:t>
            </w:r>
          </w:p>
        </w:tc>
        <w:tc>
          <w:tcPr>
            <w:tcW w:w="4940" w:type="dxa"/>
            <w:tcBorders>
              <w:top w:val="nil"/>
              <w:left w:val="nil"/>
              <w:bottom w:val="single" w:sz="4" w:space="0" w:color="auto"/>
              <w:right w:val="single" w:sz="4" w:space="0" w:color="auto"/>
            </w:tcBorders>
            <w:shd w:val="clear" w:color="auto" w:fill="auto"/>
            <w:vAlign w:val="bottom"/>
            <w:hideMark/>
          </w:tcPr>
          <w:p w14:paraId="7683BAE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Assessing and building climate change resilience of farming systems in Tunisian semi-arid areas</w:t>
            </w:r>
          </w:p>
        </w:tc>
        <w:tc>
          <w:tcPr>
            <w:tcW w:w="1240" w:type="dxa"/>
            <w:tcBorders>
              <w:top w:val="nil"/>
              <w:left w:val="nil"/>
              <w:bottom w:val="single" w:sz="4" w:space="0" w:color="auto"/>
              <w:right w:val="single" w:sz="4" w:space="0" w:color="auto"/>
            </w:tcBorders>
            <w:shd w:val="clear" w:color="auto" w:fill="auto"/>
            <w:vAlign w:val="bottom"/>
            <w:hideMark/>
          </w:tcPr>
          <w:p w14:paraId="36A56CB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0CE89D67" w14:textId="77777777" w:rsidTr="00572724">
        <w:trPr>
          <w:trHeight w:val="1152"/>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4A4553D"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r w:rsidRPr="00572724">
              <w:rPr>
                <w:rFonts w:ascii="Times New Roman" w:eastAsia="Times New Roman" w:hAnsi="Times New Roman" w:cs="Times New Roman"/>
                <w:color w:val="000000"/>
                <w:lang w:val="fr-FR" w:eastAsia="en-GB"/>
              </w:rPr>
              <w:t xml:space="preserve">Bergez, JE; </w:t>
            </w:r>
            <w:proofErr w:type="spellStart"/>
            <w:r w:rsidRPr="00572724">
              <w:rPr>
                <w:rFonts w:ascii="Times New Roman" w:eastAsia="Times New Roman" w:hAnsi="Times New Roman" w:cs="Times New Roman"/>
                <w:color w:val="000000"/>
                <w:lang w:val="fr-FR" w:eastAsia="en-GB"/>
              </w:rPr>
              <w:t>Baccar</w:t>
            </w:r>
            <w:proofErr w:type="spellEnd"/>
            <w:r w:rsidRPr="00572724">
              <w:rPr>
                <w:rFonts w:ascii="Times New Roman" w:eastAsia="Times New Roman" w:hAnsi="Times New Roman" w:cs="Times New Roman"/>
                <w:color w:val="000000"/>
                <w:lang w:val="fr-FR" w:eastAsia="en-GB"/>
              </w:rPr>
              <w:t>, M; Sekhar, M; Ruiz, L</w:t>
            </w:r>
          </w:p>
        </w:tc>
        <w:tc>
          <w:tcPr>
            <w:tcW w:w="4940" w:type="dxa"/>
            <w:tcBorders>
              <w:top w:val="nil"/>
              <w:left w:val="nil"/>
              <w:bottom w:val="single" w:sz="4" w:space="0" w:color="auto"/>
              <w:right w:val="single" w:sz="4" w:space="0" w:color="auto"/>
            </w:tcBorders>
            <w:shd w:val="clear" w:color="auto" w:fill="auto"/>
            <w:vAlign w:val="bottom"/>
            <w:hideMark/>
          </w:tcPr>
          <w:p w14:paraId="2F66BD4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NIRAVARI: A Parsimonious Bio-Decisional Model for Assessing the Sustainability and Vulnerability of Rainfed or Groundwater-Irrigated Farming Systems in Indian Agriculture</w:t>
            </w:r>
          </w:p>
        </w:tc>
        <w:tc>
          <w:tcPr>
            <w:tcW w:w="1240" w:type="dxa"/>
            <w:tcBorders>
              <w:top w:val="nil"/>
              <w:left w:val="nil"/>
              <w:bottom w:val="single" w:sz="4" w:space="0" w:color="auto"/>
              <w:right w:val="single" w:sz="4" w:space="0" w:color="auto"/>
            </w:tcBorders>
            <w:shd w:val="clear" w:color="auto" w:fill="auto"/>
            <w:vAlign w:val="bottom"/>
            <w:hideMark/>
          </w:tcPr>
          <w:p w14:paraId="137865DD"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6D000882"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2EB268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lastRenderedPageBreak/>
              <w:t>Bhowmik B.C.; Rima N.N.; Gosh K.; Hossain M.A.; Murray F.J.; Little D.C.; Mamun A.-A.</w:t>
            </w:r>
          </w:p>
        </w:tc>
        <w:tc>
          <w:tcPr>
            <w:tcW w:w="4940" w:type="dxa"/>
            <w:tcBorders>
              <w:top w:val="nil"/>
              <w:left w:val="nil"/>
              <w:bottom w:val="single" w:sz="4" w:space="0" w:color="auto"/>
              <w:right w:val="single" w:sz="4" w:space="0" w:color="auto"/>
            </w:tcBorders>
            <w:shd w:val="clear" w:color="auto" w:fill="auto"/>
            <w:vAlign w:val="bottom"/>
            <w:hideMark/>
          </w:tcPr>
          <w:p w14:paraId="22323B1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Salinity extrusion and resilience of coastal aquaculture to the climatic changes in the southwest region of Bangladesh</w:t>
            </w:r>
          </w:p>
        </w:tc>
        <w:tc>
          <w:tcPr>
            <w:tcW w:w="1240" w:type="dxa"/>
            <w:tcBorders>
              <w:top w:val="nil"/>
              <w:left w:val="nil"/>
              <w:bottom w:val="single" w:sz="4" w:space="0" w:color="auto"/>
              <w:right w:val="single" w:sz="4" w:space="0" w:color="auto"/>
            </w:tcBorders>
            <w:shd w:val="clear" w:color="auto" w:fill="auto"/>
            <w:noWrap/>
            <w:vAlign w:val="bottom"/>
            <w:hideMark/>
          </w:tcPr>
          <w:p w14:paraId="7C12818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382B81BD"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55355C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Bhuyan</w:t>
            </w:r>
            <w:proofErr w:type="spellEnd"/>
            <w:r w:rsidRPr="00572724">
              <w:rPr>
                <w:rFonts w:ascii="Times New Roman" w:eastAsia="Times New Roman" w:hAnsi="Times New Roman" w:cs="Times New Roman"/>
                <w:color w:val="000000"/>
                <w:lang w:eastAsia="en-GB"/>
              </w:rPr>
              <w:t xml:space="preserve"> M.I.; </w:t>
            </w:r>
            <w:proofErr w:type="spellStart"/>
            <w:r w:rsidRPr="00572724">
              <w:rPr>
                <w:rFonts w:ascii="Times New Roman" w:eastAsia="Times New Roman" w:hAnsi="Times New Roman" w:cs="Times New Roman"/>
                <w:color w:val="000000"/>
                <w:lang w:eastAsia="en-GB"/>
              </w:rPr>
              <w:t>Supit</w:t>
            </w:r>
            <w:proofErr w:type="spellEnd"/>
            <w:r w:rsidRPr="00572724">
              <w:rPr>
                <w:rFonts w:ascii="Times New Roman" w:eastAsia="Times New Roman" w:hAnsi="Times New Roman" w:cs="Times New Roman"/>
                <w:color w:val="000000"/>
                <w:lang w:eastAsia="en-GB"/>
              </w:rPr>
              <w:t xml:space="preserve"> I.; Kumar U.; Mia S.; Ludwig F.</w:t>
            </w:r>
          </w:p>
        </w:tc>
        <w:tc>
          <w:tcPr>
            <w:tcW w:w="4940" w:type="dxa"/>
            <w:tcBorders>
              <w:top w:val="nil"/>
              <w:left w:val="nil"/>
              <w:bottom w:val="single" w:sz="4" w:space="0" w:color="auto"/>
              <w:right w:val="single" w:sz="4" w:space="0" w:color="auto"/>
            </w:tcBorders>
            <w:shd w:val="clear" w:color="auto" w:fill="auto"/>
            <w:vAlign w:val="bottom"/>
            <w:hideMark/>
          </w:tcPr>
          <w:p w14:paraId="590F1C3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The significance of farmers’ climate change and salinity perceptions for on-farm adaptation strategies in the south-central coast of Bangladesh</w:t>
            </w:r>
          </w:p>
        </w:tc>
        <w:tc>
          <w:tcPr>
            <w:tcW w:w="1240" w:type="dxa"/>
            <w:tcBorders>
              <w:top w:val="nil"/>
              <w:left w:val="nil"/>
              <w:bottom w:val="single" w:sz="4" w:space="0" w:color="auto"/>
              <w:right w:val="single" w:sz="4" w:space="0" w:color="auto"/>
            </w:tcBorders>
            <w:shd w:val="clear" w:color="auto" w:fill="auto"/>
            <w:noWrap/>
            <w:vAlign w:val="bottom"/>
            <w:hideMark/>
          </w:tcPr>
          <w:p w14:paraId="33BB6C0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6868F773"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81CF08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Bilotto F., </w:t>
            </w:r>
            <w:proofErr w:type="spellStart"/>
            <w:r w:rsidRPr="00572724">
              <w:rPr>
                <w:rFonts w:ascii="Times New Roman" w:eastAsia="Times New Roman" w:hAnsi="Times New Roman" w:cs="Times New Roman"/>
                <w:color w:val="000000"/>
                <w:lang w:eastAsia="en-GB"/>
              </w:rPr>
              <w:t>Recavarren</w:t>
            </w:r>
            <w:proofErr w:type="spellEnd"/>
            <w:r w:rsidRPr="00572724">
              <w:rPr>
                <w:rFonts w:ascii="Times New Roman" w:eastAsia="Times New Roman" w:hAnsi="Times New Roman" w:cs="Times New Roman"/>
                <w:color w:val="000000"/>
                <w:lang w:eastAsia="en-GB"/>
              </w:rPr>
              <w:t xml:space="preserve"> P., </w:t>
            </w:r>
            <w:proofErr w:type="spellStart"/>
            <w:r w:rsidRPr="00572724">
              <w:rPr>
                <w:rFonts w:ascii="Times New Roman" w:eastAsia="Times New Roman" w:hAnsi="Times New Roman" w:cs="Times New Roman"/>
                <w:color w:val="000000"/>
                <w:lang w:eastAsia="en-GB"/>
              </w:rPr>
              <w:t>Vibart</w:t>
            </w:r>
            <w:proofErr w:type="spellEnd"/>
            <w:r w:rsidRPr="00572724">
              <w:rPr>
                <w:rFonts w:ascii="Times New Roman" w:eastAsia="Times New Roman" w:hAnsi="Times New Roman" w:cs="Times New Roman"/>
                <w:color w:val="000000"/>
                <w:lang w:eastAsia="en-GB"/>
              </w:rPr>
              <w:t xml:space="preserve"> R., Machado C.F.,</w:t>
            </w:r>
          </w:p>
        </w:tc>
        <w:tc>
          <w:tcPr>
            <w:tcW w:w="4940" w:type="dxa"/>
            <w:tcBorders>
              <w:top w:val="nil"/>
              <w:left w:val="nil"/>
              <w:bottom w:val="single" w:sz="4" w:space="0" w:color="auto"/>
              <w:right w:val="single" w:sz="4" w:space="0" w:color="auto"/>
            </w:tcBorders>
            <w:shd w:val="clear" w:color="auto" w:fill="auto"/>
            <w:vAlign w:val="bottom"/>
            <w:hideMark/>
          </w:tcPr>
          <w:p w14:paraId="0945103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Backgrounding strategy effects on farm productivity, profitability and greenhouse gas emissions of cow-calf systems in the Flooding Pampas of Argentina</w:t>
            </w:r>
          </w:p>
        </w:tc>
        <w:tc>
          <w:tcPr>
            <w:tcW w:w="1240" w:type="dxa"/>
            <w:tcBorders>
              <w:top w:val="nil"/>
              <w:left w:val="nil"/>
              <w:bottom w:val="single" w:sz="4" w:space="0" w:color="auto"/>
              <w:right w:val="single" w:sz="4" w:space="0" w:color="auto"/>
            </w:tcBorders>
            <w:shd w:val="clear" w:color="auto" w:fill="auto"/>
            <w:vAlign w:val="bottom"/>
            <w:hideMark/>
          </w:tcPr>
          <w:p w14:paraId="398CC4D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2019</w:t>
            </w:r>
          </w:p>
        </w:tc>
      </w:tr>
      <w:tr w:rsidR="00572724" w:rsidRPr="00572724" w14:paraId="0F42C86C"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DE9D43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Bilotto F., </w:t>
            </w:r>
            <w:proofErr w:type="spellStart"/>
            <w:r w:rsidRPr="00572724">
              <w:rPr>
                <w:rFonts w:ascii="Times New Roman" w:eastAsia="Times New Roman" w:hAnsi="Times New Roman" w:cs="Times New Roman"/>
                <w:color w:val="000000"/>
                <w:lang w:eastAsia="en-GB"/>
              </w:rPr>
              <w:t>Vibart</w:t>
            </w:r>
            <w:proofErr w:type="spellEnd"/>
            <w:r w:rsidRPr="00572724">
              <w:rPr>
                <w:rFonts w:ascii="Times New Roman" w:eastAsia="Times New Roman" w:hAnsi="Times New Roman" w:cs="Times New Roman"/>
                <w:color w:val="000000"/>
                <w:lang w:eastAsia="en-GB"/>
              </w:rPr>
              <w:t xml:space="preserve"> R., Wall A., Machado C.F.,</w:t>
            </w:r>
          </w:p>
        </w:tc>
        <w:tc>
          <w:tcPr>
            <w:tcW w:w="4940" w:type="dxa"/>
            <w:tcBorders>
              <w:top w:val="nil"/>
              <w:left w:val="nil"/>
              <w:bottom w:val="single" w:sz="4" w:space="0" w:color="auto"/>
              <w:right w:val="single" w:sz="4" w:space="0" w:color="auto"/>
            </w:tcBorders>
            <w:shd w:val="clear" w:color="auto" w:fill="auto"/>
            <w:vAlign w:val="bottom"/>
            <w:hideMark/>
          </w:tcPr>
          <w:p w14:paraId="2E7F08D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Estimation of the inter-annual marginal value of additional feed and its replacement cost for beef cattle systems in the Flooding Pampas of Argentina</w:t>
            </w:r>
          </w:p>
        </w:tc>
        <w:tc>
          <w:tcPr>
            <w:tcW w:w="1240" w:type="dxa"/>
            <w:tcBorders>
              <w:top w:val="nil"/>
              <w:left w:val="nil"/>
              <w:bottom w:val="single" w:sz="4" w:space="0" w:color="auto"/>
              <w:right w:val="single" w:sz="4" w:space="0" w:color="auto"/>
            </w:tcBorders>
            <w:shd w:val="clear" w:color="auto" w:fill="auto"/>
            <w:vAlign w:val="bottom"/>
            <w:hideMark/>
          </w:tcPr>
          <w:p w14:paraId="5A83D9AE"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256F78AD"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00F936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Bobojonov I., Aw-Hassan A.,</w:t>
            </w:r>
          </w:p>
        </w:tc>
        <w:tc>
          <w:tcPr>
            <w:tcW w:w="4940" w:type="dxa"/>
            <w:tcBorders>
              <w:top w:val="nil"/>
              <w:left w:val="nil"/>
              <w:bottom w:val="single" w:sz="4" w:space="0" w:color="auto"/>
              <w:right w:val="single" w:sz="4" w:space="0" w:color="auto"/>
            </w:tcBorders>
            <w:shd w:val="clear" w:color="auto" w:fill="auto"/>
            <w:vAlign w:val="bottom"/>
            <w:hideMark/>
          </w:tcPr>
          <w:p w14:paraId="4096AAC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Impacts of climate change on farm income security in Central Asia: An integrated </w:t>
            </w:r>
            <w:proofErr w:type="spellStart"/>
            <w:r w:rsidRPr="00572724">
              <w:rPr>
                <w:rFonts w:ascii="Times New Roman" w:eastAsia="Times New Roman" w:hAnsi="Times New Roman" w:cs="Times New Roman"/>
                <w:color w:val="000000"/>
                <w:lang w:eastAsia="en-GB"/>
              </w:rPr>
              <w:t>modeling</w:t>
            </w:r>
            <w:proofErr w:type="spellEnd"/>
            <w:r w:rsidRPr="00572724">
              <w:rPr>
                <w:rFonts w:ascii="Times New Roman" w:eastAsia="Times New Roman" w:hAnsi="Times New Roman" w:cs="Times New Roman"/>
                <w:color w:val="000000"/>
                <w:lang w:eastAsia="en-GB"/>
              </w:rPr>
              <w:t xml:space="preserve"> approach</w:t>
            </w:r>
          </w:p>
        </w:tc>
        <w:tc>
          <w:tcPr>
            <w:tcW w:w="1240" w:type="dxa"/>
            <w:tcBorders>
              <w:top w:val="nil"/>
              <w:left w:val="nil"/>
              <w:bottom w:val="single" w:sz="4" w:space="0" w:color="auto"/>
              <w:right w:val="single" w:sz="4" w:space="0" w:color="auto"/>
            </w:tcBorders>
            <w:shd w:val="clear" w:color="auto" w:fill="auto"/>
            <w:vAlign w:val="bottom"/>
            <w:hideMark/>
          </w:tcPr>
          <w:p w14:paraId="6F22CF16"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2014</w:t>
            </w:r>
          </w:p>
        </w:tc>
      </w:tr>
      <w:tr w:rsidR="00572724" w:rsidRPr="00572724" w14:paraId="7B1F137D"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0755E1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Cann</w:t>
            </w:r>
            <w:proofErr w:type="spellEnd"/>
            <w:r w:rsidRPr="00572724">
              <w:rPr>
                <w:rFonts w:ascii="Times New Roman" w:eastAsia="Times New Roman" w:hAnsi="Times New Roman" w:cs="Times New Roman"/>
                <w:color w:val="000000"/>
                <w:lang w:eastAsia="en-GB"/>
              </w:rPr>
              <w:t>, DJ; Hunt, JR; Malcolm, B</w:t>
            </w:r>
          </w:p>
        </w:tc>
        <w:tc>
          <w:tcPr>
            <w:tcW w:w="4940" w:type="dxa"/>
            <w:tcBorders>
              <w:top w:val="nil"/>
              <w:left w:val="nil"/>
              <w:bottom w:val="single" w:sz="4" w:space="0" w:color="auto"/>
              <w:right w:val="single" w:sz="4" w:space="0" w:color="auto"/>
            </w:tcBorders>
            <w:shd w:val="clear" w:color="auto" w:fill="auto"/>
            <w:vAlign w:val="bottom"/>
            <w:hideMark/>
          </w:tcPr>
          <w:p w14:paraId="71A758A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Long fallows can maintain whole-farm profit and reduce risk in semi-arid south-eastern Australia</w:t>
            </w:r>
          </w:p>
        </w:tc>
        <w:tc>
          <w:tcPr>
            <w:tcW w:w="1240" w:type="dxa"/>
            <w:tcBorders>
              <w:top w:val="nil"/>
              <w:left w:val="nil"/>
              <w:bottom w:val="single" w:sz="4" w:space="0" w:color="auto"/>
              <w:right w:val="single" w:sz="4" w:space="0" w:color="auto"/>
            </w:tcBorders>
            <w:shd w:val="clear" w:color="auto" w:fill="auto"/>
            <w:vAlign w:val="bottom"/>
            <w:hideMark/>
          </w:tcPr>
          <w:p w14:paraId="3C0085F0"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11EF91C7"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23B914D"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proofErr w:type="spellStart"/>
            <w:r w:rsidRPr="00572724">
              <w:rPr>
                <w:rFonts w:ascii="Times New Roman" w:eastAsia="Times New Roman" w:hAnsi="Times New Roman" w:cs="Times New Roman"/>
                <w:color w:val="000000"/>
                <w:lang w:val="fr-FR" w:eastAsia="en-GB"/>
              </w:rPr>
              <w:t>Carauta</w:t>
            </w:r>
            <w:proofErr w:type="spellEnd"/>
            <w:r w:rsidRPr="00572724">
              <w:rPr>
                <w:rFonts w:ascii="Times New Roman" w:eastAsia="Times New Roman" w:hAnsi="Times New Roman" w:cs="Times New Roman"/>
                <w:color w:val="000000"/>
                <w:lang w:val="fr-FR" w:eastAsia="en-GB"/>
              </w:rPr>
              <w:t xml:space="preserve"> M., </w:t>
            </w:r>
            <w:proofErr w:type="spellStart"/>
            <w:r w:rsidRPr="00572724">
              <w:rPr>
                <w:rFonts w:ascii="Times New Roman" w:eastAsia="Times New Roman" w:hAnsi="Times New Roman" w:cs="Times New Roman"/>
                <w:color w:val="000000"/>
                <w:lang w:val="fr-FR" w:eastAsia="en-GB"/>
              </w:rPr>
              <w:t>Parussis</w:t>
            </w:r>
            <w:proofErr w:type="spellEnd"/>
            <w:r w:rsidRPr="00572724">
              <w:rPr>
                <w:rFonts w:ascii="Times New Roman" w:eastAsia="Times New Roman" w:hAnsi="Times New Roman" w:cs="Times New Roman"/>
                <w:color w:val="000000"/>
                <w:lang w:val="fr-FR" w:eastAsia="en-GB"/>
              </w:rPr>
              <w:t xml:space="preserve"> J., </w:t>
            </w:r>
            <w:proofErr w:type="spellStart"/>
            <w:r w:rsidRPr="00572724">
              <w:rPr>
                <w:rFonts w:ascii="Times New Roman" w:eastAsia="Times New Roman" w:hAnsi="Times New Roman" w:cs="Times New Roman"/>
                <w:color w:val="000000"/>
                <w:lang w:val="fr-FR" w:eastAsia="en-GB"/>
              </w:rPr>
              <w:t>Hampf</w:t>
            </w:r>
            <w:proofErr w:type="spellEnd"/>
            <w:r w:rsidRPr="00572724">
              <w:rPr>
                <w:rFonts w:ascii="Times New Roman" w:eastAsia="Times New Roman" w:hAnsi="Times New Roman" w:cs="Times New Roman"/>
                <w:color w:val="000000"/>
                <w:lang w:val="fr-FR" w:eastAsia="en-GB"/>
              </w:rPr>
              <w:t xml:space="preserve"> A., Libera A., Berger T.,</w:t>
            </w:r>
          </w:p>
        </w:tc>
        <w:tc>
          <w:tcPr>
            <w:tcW w:w="4940" w:type="dxa"/>
            <w:tcBorders>
              <w:top w:val="nil"/>
              <w:left w:val="nil"/>
              <w:bottom w:val="single" w:sz="4" w:space="0" w:color="auto"/>
              <w:right w:val="single" w:sz="4" w:space="0" w:color="auto"/>
            </w:tcBorders>
            <w:shd w:val="clear" w:color="auto" w:fill="auto"/>
            <w:vAlign w:val="bottom"/>
            <w:hideMark/>
          </w:tcPr>
          <w:p w14:paraId="7242309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No more double cropping in Mato Grosso, Brazil? Evaluating the potential impact of climate change on the profitability of farm systems</w:t>
            </w:r>
          </w:p>
        </w:tc>
        <w:tc>
          <w:tcPr>
            <w:tcW w:w="1240" w:type="dxa"/>
            <w:tcBorders>
              <w:top w:val="nil"/>
              <w:left w:val="nil"/>
              <w:bottom w:val="single" w:sz="4" w:space="0" w:color="auto"/>
              <w:right w:val="single" w:sz="4" w:space="0" w:color="auto"/>
            </w:tcBorders>
            <w:shd w:val="clear" w:color="auto" w:fill="auto"/>
            <w:vAlign w:val="bottom"/>
            <w:hideMark/>
          </w:tcPr>
          <w:p w14:paraId="704E967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2AB1589A"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EB82F7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Castaño</w:t>
            </w:r>
            <w:proofErr w:type="spellEnd"/>
            <w:r w:rsidRPr="00572724">
              <w:rPr>
                <w:rFonts w:ascii="Times New Roman" w:eastAsia="Times New Roman" w:hAnsi="Times New Roman" w:cs="Times New Roman"/>
                <w:color w:val="000000"/>
                <w:lang w:eastAsia="en-GB"/>
              </w:rPr>
              <w:t xml:space="preserve">-Sánchez, JP; Rotz, CA; McIntosh, MM; Tolle, C; Gifford, CA; Duff, GC; </w:t>
            </w:r>
            <w:proofErr w:type="spellStart"/>
            <w:r w:rsidRPr="00572724">
              <w:rPr>
                <w:rFonts w:ascii="Times New Roman" w:eastAsia="Times New Roman" w:hAnsi="Times New Roman" w:cs="Times New Roman"/>
                <w:color w:val="000000"/>
                <w:lang w:eastAsia="en-GB"/>
              </w:rPr>
              <w:t>Spiegal</w:t>
            </w:r>
            <w:proofErr w:type="spellEnd"/>
            <w:r w:rsidRPr="00572724">
              <w:rPr>
                <w:rFonts w:ascii="Times New Roman" w:eastAsia="Times New Roman" w:hAnsi="Times New Roman" w:cs="Times New Roman"/>
                <w:color w:val="000000"/>
                <w:lang w:eastAsia="en-GB"/>
              </w:rPr>
              <w:t>, SA</w:t>
            </w:r>
          </w:p>
        </w:tc>
        <w:tc>
          <w:tcPr>
            <w:tcW w:w="4940" w:type="dxa"/>
            <w:tcBorders>
              <w:top w:val="nil"/>
              <w:left w:val="nil"/>
              <w:bottom w:val="single" w:sz="4" w:space="0" w:color="auto"/>
              <w:right w:val="single" w:sz="4" w:space="0" w:color="auto"/>
            </w:tcBorders>
            <w:shd w:val="clear" w:color="auto" w:fill="auto"/>
            <w:vAlign w:val="bottom"/>
            <w:hideMark/>
          </w:tcPr>
          <w:p w14:paraId="6B0206E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Grass finishing of Criollo cattle can provide an environmentally preferred and cost effective meat supply chain from United States drylands</w:t>
            </w:r>
          </w:p>
        </w:tc>
        <w:tc>
          <w:tcPr>
            <w:tcW w:w="1240" w:type="dxa"/>
            <w:tcBorders>
              <w:top w:val="nil"/>
              <w:left w:val="nil"/>
              <w:bottom w:val="single" w:sz="4" w:space="0" w:color="auto"/>
              <w:right w:val="single" w:sz="4" w:space="0" w:color="auto"/>
            </w:tcBorders>
            <w:shd w:val="clear" w:color="auto" w:fill="auto"/>
            <w:vAlign w:val="bottom"/>
            <w:hideMark/>
          </w:tcPr>
          <w:p w14:paraId="47D0A75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16292131"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0A0E02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Chapman D.F., Kenny S.N., Beca D., Johnson I.R.,</w:t>
            </w:r>
          </w:p>
        </w:tc>
        <w:tc>
          <w:tcPr>
            <w:tcW w:w="4940" w:type="dxa"/>
            <w:tcBorders>
              <w:top w:val="nil"/>
              <w:left w:val="nil"/>
              <w:bottom w:val="single" w:sz="4" w:space="0" w:color="auto"/>
              <w:right w:val="single" w:sz="4" w:space="0" w:color="auto"/>
            </w:tcBorders>
            <w:shd w:val="clear" w:color="auto" w:fill="auto"/>
            <w:vAlign w:val="bottom"/>
            <w:hideMark/>
          </w:tcPr>
          <w:p w14:paraId="66C48B6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Pasture and forage crop systems for non-irrigated dairy farms in southern Australia. 2. Inter-annual variation in forage supply, and business risk</w:t>
            </w:r>
          </w:p>
        </w:tc>
        <w:tc>
          <w:tcPr>
            <w:tcW w:w="1240" w:type="dxa"/>
            <w:tcBorders>
              <w:top w:val="nil"/>
              <w:left w:val="nil"/>
              <w:bottom w:val="single" w:sz="4" w:space="0" w:color="auto"/>
              <w:right w:val="single" w:sz="4" w:space="0" w:color="auto"/>
            </w:tcBorders>
            <w:shd w:val="clear" w:color="auto" w:fill="auto"/>
            <w:vAlign w:val="bottom"/>
            <w:hideMark/>
          </w:tcPr>
          <w:p w14:paraId="1D2456F8"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2008</w:t>
            </w:r>
          </w:p>
        </w:tc>
      </w:tr>
      <w:tr w:rsidR="00572724" w:rsidRPr="00572724" w14:paraId="1E5AA792"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2EB180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Chaudhary B.R.; Erskine W.; </w:t>
            </w:r>
            <w:proofErr w:type="spellStart"/>
            <w:r w:rsidRPr="00572724">
              <w:rPr>
                <w:rFonts w:ascii="Times New Roman" w:eastAsia="Times New Roman" w:hAnsi="Times New Roman" w:cs="Times New Roman"/>
                <w:color w:val="000000"/>
                <w:lang w:eastAsia="en-GB"/>
              </w:rPr>
              <w:t>Acciaioli</w:t>
            </w:r>
            <w:proofErr w:type="spellEnd"/>
            <w:r w:rsidRPr="00572724">
              <w:rPr>
                <w:rFonts w:ascii="Times New Roman" w:eastAsia="Times New Roman" w:hAnsi="Times New Roman" w:cs="Times New Roman"/>
                <w:color w:val="000000"/>
                <w:lang w:eastAsia="en-GB"/>
              </w:rPr>
              <w:t xml:space="preserve"> G.</w:t>
            </w:r>
          </w:p>
        </w:tc>
        <w:tc>
          <w:tcPr>
            <w:tcW w:w="4940" w:type="dxa"/>
            <w:tcBorders>
              <w:top w:val="nil"/>
              <w:left w:val="nil"/>
              <w:bottom w:val="single" w:sz="4" w:space="0" w:color="auto"/>
              <w:right w:val="single" w:sz="4" w:space="0" w:color="auto"/>
            </w:tcBorders>
            <w:shd w:val="clear" w:color="auto" w:fill="auto"/>
            <w:vAlign w:val="bottom"/>
            <w:hideMark/>
          </w:tcPr>
          <w:p w14:paraId="5005024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Hybrid knowledge and climate-resilient agriculture practices of the Tharu in the western Tarai, Nepal</w:t>
            </w:r>
          </w:p>
        </w:tc>
        <w:tc>
          <w:tcPr>
            <w:tcW w:w="1240" w:type="dxa"/>
            <w:tcBorders>
              <w:top w:val="nil"/>
              <w:left w:val="nil"/>
              <w:bottom w:val="single" w:sz="4" w:space="0" w:color="auto"/>
              <w:right w:val="single" w:sz="4" w:space="0" w:color="auto"/>
            </w:tcBorders>
            <w:shd w:val="clear" w:color="auto" w:fill="auto"/>
            <w:noWrap/>
            <w:vAlign w:val="bottom"/>
            <w:hideMark/>
          </w:tcPr>
          <w:p w14:paraId="6B3654A8"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7ABA3E8F"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6DB4D4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Chawdhery</w:t>
            </w:r>
            <w:proofErr w:type="spellEnd"/>
            <w:r w:rsidRPr="00572724">
              <w:rPr>
                <w:rFonts w:ascii="Times New Roman" w:eastAsia="Times New Roman" w:hAnsi="Times New Roman" w:cs="Times New Roman"/>
                <w:color w:val="000000"/>
                <w:lang w:eastAsia="en-GB"/>
              </w:rPr>
              <w:t>, MRA; Al-</w:t>
            </w:r>
            <w:proofErr w:type="spellStart"/>
            <w:r w:rsidRPr="00572724">
              <w:rPr>
                <w:rFonts w:ascii="Times New Roman" w:eastAsia="Times New Roman" w:hAnsi="Times New Roman" w:cs="Times New Roman"/>
                <w:color w:val="000000"/>
                <w:lang w:eastAsia="en-GB"/>
              </w:rPr>
              <w:t>Mueed</w:t>
            </w:r>
            <w:proofErr w:type="spellEnd"/>
            <w:r w:rsidRPr="00572724">
              <w:rPr>
                <w:rFonts w:ascii="Times New Roman" w:eastAsia="Times New Roman" w:hAnsi="Times New Roman" w:cs="Times New Roman"/>
                <w:color w:val="000000"/>
                <w:lang w:eastAsia="en-GB"/>
              </w:rPr>
              <w:t xml:space="preserve">, M; </w:t>
            </w:r>
            <w:proofErr w:type="spellStart"/>
            <w:r w:rsidRPr="00572724">
              <w:rPr>
                <w:rFonts w:ascii="Times New Roman" w:eastAsia="Times New Roman" w:hAnsi="Times New Roman" w:cs="Times New Roman"/>
                <w:color w:val="000000"/>
                <w:lang w:eastAsia="en-GB"/>
              </w:rPr>
              <w:t>Wazed</w:t>
            </w:r>
            <w:proofErr w:type="spellEnd"/>
            <w:r w:rsidRPr="00572724">
              <w:rPr>
                <w:rFonts w:ascii="Times New Roman" w:eastAsia="Times New Roman" w:hAnsi="Times New Roman" w:cs="Times New Roman"/>
                <w:color w:val="000000"/>
                <w:lang w:eastAsia="en-GB"/>
              </w:rPr>
              <w:t>, MA; Emran, SA; Chowdhury, MAH; Hussain, SG</w:t>
            </w:r>
          </w:p>
        </w:tc>
        <w:tc>
          <w:tcPr>
            <w:tcW w:w="4940" w:type="dxa"/>
            <w:tcBorders>
              <w:top w:val="nil"/>
              <w:left w:val="nil"/>
              <w:bottom w:val="single" w:sz="4" w:space="0" w:color="auto"/>
              <w:right w:val="single" w:sz="4" w:space="0" w:color="auto"/>
            </w:tcBorders>
            <w:shd w:val="clear" w:color="auto" w:fill="auto"/>
            <w:vAlign w:val="bottom"/>
            <w:hideMark/>
          </w:tcPr>
          <w:p w14:paraId="763164D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 Impacts Assessment Using Crop Simulation Model Intercomparison Approach in Northern Indo-Gangetic Basin of Bangladesh</w:t>
            </w:r>
          </w:p>
        </w:tc>
        <w:tc>
          <w:tcPr>
            <w:tcW w:w="1240" w:type="dxa"/>
            <w:tcBorders>
              <w:top w:val="nil"/>
              <w:left w:val="nil"/>
              <w:bottom w:val="single" w:sz="4" w:space="0" w:color="auto"/>
              <w:right w:val="single" w:sz="4" w:space="0" w:color="auto"/>
            </w:tcBorders>
            <w:shd w:val="clear" w:color="auto" w:fill="auto"/>
            <w:vAlign w:val="bottom"/>
            <w:hideMark/>
          </w:tcPr>
          <w:p w14:paraId="5FF5FB6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426B4074"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5FEF13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lastRenderedPageBreak/>
              <w:t>Chukwuone</w:t>
            </w:r>
            <w:proofErr w:type="spellEnd"/>
            <w:r w:rsidRPr="00572724">
              <w:rPr>
                <w:rFonts w:ascii="Times New Roman" w:eastAsia="Times New Roman" w:hAnsi="Times New Roman" w:cs="Times New Roman"/>
                <w:color w:val="000000"/>
                <w:lang w:eastAsia="en-GB"/>
              </w:rPr>
              <w:t xml:space="preserve"> N.A.; </w:t>
            </w:r>
            <w:proofErr w:type="spellStart"/>
            <w:r w:rsidRPr="00572724">
              <w:rPr>
                <w:rFonts w:ascii="Times New Roman" w:eastAsia="Times New Roman" w:hAnsi="Times New Roman" w:cs="Times New Roman"/>
                <w:color w:val="000000"/>
                <w:lang w:eastAsia="en-GB"/>
              </w:rPr>
              <w:t>Amaechina</w:t>
            </w:r>
            <w:proofErr w:type="spellEnd"/>
            <w:r w:rsidRPr="00572724">
              <w:rPr>
                <w:rFonts w:ascii="Times New Roman" w:eastAsia="Times New Roman" w:hAnsi="Times New Roman" w:cs="Times New Roman"/>
                <w:color w:val="000000"/>
                <w:lang w:eastAsia="en-GB"/>
              </w:rPr>
              <w:t xml:space="preserve"> E.C.</w:t>
            </w:r>
          </w:p>
        </w:tc>
        <w:tc>
          <w:tcPr>
            <w:tcW w:w="4940" w:type="dxa"/>
            <w:tcBorders>
              <w:top w:val="nil"/>
              <w:left w:val="nil"/>
              <w:bottom w:val="single" w:sz="4" w:space="0" w:color="auto"/>
              <w:right w:val="single" w:sz="4" w:space="0" w:color="auto"/>
            </w:tcBorders>
            <w:shd w:val="clear" w:color="auto" w:fill="auto"/>
            <w:vAlign w:val="bottom"/>
            <w:hideMark/>
          </w:tcPr>
          <w:p w14:paraId="307932E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Factors affecting climate change coping strategies used by smallholder farmers under root crop farming systems in derived savannah ecology zone of Nigeria</w:t>
            </w:r>
          </w:p>
        </w:tc>
        <w:tc>
          <w:tcPr>
            <w:tcW w:w="1240" w:type="dxa"/>
            <w:tcBorders>
              <w:top w:val="nil"/>
              <w:left w:val="nil"/>
              <w:bottom w:val="single" w:sz="4" w:space="0" w:color="auto"/>
              <w:right w:val="single" w:sz="4" w:space="0" w:color="auto"/>
            </w:tcBorders>
            <w:shd w:val="clear" w:color="auto" w:fill="auto"/>
            <w:noWrap/>
            <w:vAlign w:val="bottom"/>
            <w:hideMark/>
          </w:tcPr>
          <w:p w14:paraId="34A1E8C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784EE59A" w14:textId="77777777" w:rsidTr="00572724">
        <w:trPr>
          <w:trHeight w:val="1152"/>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794842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Ciftcioglu</w:t>
            </w:r>
            <w:proofErr w:type="spellEnd"/>
            <w:r w:rsidRPr="00572724">
              <w:rPr>
                <w:rFonts w:ascii="Times New Roman" w:eastAsia="Times New Roman" w:hAnsi="Times New Roman" w:cs="Times New Roman"/>
                <w:color w:val="000000"/>
                <w:lang w:eastAsia="en-GB"/>
              </w:rPr>
              <w:t>, GC</w:t>
            </w:r>
          </w:p>
        </w:tc>
        <w:tc>
          <w:tcPr>
            <w:tcW w:w="4940" w:type="dxa"/>
            <w:tcBorders>
              <w:top w:val="nil"/>
              <w:left w:val="nil"/>
              <w:bottom w:val="single" w:sz="4" w:space="0" w:color="auto"/>
              <w:right w:val="single" w:sz="4" w:space="0" w:color="auto"/>
            </w:tcBorders>
            <w:shd w:val="clear" w:color="auto" w:fill="auto"/>
            <w:vAlign w:val="bottom"/>
            <w:hideMark/>
          </w:tcPr>
          <w:p w14:paraId="079E6FC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Assessment of the resilience of the agricultural landscapes and associated ecosystem services at multiple scales (a farm and landscape) in </w:t>
            </w:r>
            <w:proofErr w:type="spellStart"/>
            <w:r w:rsidRPr="00572724">
              <w:rPr>
                <w:rFonts w:ascii="Times New Roman" w:eastAsia="Times New Roman" w:hAnsi="Times New Roman" w:cs="Times New Roman"/>
                <w:color w:val="000000"/>
                <w:lang w:eastAsia="en-GB"/>
              </w:rPr>
              <w:t>Kyrenia</w:t>
            </w:r>
            <w:proofErr w:type="spellEnd"/>
            <w:r w:rsidRPr="00572724">
              <w:rPr>
                <w:rFonts w:ascii="Times New Roman" w:eastAsia="Times New Roman" w:hAnsi="Times New Roman" w:cs="Times New Roman"/>
                <w:color w:val="000000"/>
                <w:lang w:eastAsia="en-GB"/>
              </w:rPr>
              <w:t xml:space="preserve"> (</w:t>
            </w:r>
            <w:proofErr w:type="spellStart"/>
            <w:r w:rsidRPr="00572724">
              <w:rPr>
                <w:rFonts w:ascii="Times New Roman" w:eastAsia="Times New Roman" w:hAnsi="Times New Roman" w:cs="Times New Roman"/>
                <w:color w:val="000000"/>
                <w:lang w:eastAsia="en-GB"/>
              </w:rPr>
              <w:t>Girne</w:t>
            </w:r>
            <w:proofErr w:type="spellEnd"/>
            <w:r w:rsidRPr="00572724">
              <w:rPr>
                <w:rFonts w:ascii="Times New Roman" w:eastAsia="Times New Roman" w:hAnsi="Times New Roman" w:cs="Times New Roman"/>
                <w:color w:val="000000"/>
                <w:lang w:eastAsia="en-GB"/>
              </w:rPr>
              <w:t>) Region of Northern Cyprus</w:t>
            </w:r>
          </w:p>
        </w:tc>
        <w:tc>
          <w:tcPr>
            <w:tcW w:w="1240" w:type="dxa"/>
            <w:tcBorders>
              <w:top w:val="nil"/>
              <w:left w:val="nil"/>
              <w:bottom w:val="single" w:sz="4" w:space="0" w:color="auto"/>
              <w:right w:val="single" w:sz="4" w:space="0" w:color="auto"/>
            </w:tcBorders>
            <w:shd w:val="clear" w:color="auto" w:fill="auto"/>
            <w:vAlign w:val="bottom"/>
            <w:hideMark/>
          </w:tcPr>
          <w:p w14:paraId="64324A0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118D6E9E"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5CB36D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Collins B.; Attard S.; </w:t>
            </w:r>
            <w:proofErr w:type="spellStart"/>
            <w:r w:rsidRPr="00572724">
              <w:rPr>
                <w:rFonts w:ascii="Times New Roman" w:eastAsia="Times New Roman" w:hAnsi="Times New Roman" w:cs="Times New Roman"/>
                <w:color w:val="000000"/>
                <w:lang w:eastAsia="en-GB"/>
              </w:rPr>
              <w:t>Banhalmi-Zakar</w:t>
            </w:r>
            <w:proofErr w:type="spellEnd"/>
            <w:r w:rsidRPr="00572724">
              <w:rPr>
                <w:rFonts w:ascii="Times New Roman" w:eastAsia="Times New Roman" w:hAnsi="Times New Roman" w:cs="Times New Roman"/>
                <w:color w:val="000000"/>
                <w:lang w:eastAsia="en-GB"/>
              </w:rPr>
              <w:t xml:space="preserve"> Z.; Everingham Y.</w:t>
            </w:r>
          </w:p>
        </w:tc>
        <w:tc>
          <w:tcPr>
            <w:tcW w:w="4940" w:type="dxa"/>
            <w:tcBorders>
              <w:top w:val="nil"/>
              <w:left w:val="nil"/>
              <w:bottom w:val="single" w:sz="4" w:space="0" w:color="auto"/>
              <w:right w:val="single" w:sz="4" w:space="0" w:color="auto"/>
            </w:tcBorders>
            <w:shd w:val="clear" w:color="auto" w:fill="auto"/>
            <w:vAlign w:val="bottom"/>
            <w:hideMark/>
          </w:tcPr>
          <w:p w14:paraId="60038D2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i-RAT: A discussion support system to rapidly assess economic and environmental impacts resulting from different sugarcane irrigation practices</w:t>
            </w:r>
          </w:p>
        </w:tc>
        <w:tc>
          <w:tcPr>
            <w:tcW w:w="1240" w:type="dxa"/>
            <w:tcBorders>
              <w:top w:val="nil"/>
              <w:left w:val="nil"/>
              <w:bottom w:val="single" w:sz="4" w:space="0" w:color="auto"/>
              <w:right w:val="single" w:sz="4" w:space="0" w:color="auto"/>
            </w:tcBorders>
            <w:shd w:val="clear" w:color="auto" w:fill="auto"/>
            <w:vAlign w:val="bottom"/>
            <w:hideMark/>
          </w:tcPr>
          <w:p w14:paraId="034BE49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74B84B62" w14:textId="77777777" w:rsidTr="00572724">
        <w:trPr>
          <w:trHeight w:val="1152"/>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9D95D3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Córdova</w:t>
            </w:r>
            <w:proofErr w:type="spellEnd"/>
            <w:r w:rsidRPr="00572724">
              <w:rPr>
                <w:rFonts w:ascii="Times New Roman" w:eastAsia="Times New Roman" w:hAnsi="Times New Roman" w:cs="Times New Roman"/>
                <w:color w:val="000000"/>
                <w:lang w:eastAsia="en-GB"/>
              </w:rPr>
              <w:t xml:space="preserve"> R., Hogarth N.J., </w:t>
            </w:r>
            <w:proofErr w:type="spellStart"/>
            <w:r w:rsidRPr="00572724">
              <w:rPr>
                <w:rFonts w:ascii="Times New Roman" w:eastAsia="Times New Roman" w:hAnsi="Times New Roman" w:cs="Times New Roman"/>
                <w:color w:val="000000"/>
                <w:lang w:eastAsia="en-GB"/>
              </w:rPr>
              <w:t>Kanninen</w:t>
            </w:r>
            <w:proofErr w:type="spellEnd"/>
            <w:r w:rsidRPr="00572724">
              <w:rPr>
                <w:rFonts w:ascii="Times New Roman" w:eastAsia="Times New Roman" w:hAnsi="Times New Roman" w:cs="Times New Roman"/>
                <w:color w:val="000000"/>
                <w:lang w:eastAsia="en-GB"/>
              </w:rPr>
              <w:t xml:space="preserve"> M.,</w:t>
            </w:r>
          </w:p>
        </w:tc>
        <w:tc>
          <w:tcPr>
            <w:tcW w:w="4940" w:type="dxa"/>
            <w:tcBorders>
              <w:top w:val="nil"/>
              <w:left w:val="nil"/>
              <w:bottom w:val="single" w:sz="4" w:space="0" w:color="auto"/>
              <w:right w:val="single" w:sz="4" w:space="0" w:color="auto"/>
            </w:tcBorders>
            <w:shd w:val="clear" w:color="auto" w:fill="auto"/>
            <w:vAlign w:val="bottom"/>
            <w:hideMark/>
          </w:tcPr>
          <w:p w14:paraId="22DB0D0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Mountain farming systems' exposure and sensitivity to climate change and variability: Agroforestry and conventional agriculture systems compared in Ecuador's Indigenous Territory of </w:t>
            </w:r>
            <w:proofErr w:type="spellStart"/>
            <w:r w:rsidRPr="00572724">
              <w:rPr>
                <w:rFonts w:ascii="Times New Roman" w:eastAsia="Times New Roman" w:hAnsi="Times New Roman" w:cs="Times New Roman"/>
                <w:color w:val="000000"/>
                <w:lang w:eastAsia="en-GB"/>
              </w:rPr>
              <w:t>Kayambi</w:t>
            </w:r>
            <w:proofErr w:type="spellEnd"/>
            <w:r w:rsidRPr="00572724">
              <w:rPr>
                <w:rFonts w:ascii="Times New Roman" w:eastAsia="Times New Roman" w:hAnsi="Times New Roman" w:cs="Times New Roman"/>
                <w:color w:val="000000"/>
                <w:lang w:eastAsia="en-GB"/>
              </w:rPr>
              <w:t xml:space="preserve"> people</w:t>
            </w:r>
          </w:p>
        </w:tc>
        <w:tc>
          <w:tcPr>
            <w:tcW w:w="1240" w:type="dxa"/>
            <w:tcBorders>
              <w:top w:val="nil"/>
              <w:left w:val="nil"/>
              <w:bottom w:val="single" w:sz="4" w:space="0" w:color="auto"/>
              <w:right w:val="single" w:sz="4" w:space="0" w:color="auto"/>
            </w:tcBorders>
            <w:shd w:val="clear" w:color="auto" w:fill="auto"/>
            <w:vAlign w:val="bottom"/>
            <w:hideMark/>
          </w:tcPr>
          <w:p w14:paraId="4890C3E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2019</w:t>
            </w:r>
          </w:p>
        </w:tc>
      </w:tr>
      <w:tr w:rsidR="00572724" w:rsidRPr="00572724" w14:paraId="3FBD375E"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D30DFF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Cradock-Henry N.A.,</w:t>
            </w:r>
          </w:p>
        </w:tc>
        <w:tc>
          <w:tcPr>
            <w:tcW w:w="4940" w:type="dxa"/>
            <w:tcBorders>
              <w:top w:val="nil"/>
              <w:left w:val="nil"/>
              <w:bottom w:val="single" w:sz="4" w:space="0" w:color="auto"/>
              <w:right w:val="single" w:sz="4" w:space="0" w:color="auto"/>
            </w:tcBorders>
            <w:shd w:val="clear" w:color="auto" w:fill="auto"/>
            <w:vAlign w:val="bottom"/>
            <w:hideMark/>
          </w:tcPr>
          <w:p w14:paraId="370D003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Linking the social, economic, and agroecological: A resilience framework for dairy farming</w:t>
            </w:r>
          </w:p>
        </w:tc>
        <w:tc>
          <w:tcPr>
            <w:tcW w:w="1240" w:type="dxa"/>
            <w:tcBorders>
              <w:top w:val="nil"/>
              <w:left w:val="nil"/>
              <w:bottom w:val="single" w:sz="4" w:space="0" w:color="auto"/>
              <w:right w:val="single" w:sz="4" w:space="0" w:color="auto"/>
            </w:tcBorders>
            <w:shd w:val="clear" w:color="auto" w:fill="auto"/>
            <w:vAlign w:val="bottom"/>
            <w:hideMark/>
          </w:tcPr>
          <w:p w14:paraId="08CD1C24"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6A9A57AF"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901E405"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Dahal</w:t>
            </w:r>
            <w:proofErr w:type="spellEnd"/>
            <w:r w:rsidRPr="00572724">
              <w:rPr>
                <w:rFonts w:ascii="Times New Roman" w:eastAsia="Times New Roman" w:hAnsi="Times New Roman" w:cs="Times New Roman"/>
                <w:color w:val="000000"/>
                <w:lang w:eastAsia="en-GB"/>
              </w:rPr>
              <w:t xml:space="preserve"> K.R.; </w:t>
            </w:r>
            <w:proofErr w:type="spellStart"/>
            <w:r w:rsidRPr="00572724">
              <w:rPr>
                <w:rFonts w:ascii="Times New Roman" w:eastAsia="Times New Roman" w:hAnsi="Times New Roman" w:cs="Times New Roman"/>
                <w:color w:val="000000"/>
                <w:lang w:eastAsia="en-GB"/>
              </w:rPr>
              <w:t>Dahal</w:t>
            </w:r>
            <w:proofErr w:type="spellEnd"/>
            <w:r w:rsidRPr="00572724">
              <w:rPr>
                <w:rFonts w:ascii="Times New Roman" w:eastAsia="Times New Roman" w:hAnsi="Times New Roman" w:cs="Times New Roman"/>
                <w:color w:val="000000"/>
                <w:lang w:eastAsia="en-GB"/>
              </w:rPr>
              <w:t xml:space="preserve"> P.; Adhikari R.K.; </w:t>
            </w:r>
            <w:proofErr w:type="spellStart"/>
            <w:r w:rsidRPr="00572724">
              <w:rPr>
                <w:rFonts w:ascii="Times New Roman" w:eastAsia="Times New Roman" w:hAnsi="Times New Roman" w:cs="Times New Roman"/>
                <w:color w:val="000000"/>
                <w:lang w:eastAsia="en-GB"/>
              </w:rPr>
              <w:t>Naukkarinen</w:t>
            </w:r>
            <w:proofErr w:type="spellEnd"/>
            <w:r w:rsidRPr="00572724">
              <w:rPr>
                <w:rFonts w:ascii="Times New Roman" w:eastAsia="Times New Roman" w:hAnsi="Times New Roman" w:cs="Times New Roman"/>
                <w:color w:val="000000"/>
                <w:lang w:eastAsia="en-GB"/>
              </w:rPr>
              <w:t xml:space="preserve"> V.; Panday D.; Bista N.; Helenius J.; </w:t>
            </w:r>
            <w:proofErr w:type="spellStart"/>
            <w:r w:rsidRPr="00572724">
              <w:rPr>
                <w:rFonts w:ascii="Times New Roman" w:eastAsia="Times New Roman" w:hAnsi="Times New Roman" w:cs="Times New Roman"/>
                <w:color w:val="000000"/>
                <w:lang w:eastAsia="en-GB"/>
              </w:rPr>
              <w:t>Marambe</w:t>
            </w:r>
            <w:proofErr w:type="spellEnd"/>
            <w:r w:rsidRPr="00572724">
              <w:rPr>
                <w:rFonts w:ascii="Times New Roman" w:eastAsia="Times New Roman" w:hAnsi="Times New Roman" w:cs="Times New Roman"/>
                <w:color w:val="000000"/>
                <w:lang w:eastAsia="en-GB"/>
              </w:rPr>
              <w:t xml:space="preserve"> B.</w:t>
            </w:r>
          </w:p>
        </w:tc>
        <w:tc>
          <w:tcPr>
            <w:tcW w:w="4940" w:type="dxa"/>
            <w:tcBorders>
              <w:top w:val="nil"/>
              <w:left w:val="nil"/>
              <w:bottom w:val="single" w:sz="4" w:space="0" w:color="auto"/>
              <w:right w:val="single" w:sz="4" w:space="0" w:color="auto"/>
            </w:tcBorders>
            <w:shd w:val="clear" w:color="auto" w:fill="auto"/>
            <w:vAlign w:val="bottom"/>
            <w:hideMark/>
          </w:tcPr>
          <w:p w14:paraId="3895699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 Impacts and Adaptation in a Hill Farming System of the Himalayan Region: Climatic Trends, Farmers’ Perceptions and Practices</w:t>
            </w:r>
          </w:p>
        </w:tc>
        <w:tc>
          <w:tcPr>
            <w:tcW w:w="1240" w:type="dxa"/>
            <w:tcBorders>
              <w:top w:val="nil"/>
              <w:left w:val="nil"/>
              <w:bottom w:val="single" w:sz="4" w:space="0" w:color="auto"/>
              <w:right w:val="single" w:sz="4" w:space="0" w:color="auto"/>
            </w:tcBorders>
            <w:shd w:val="clear" w:color="auto" w:fill="auto"/>
            <w:noWrap/>
            <w:vAlign w:val="bottom"/>
            <w:hideMark/>
          </w:tcPr>
          <w:p w14:paraId="57015EB0"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7D6AB54F" w14:textId="77777777" w:rsidTr="00572724">
        <w:trPr>
          <w:trHeight w:val="1152"/>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E22B4E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Dalgliesh, NP; Charlesworth, P; </w:t>
            </w:r>
            <w:proofErr w:type="spellStart"/>
            <w:r w:rsidRPr="00572724">
              <w:rPr>
                <w:rFonts w:ascii="Times New Roman" w:eastAsia="Times New Roman" w:hAnsi="Times New Roman" w:cs="Times New Roman"/>
                <w:color w:val="000000"/>
                <w:lang w:eastAsia="en-GB"/>
              </w:rPr>
              <w:t>Lonh</w:t>
            </w:r>
            <w:proofErr w:type="spellEnd"/>
            <w:r w:rsidRPr="00572724">
              <w:rPr>
                <w:rFonts w:ascii="Times New Roman" w:eastAsia="Times New Roman" w:hAnsi="Times New Roman" w:cs="Times New Roman"/>
                <w:color w:val="000000"/>
                <w:lang w:eastAsia="en-GB"/>
              </w:rPr>
              <w:t>, L; Poulton, PL</w:t>
            </w:r>
          </w:p>
        </w:tc>
        <w:tc>
          <w:tcPr>
            <w:tcW w:w="4940" w:type="dxa"/>
            <w:tcBorders>
              <w:top w:val="nil"/>
              <w:left w:val="nil"/>
              <w:bottom w:val="single" w:sz="4" w:space="0" w:color="auto"/>
              <w:right w:val="single" w:sz="4" w:space="0" w:color="auto"/>
            </w:tcBorders>
            <w:shd w:val="clear" w:color="auto" w:fill="auto"/>
            <w:vAlign w:val="bottom"/>
            <w:hideMark/>
          </w:tcPr>
          <w:p w14:paraId="5483FEE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Promoting resilience in Cambodian lowland rice ecosystems-Farming system research to support flexible climate response strategies for smallholder farmers</w:t>
            </w:r>
          </w:p>
        </w:tc>
        <w:tc>
          <w:tcPr>
            <w:tcW w:w="1240" w:type="dxa"/>
            <w:tcBorders>
              <w:top w:val="nil"/>
              <w:left w:val="nil"/>
              <w:bottom w:val="single" w:sz="4" w:space="0" w:color="auto"/>
              <w:right w:val="single" w:sz="4" w:space="0" w:color="auto"/>
            </w:tcBorders>
            <w:shd w:val="clear" w:color="auto" w:fill="auto"/>
            <w:vAlign w:val="bottom"/>
            <w:hideMark/>
          </w:tcPr>
          <w:p w14:paraId="66D7BC96"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2016</w:t>
            </w:r>
          </w:p>
        </w:tc>
      </w:tr>
      <w:tr w:rsidR="00572724" w:rsidRPr="00572724" w14:paraId="347BE145" w14:textId="77777777" w:rsidTr="00572724">
        <w:trPr>
          <w:trHeight w:val="1152"/>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1BA8A5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Dam T.H.T., Tur-Cardona J., </w:t>
            </w:r>
            <w:proofErr w:type="spellStart"/>
            <w:r w:rsidRPr="00572724">
              <w:rPr>
                <w:rFonts w:ascii="Times New Roman" w:eastAsia="Times New Roman" w:hAnsi="Times New Roman" w:cs="Times New Roman"/>
                <w:color w:val="000000"/>
                <w:lang w:eastAsia="en-GB"/>
              </w:rPr>
              <w:t>Speelman</w:t>
            </w:r>
            <w:proofErr w:type="spellEnd"/>
            <w:r w:rsidRPr="00572724">
              <w:rPr>
                <w:rFonts w:ascii="Times New Roman" w:eastAsia="Times New Roman" w:hAnsi="Times New Roman" w:cs="Times New Roman"/>
                <w:color w:val="000000"/>
                <w:lang w:eastAsia="en-GB"/>
              </w:rPr>
              <w:t xml:space="preserve"> S., </w:t>
            </w:r>
            <w:proofErr w:type="spellStart"/>
            <w:r w:rsidRPr="00572724">
              <w:rPr>
                <w:rFonts w:ascii="Times New Roman" w:eastAsia="Times New Roman" w:hAnsi="Times New Roman" w:cs="Times New Roman"/>
                <w:color w:val="000000"/>
                <w:lang w:eastAsia="en-GB"/>
              </w:rPr>
              <w:t>Amjath</w:t>
            </w:r>
            <w:proofErr w:type="spellEnd"/>
            <w:r w:rsidRPr="00572724">
              <w:rPr>
                <w:rFonts w:ascii="Times New Roman" w:eastAsia="Times New Roman" w:hAnsi="Times New Roman" w:cs="Times New Roman"/>
                <w:color w:val="000000"/>
                <w:lang w:eastAsia="en-GB"/>
              </w:rPr>
              <w:t>-Babu T.S., Sam A.S., Zander P.,</w:t>
            </w:r>
          </w:p>
        </w:tc>
        <w:tc>
          <w:tcPr>
            <w:tcW w:w="4940" w:type="dxa"/>
            <w:tcBorders>
              <w:top w:val="nil"/>
              <w:left w:val="nil"/>
              <w:bottom w:val="single" w:sz="4" w:space="0" w:color="auto"/>
              <w:right w:val="single" w:sz="4" w:space="0" w:color="auto"/>
            </w:tcBorders>
            <w:shd w:val="clear" w:color="auto" w:fill="auto"/>
            <w:vAlign w:val="bottom"/>
            <w:hideMark/>
          </w:tcPr>
          <w:p w14:paraId="6C5A0225"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Incremental and transformative adaptation preferences of rice farmers against increasing soil salinity - Evidence from choice experiments in north central Vietnam</w:t>
            </w:r>
          </w:p>
        </w:tc>
        <w:tc>
          <w:tcPr>
            <w:tcW w:w="1240" w:type="dxa"/>
            <w:tcBorders>
              <w:top w:val="nil"/>
              <w:left w:val="nil"/>
              <w:bottom w:val="single" w:sz="4" w:space="0" w:color="auto"/>
              <w:right w:val="single" w:sz="4" w:space="0" w:color="auto"/>
            </w:tcBorders>
            <w:shd w:val="clear" w:color="auto" w:fill="auto"/>
            <w:vAlign w:val="bottom"/>
            <w:hideMark/>
          </w:tcPr>
          <w:p w14:paraId="54113DC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63364762"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F7DF61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Daniele B.-C.; Barbara S.; Isabel B.; Alberto G.</w:t>
            </w:r>
          </w:p>
        </w:tc>
        <w:tc>
          <w:tcPr>
            <w:tcW w:w="4940" w:type="dxa"/>
            <w:tcBorders>
              <w:top w:val="nil"/>
              <w:left w:val="nil"/>
              <w:bottom w:val="single" w:sz="4" w:space="0" w:color="auto"/>
              <w:right w:val="single" w:sz="4" w:space="0" w:color="auto"/>
            </w:tcBorders>
            <w:shd w:val="clear" w:color="auto" w:fill="auto"/>
            <w:vAlign w:val="bottom"/>
            <w:hideMark/>
          </w:tcPr>
          <w:p w14:paraId="6E5600D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Analysis of perceived robustness, adaptability and transformability of Spanish extensive livestock farms under alternative challenging scenarios</w:t>
            </w:r>
          </w:p>
        </w:tc>
        <w:tc>
          <w:tcPr>
            <w:tcW w:w="1240" w:type="dxa"/>
            <w:tcBorders>
              <w:top w:val="nil"/>
              <w:left w:val="nil"/>
              <w:bottom w:val="single" w:sz="4" w:space="0" w:color="auto"/>
              <w:right w:val="single" w:sz="4" w:space="0" w:color="auto"/>
            </w:tcBorders>
            <w:shd w:val="clear" w:color="auto" w:fill="auto"/>
            <w:noWrap/>
            <w:vAlign w:val="bottom"/>
            <w:hideMark/>
          </w:tcPr>
          <w:p w14:paraId="746BB61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1DE9E913"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45D542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lastRenderedPageBreak/>
              <w:t xml:space="preserve">Dardonville M.; </w:t>
            </w:r>
            <w:proofErr w:type="spellStart"/>
            <w:r w:rsidRPr="00572724">
              <w:rPr>
                <w:rFonts w:ascii="Times New Roman" w:eastAsia="Times New Roman" w:hAnsi="Times New Roman" w:cs="Times New Roman"/>
                <w:color w:val="000000"/>
                <w:lang w:eastAsia="en-GB"/>
              </w:rPr>
              <w:t>Bockstaller</w:t>
            </w:r>
            <w:proofErr w:type="spellEnd"/>
            <w:r w:rsidRPr="00572724">
              <w:rPr>
                <w:rFonts w:ascii="Times New Roman" w:eastAsia="Times New Roman" w:hAnsi="Times New Roman" w:cs="Times New Roman"/>
                <w:color w:val="000000"/>
                <w:lang w:eastAsia="en-GB"/>
              </w:rPr>
              <w:t xml:space="preserve"> C.; </w:t>
            </w:r>
            <w:proofErr w:type="spellStart"/>
            <w:r w:rsidRPr="00572724">
              <w:rPr>
                <w:rFonts w:ascii="Times New Roman" w:eastAsia="Times New Roman" w:hAnsi="Times New Roman" w:cs="Times New Roman"/>
                <w:color w:val="000000"/>
                <w:lang w:eastAsia="en-GB"/>
              </w:rPr>
              <w:t>Villerd</w:t>
            </w:r>
            <w:proofErr w:type="spellEnd"/>
            <w:r w:rsidRPr="00572724">
              <w:rPr>
                <w:rFonts w:ascii="Times New Roman" w:eastAsia="Times New Roman" w:hAnsi="Times New Roman" w:cs="Times New Roman"/>
                <w:color w:val="000000"/>
                <w:lang w:eastAsia="en-GB"/>
              </w:rPr>
              <w:t xml:space="preserve"> J.; </w:t>
            </w:r>
            <w:proofErr w:type="spellStart"/>
            <w:r w:rsidRPr="00572724">
              <w:rPr>
                <w:rFonts w:ascii="Times New Roman" w:eastAsia="Times New Roman" w:hAnsi="Times New Roman" w:cs="Times New Roman"/>
                <w:color w:val="000000"/>
                <w:lang w:eastAsia="en-GB"/>
              </w:rPr>
              <w:t>Therond</w:t>
            </w:r>
            <w:proofErr w:type="spellEnd"/>
            <w:r w:rsidRPr="00572724">
              <w:rPr>
                <w:rFonts w:ascii="Times New Roman" w:eastAsia="Times New Roman" w:hAnsi="Times New Roman" w:cs="Times New Roman"/>
                <w:color w:val="000000"/>
                <w:lang w:eastAsia="en-GB"/>
              </w:rPr>
              <w:t xml:space="preserve"> O.</w:t>
            </w:r>
          </w:p>
        </w:tc>
        <w:tc>
          <w:tcPr>
            <w:tcW w:w="4940" w:type="dxa"/>
            <w:tcBorders>
              <w:top w:val="nil"/>
              <w:left w:val="nil"/>
              <w:bottom w:val="single" w:sz="4" w:space="0" w:color="auto"/>
              <w:right w:val="single" w:sz="4" w:space="0" w:color="auto"/>
            </w:tcBorders>
            <w:shd w:val="clear" w:color="auto" w:fill="auto"/>
            <w:vAlign w:val="bottom"/>
            <w:hideMark/>
          </w:tcPr>
          <w:p w14:paraId="7B71C53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Resilience of agricultural systems: biodiversity-based systems are stable, while intensified ones are resistant and high-yielding</w:t>
            </w:r>
          </w:p>
        </w:tc>
        <w:tc>
          <w:tcPr>
            <w:tcW w:w="1240" w:type="dxa"/>
            <w:tcBorders>
              <w:top w:val="nil"/>
              <w:left w:val="nil"/>
              <w:bottom w:val="single" w:sz="4" w:space="0" w:color="auto"/>
              <w:right w:val="single" w:sz="4" w:space="0" w:color="auto"/>
            </w:tcBorders>
            <w:shd w:val="clear" w:color="auto" w:fill="auto"/>
            <w:noWrap/>
            <w:vAlign w:val="bottom"/>
            <w:hideMark/>
          </w:tcPr>
          <w:p w14:paraId="56A89F08"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1E891D5B"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19F385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Datta P.; Behera B.</w:t>
            </w:r>
          </w:p>
        </w:tc>
        <w:tc>
          <w:tcPr>
            <w:tcW w:w="4940" w:type="dxa"/>
            <w:tcBorders>
              <w:top w:val="nil"/>
              <w:left w:val="nil"/>
              <w:bottom w:val="single" w:sz="4" w:space="0" w:color="auto"/>
              <w:right w:val="single" w:sz="4" w:space="0" w:color="auto"/>
            </w:tcBorders>
            <w:shd w:val="clear" w:color="auto" w:fill="auto"/>
            <w:vAlign w:val="bottom"/>
            <w:hideMark/>
          </w:tcPr>
          <w:p w14:paraId="44417BE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What caused smallholders to change farming practices in the era of climate change? Empirical evidence from Sub-Himalayan West Bengal, India</w:t>
            </w:r>
          </w:p>
        </w:tc>
        <w:tc>
          <w:tcPr>
            <w:tcW w:w="1240" w:type="dxa"/>
            <w:tcBorders>
              <w:top w:val="nil"/>
              <w:left w:val="nil"/>
              <w:bottom w:val="single" w:sz="4" w:space="0" w:color="auto"/>
              <w:right w:val="single" w:sz="4" w:space="0" w:color="auto"/>
            </w:tcBorders>
            <w:shd w:val="clear" w:color="auto" w:fill="auto"/>
            <w:noWrap/>
            <w:vAlign w:val="bottom"/>
            <w:hideMark/>
          </w:tcPr>
          <w:p w14:paraId="1F3A66DE"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0A6DFB37" w14:textId="77777777" w:rsidTr="00572724">
        <w:trPr>
          <w:trHeight w:val="288"/>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D37E33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Daugstad</w:t>
            </w:r>
            <w:proofErr w:type="spellEnd"/>
            <w:r w:rsidRPr="00572724">
              <w:rPr>
                <w:rFonts w:ascii="Times New Roman" w:eastAsia="Times New Roman" w:hAnsi="Times New Roman" w:cs="Times New Roman"/>
                <w:color w:val="000000"/>
                <w:lang w:eastAsia="en-GB"/>
              </w:rPr>
              <w:t>, K</w:t>
            </w:r>
          </w:p>
        </w:tc>
        <w:tc>
          <w:tcPr>
            <w:tcW w:w="4940" w:type="dxa"/>
            <w:tcBorders>
              <w:top w:val="nil"/>
              <w:left w:val="nil"/>
              <w:bottom w:val="single" w:sz="4" w:space="0" w:color="auto"/>
              <w:right w:val="single" w:sz="4" w:space="0" w:color="auto"/>
            </w:tcBorders>
            <w:shd w:val="clear" w:color="auto" w:fill="auto"/>
            <w:vAlign w:val="bottom"/>
            <w:hideMark/>
          </w:tcPr>
          <w:p w14:paraId="3414361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Resilience in Mountain Farming in Norway</w:t>
            </w:r>
          </w:p>
        </w:tc>
        <w:tc>
          <w:tcPr>
            <w:tcW w:w="1240" w:type="dxa"/>
            <w:tcBorders>
              <w:top w:val="nil"/>
              <w:left w:val="nil"/>
              <w:bottom w:val="single" w:sz="4" w:space="0" w:color="auto"/>
              <w:right w:val="single" w:sz="4" w:space="0" w:color="auto"/>
            </w:tcBorders>
            <w:shd w:val="clear" w:color="auto" w:fill="auto"/>
            <w:vAlign w:val="bottom"/>
            <w:hideMark/>
          </w:tcPr>
          <w:p w14:paraId="066C7916"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2019</w:t>
            </w:r>
          </w:p>
        </w:tc>
      </w:tr>
      <w:tr w:rsidR="00572724" w:rsidRPr="00572724" w14:paraId="4100E3E0"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84B25A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Descheemaeker K., </w:t>
            </w:r>
            <w:proofErr w:type="spellStart"/>
            <w:r w:rsidRPr="00572724">
              <w:rPr>
                <w:rFonts w:ascii="Times New Roman" w:eastAsia="Times New Roman" w:hAnsi="Times New Roman" w:cs="Times New Roman"/>
                <w:color w:val="000000"/>
                <w:lang w:eastAsia="en-GB"/>
              </w:rPr>
              <w:t>Zijlstra</w:t>
            </w:r>
            <w:proofErr w:type="spellEnd"/>
            <w:r w:rsidRPr="00572724">
              <w:rPr>
                <w:rFonts w:ascii="Times New Roman" w:eastAsia="Times New Roman" w:hAnsi="Times New Roman" w:cs="Times New Roman"/>
                <w:color w:val="000000"/>
                <w:lang w:eastAsia="en-GB"/>
              </w:rPr>
              <w:t xml:space="preserve"> M., </w:t>
            </w:r>
            <w:proofErr w:type="spellStart"/>
            <w:r w:rsidRPr="00572724">
              <w:rPr>
                <w:rFonts w:ascii="Times New Roman" w:eastAsia="Times New Roman" w:hAnsi="Times New Roman" w:cs="Times New Roman"/>
                <w:color w:val="000000"/>
                <w:lang w:eastAsia="en-GB"/>
              </w:rPr>
              <w:t>Masikati</w:t>
            </w:r>
            <w:proofErr w:type="spellEnd"/>
            <w:r w:rsidRPr="00572724">
              <w:rPr>
                <w:rFonts w:ascii="Times New Roman" w:eastAsia="Times New Roman" w:hAnsi="Times New Roman" w:cs="Times New Roman"/>
                <w:color w:val="000000"/>
                <w:lang w:eastAsia="en-GB"/>
              </w:rPr>
              <w:t xml:space="preserve"> P., Crespo O., Homann-Kee Tui S.,</w:t>
            </w:r>
          </w:p>
        </w:tc>
        <w:tc>
          <w:tcPr>
            <w:tcW w:w="4940" w:type="dxa"/>
            <w:tcBorders>
              <w:top w:val="nil"/>
              <w:left w:val="nil"/>
              <w:bottom w:val="single" w:sz="4" w:space="0" w:color="auto"/>
              <w:right w:val="single" w:sz="4" w:space="0" w:color="auto"/>
            </w:tcBorders>
            <w:shd w:val="clear" w:color="auto" w:fill="auto"/>
            <w:vAlign w:val="bottom"/>
            <w:hideMark/>
          </w:tcPr>
          <w:p w14:paraId="35EF514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Effects of climate change and adaptation on the livestock component of mixed farming systems: A modelling study from semi-arid Zimbabwe</w:t>
            </w:r>
          </w:p>
        </w:tc>
        <w:tc>
          <w:tcPr>
            <w:tcW w:w="1240" w:type="dxa"/>
            <w:tcBorders>
              <w:top w:val="nil"/>
              <w:left w:val="nil"/>
              <w:bottom w:val="single" w:sz="4" w:space="0" w:color="auto"/>
              <w:right w:val="single" w:sz="4" w:space="0" w:color="auto"/>
            </w:tcBorders>
            <w:shd w:val="clear" w:color="auto" w:fill="auto"/>
            <w:vAlign w:val="bottom"/>
            <w:hideMark/>
          </w:tcPr>
          <w:p w14:paraId="390CF432"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59D78DD9"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A32EDA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Diserens, F; Choptiany, JMH; </w:t>
            </w:r>
            <w:proofErr w:type="spellStart"/>
            <w:r w:rsidRPr="00572724">
              <w:rPr>
                <w:rFonts w:ascii="Times New Roman" w:eastAsia="Times New Roman" w:hAnsi="Times New Roman" w:cs="Times New Roman"/>
                <w:color w:val="000000"/>
                <w:lang w:eastAsia="en-GB"/>
              </w:rPr>
              <w:t>Barjolle</w:t>
            </w:r>
            <w:proofErr w:type="spellEnd"/>
            <w:r w:rsidRPr="00572724">
              <w:rPr>
                <w:rFonts w:ascii="Times New Roman" w:eastAsia="Times New Roman" w:hAnsi="Times New Roman" w:cs="Times New Roman"/>
                <w:color w:val="000000"/>
                <w:lang w:eastAsia="en-GB"/>
              </w:rPr>
              <w:t xml:space="preserve">, D; </w:t>
            </w:r>
            <w:proofErr w:type="spellStart"/>
            <w:r w:rsidRPr="00572724">
              <w:rPr>
                <w:rFonts w:ascii="Times New Roman" w:eastAsia="Times New Roman" w:hAnsi="Times New Roman" w:cs="Times New Roman"/>
                <w:color w:val="000000"/>
                <w:lang w:eastAsia="en-GB"/>
              </w:rPr>
              <w:t>Graeub</w:t>
            </w:r>
            <w:proofErr w:type="spellEnd"/>
            <w:r w:rsidRPr="00572724">
              <w:rPr>
                <w:rFonts w:ascii="Times New Roman" w:eastAsia="Times New Roman" w:hAnsi="Times New Roman" w:cs="Times New Roman"/>
                <w:color w:val="000000"/>
                <w:lang w:eastAsia="en-GB"/>
              </w:rPr>
              <w:t>, B; Durand, C; Six, J</w:t>
            </w:r>
          </w:p>
        </w:tc>
        <w:tc>
          <w:tcPr>
            <w:tcW w:w="4940" w:type="dxa"/>
            <w:tcBorders>
              <w:top w:val="nil"/>
              <w:left w:val="nil"/>
              <w:bottom w:val="single" w:sz="4" w:space="0" w:color="auto"/>
              <w:right w:val="single" w:sz="4" w:space="0" w:color="auto"/>
            </w:tcBorders>
            <w:shd w:val="clear" w:color="auto" w:fill="auto"/>
            <w:vAlign w:val="bottom"/>
            <w:hideMark/>
          </w:tcPr>
          <w:p w14:paraId="6ED4F5D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Resilience Assessment of Swiss Farming Systems: Piloting the SHARP-Tool in Vaud</w:t>
            </w:r>
          </w:p>
        </w:tc>
        <w:tc>
          <w:tcPr>
            <w:tcW w:w="1240" w:type="dxa"/>
            <w:tcBorders>
              <w:top w:val="nil"/>
              <w:left w:val="nil"/>
              <w:bottom w:val="single" w:sz="4" w:space="0" w:color="auto"/>
              <w:right w:val="single" w:sz="4" w:space="0" w:color="auto"/>
            </w:tcBorders>
            <w:shd w:val="clear" w:color="auto" w:fill="auto"/>
            <w:vAlign w:val="bottom"/>
            <w:hideMark/>
          </w:tcPr>
          <w:p w14:paraId="7AE90E5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4B580D18"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D6995E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Djanibekov, U; Khamzina, A</w:t>
            </w:r>
          </w:p>
        </w:tc>
        <w:tc>
          <w:tcPr>
            <w:tcW w:w="4940" w:type="dxa"/>
            <w:tcBorders>
              <w:top w:val="nil"/>
              <w:left w:val="nil"/>
              <w:bottom w:val="single" w:sz="4" w:space="0" w:color="auto"/>
              <w:right w:val="single" w:sz="4" w:space="0" w:color="auto"/>
            </w:tcBorders>
            <w:shd w:val="clear" w:color="auto" w:fill="auto"/>
            <w:vAlign w:val="bottom"/>
            <w:hideMark/>
          </w:tcPr>
          <w:p w14:paraId="16A7764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Stochastic Economic Assessment of Afforestation on Marginal Land in Irrigated Farming System</w:t>
            </w:r>
          </w:p>
        </w:tc>
        <w:tc>
          <w:tcPr>
            <w:tcW w:w="1240" w:type="dxa"/>
            <w:tcBorders>
              <w:top w:val="nil"/>
              <w:left w:val="nil"/>
              <w:bottom w:val="single" w:sz="4" w:space="0" w:color="auto"/>
              <w:right w:val="single" w:sz="4" w:space="0" w:color="auto"/>
            </w:tcBorders>
            <w:shd w:val="clear" w:color="auto" w:fill="auto"/>
            <w:vAlign w:val="bottom"/>
            <w:hideMark/>
          </w:tcPr>
          <w:p w14:paraId="3170B18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2016</w:t>
            </w:r>
          </w:p>
        </w:tc>
      </w:tr>
      <w:tr w:rsidR="00572724" w:rsidRPr="00572724" w14:paraId="51EF7C5C"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BFB2544"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proofErr w:type="spellStart"/>
            <w:r w:rsidRPr="00572724">
              <w:rPr>
                <w:rFonts w:ascii="Times New Roman" w:eastAsia="Times New Roman" w:hAnsi="Times New Roman" w:cs="Times New Roman"/>
                <w:color w:val="000000"/>
                <w:lang w:val="fr-FR" w:eastAsia="en-GB"/>
              </w:rPr>
              <w:t>Dobkowitz</w:t>
            </w:r>
            <w:proofErr w:type="spellEnd"/>
            <w:r w:rsidRPr="00572724">
              <w:rPr>
                <w:rFonts w:ascii="Times New Roman" w:eastAsia="Times New Roman" w:hAnsi="Times New Roman" w:cs="Times New Roman"/>
                <w:color w:val="000000"/>
                <w:lang w:val="fr-FR" w:eastAsia="en-GB"/>
              </w:rPr>
              <w:t xml:space="preserve"> S., </w:t>
            </w:r>
            <w:proofErr w:type="spellStart"/>
            <w:r w:rsidRPr="00572724">
              <w:rPr>
                <w:rFonts w:ascii="Times New Roman" w:eastAsia="Times New Roman" w:hAnsi="Times New Roman" w:cs="Times New Roman"/>
                <w:color w:val="000000"/>
                <w:lang w:val="fr-FR" w:eastAsia="en-GB"/>
              </w:rPr>
              <w:t>Walz</w:t>
            </w:r>
            <w:proofErr w:type="spellEnd"/>
            <w:r w:rsidRPr="00572724">
              <w:rPr>
                <w:rFonts w:ascii="Times New Roman" w:eastAsia="Times New Roman" w:hAnsi="Times New Roman" w:cs="Times New Roman"/>
                <w:color w:val="000000"/>
                <w:lang w:val="fr-FR" w:eastAsia="en-GB"/>
              </w:rPr>
              <w:t xml:space="preserve"> A., </w:t>
            </w:r>
            <w:proofErr w:type="spellStart"/>
            <w:r w:rsidRPr="00572724">
              <w:rPr>
                <w:rFonts w:ascii="Times New Roman" w:eastAsia="Times New Roman" w:hAnsi="Times New Roman" w:cs="Times New Roman"/>
                <w:color w:val="000000"/>
                <w:lang w:val="fr-FR" w:eastAsia="en-GB"/>
              </w:rPr>
              <w:t>Baroni</w:t>
            </w:r>
            <w:proofErr w:type="spellEnd"/>
            <w:r w:rsidRPr="00572724">
              <w:rPr>
                <w:rFonts w:ascii="Times New Roman" w:eastAsia="Times New Roman" w:hAnsi="Times New Roman" w:cs="Times New Roman"/>
                <w:color w:val="000000"/>
                <w:lang w:val="fr-FR" w:eastAsia="en-GB"/>
              </w:rPr>
              <w:t xml:space="preserve"> G., Pérez-Marin A.M.,</w:t>
            </w:r>
          </w:p>
        </w:tc>
        <w:tc>
          <w:tcPr>
            <w:tcW w:w="4940" w:type="dxa"/>
            <w:tcBorders>
              <w:top w:val="nil"/>
              <w:left w:val="nil"/>
              <w:bottom w:val="single" w:sz="4" w:space="0" w:color="auto"/>
              <w:right w:val="single" w:sz="4" w:space="0" w:color="auto"/>
            </w:tcBorders>
            <w:shd w:val="clear" w:color="auto" w:fill="auto"/>
            <w:vAlign w:val="bottom"/>
            <w:hideMark/>
          </w:tcPr>
          <w:p w14:paraId="3CD1697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Cross-scale vulnerability assessment for smallholder farming: A case study from the northeast of Brazil</w:t>
            </w:r>
          </w:p>
        </w:tc>
        <w:tc>
          <w:tcPr>
            <w:tcW w:w="1240" w:type="dxa"/>
            <w:tcBorders>
              <w:top w:val="nil"/>
              <w:left w:val="nil"/>
              <w:bottom w:val="single" w:sz="4" w:space="0" w:color="auto"/>
              <w:right w:val="single" w:sz="4" w:space="0" w:color="auto"/>
            </w:tcBorders>
            <w:shd w:val="clear" w:color="auto" w:fill="auto"/>
            <w:vAlign w:val="bottom"/>
            <w:hideMark/>
          </w:tcPr>
          <w:p w14:paraId="48C89456"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655CE356"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B82BC7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Duncan J.M., Tompkins E.L., Dash J., Tripathy B.,</w:t>
            </w:r>
          </w:p>
        </w:tc>
        <w:tc>
          <w:tcPr>
            <w:tcW w:w="4940" w:type="dxa"/>
            <w:tcBorders>
              <w:top w:val="nil"/>
              <w:left w:val="nil"/>
              <w:bottom w:val="single" w:sz="4" w:space="0" w:color="auto"/>
              <w:right w:val="single" w:sz="4" w:space="0" w:color="auto"/>
            </w:tcBorders>
            <w:shd w:val="clear" w:color="auto" w:fill="auto"/>
            <w:vAlign w:val="bottom"/>
            <w:hideMark/>
          </w:tcPr>
          <w:p w14:paraId="1184584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Resilience to hazards: Rice farmers in the Mahanadi Delta, India</w:t>
            </w:r>
          </w:p>
        </w:tc>
        <w:tc>
          <w:tcPr>
            <w:tcW w:w="1240" w:type="dxa"/>
            <w:tcBorders>
              <w:top w:val="nil"/>
              <w:left w:val="nil"/>
              <w:bottom w:val="single" w:sz="4" w:space="0" w:color="auto"/>
              <w:right w:val="single" w:sz="4" w:space="0" w:color="auto"/>
            </w:tcBorders>
            <w:shd w:val="clear" w:color="auto" w:fill="auto"/>
            <w:vAlign w:val="bottom"/>
            <w:hideMark/>
          </w:tcPr>
          <w:p w14:paraId="1D3A6C6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2017</w:t>
            </w:r>
          </w:p>
        </w:tc>
      </w:tr>
      <w:tr w:rsidR="00572724" w:rsidRPr="00572724" w14:paraId="07D1A32F"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78A3E1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Duranton, C; Matthew, C</w:t>
            </w:r>
          </w:p>
        </w:tc>
        <w:tc>
          <w:tcPr>
            <w:tcW w:w="4940" w:type="dxa"/>
            <w:tcBorders>
              <w:top w:val="nil"/>
              <w:left w:val="nil"/>
              <w:bottom w:val="single" w:sz="4" w:space="0" w:color="auto"/>
              <w:right w:val="single" w:sz="4" w:space="0" w:color="auto"/>
            </w:tcBorders>
            <w:shd w:val="clear" w:color="auto" w:fill="auto"/>
            <w:vAlign w:val="bottom"/>
            <w:hideMark/>
          </w:tcPr>
          <w:p w14:paraId="4D7E09F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Impact of introducing a herb pasture area into a New Zealand sheep and beef hill country farm system: a </w:t>
            </w:r>
            <w:proofErr w:type="spellStart"/>
            <w:r w:rsidRPr="00572724">
              <w:rPr>
                <w:rFonts w:ascii="Times New Roman" w:eastAsia="Times New Roman" w:hAnsi="Times New Roman" w:cs="Times New Roman"/>
                <w:color w:val="000000"/>
                <w:lang w:eastAsia="en-GB"/>
              </w:rPr>
              <w:t>modeling</w:t>
            </w:r>
            <w:proofErr w:type="spellEnd"/>
            <w:r w:rsidRPr="00572724">
              <w:rPr>
                <w:rFonts w:ascii="Times New Roman" w:eastAsia="Times New Roman" w:hAnsi="Times New Roman" w:cs="Times New Roman"/>
                <w:color w:val="000000"/>
                <w:lang w:eastAsia="en-GB"/>
              </w:rPr>
              <w:t xml:space="preserve"> analysis</w:t>
            </w:r>
          </w:p>
        </w:tc>
        <w:tc>
          <w:tcPr>
            <w:tcW w:w="1240" w:type="dxa"/>
            <w:tcBorders>
              <w:top w:val="nil"/>
              <w:left w:val="nil"/>
              <w:bottom w:val="single" w:sz="4" w:space="0" w:color="auto"/>
              <w:right w:val="single" w:sz="4" w:space="0" w:color="auto"/>
            </w:tcBorders>
            <w:shd w:val="clear" w:color="auto" w:fill="auto"/>
            <w:vAlign w:val="bottom"/>
            <w:hideMark/>
          </w:tcPr>
          <w:p w14:paraId="77515FB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46A6123B"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06E0271"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proofErr w:type="spellStart"/>
            <w:r w:rsidRPr="00572724">
              <w:rPr>
                <w:rFonts w:ascii="Times New Roman" w:eastAsia="Times New Roman" w:hAnsi="Times New Roman" w:cs="Times New Roman"/>
                <w:color w:val="000000"/>
                <w:lang w:val="fr-FR" w:eastAsia="en-GB"/>
              </w:rPr>
              <w:t>Eakin</w:t>
            </w:r>
            <w:proofErr w:type="spellEnd"/>
            <w:r w:rsidRPr="00572724">
              <w:rPr>
                <w:rFonts w:ascii="Times New Roman" w:eastAsia="Times New Roman" w:hAnsi="Times New Roman" w:cs="Times New Roman"/>
                <w:color w:val="000000"/>
                <w:lang w:val="fr-FR" w:eastAsia="en-GB"/>
              </w:rPr>
              <w:t xml:space="preserve"> H., Tucker C.M., </w:t>
            </w:r>
            <w:proofErr w:type="spellStart"/>
            <w:r w:rsidRPr="00572724">
              <w:rPr>
                <w:rFonts w:ascii="Times New Roman" w:eastAsia="Times New Roman" w:hAnsi="Times New Roman" w:cs="Times New Roman"/>
                <w:color w:val="000000"/>
                <w:lang w:val="fr-FR" w:eastAsia="en-GB"/>
              </w:rPr>
              <w:t>Castellanos</w:t>
            </w:r>
            <w:proofErr w:type="spellEnd"/>
            <w:r w:rsidRPr="00572724">
              <w:rPr>
                <w:rFonts w:ascii="Times New Roman" w:eastAsia="Times New Roman" w:hAnsi="Times New Roman" w:cs="Times New Roman"/>
                <w:color w:val="000000"/>
                <w:lang w:val="fr-FR" w:eastAsia="en-GB"/>
              </w:rPr>
              <w:t xml:space="preserve"> E., Diaz-</w:t>
            </w:r>
            <w:proofErr w:type="spellStart"/>
            <w:r w:rsidRPr="00572724">
              <w:rPr>
                <w:rFonts w:ascii="Times New Roman" w:eastAsia="Times New Roman" w:hAnsi="Times New Roman" w:cs="Times New Roman"/>
                <w:color w:val="000000"/>
                <w:lang w:val="fr-FR" w:eastAsia="en-GB"/>
              </w:rPr>
              <w:t>Porras</w:t>
            </w:r>
            <w:proofErr w:type="spellEnd"/>
            <w:r w:rsidRPr="00572724">
              <w:rPr>
                <w:rFonts w:ascii="Times New Roman" w:eastAsia="Times New Roman" w:hAnsi="Times New Roman" w:cs="Times New Roman"/>
                <w:color w:val="000000"/>
                <w:lang w:val="fr-FR" w:eastAsia="en-GB"/>
              </w:rPr>
              <w:t xml:space="preserve"> R., Barrera J.F., Morales H.,</w:t>
            </w:r>
          </w:p>
        </w:tc>
        <w:tc>
          <w:tcPr>
            <w:tcW w:w="4940" w:type="dxa"/>
            <w:tcBorders>
              <w:top w:val="nil"/>
              <w:left w:val="nil"/>
              <w:bottom w:val="single" w:sz="4" w:space="0" w:color="auto"/>
              <w:right w:val="single" w:sz="4" w:space="0" w:color="auto"/>
            </w:tcBorders>
            <w:shd w:val="clear" w:color="auto" w:fill="auto"/>
            <w:vAlign w:val="bottom"/>
            <w:hideMark/>
          </w:tcPr>
          <w:p w14:paraId="67605DA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Adaptation in a multi-stressor environment: Perceptions and responses to climatic and economic risks by coffee growers in Mesoamerica</w:t>
            </w:r>
          </w:p>
        </w:tc>
        <w:tc>
          <w:tcPr>
            <w:tcW w:w="1240" w:type="dxa"/>
            <w:tcBorders>
              <w:top w:val="nil"/>
              <w:left w:val="nil"/>
              <w:bottom w:val="single" w:sz="4" w:space="0" w:color="auto"/>
              <w:right w:val="single" w:sz="4" w:space="0" w:color="auto"/>
            </w:tcBorders>
            <w:shd w:val="clear" w:color="auto" w:fill="auto"/>
            <w:vAlign w:val="bottom"/>
            <w:hideMark/>
          </w:tcPr>
          <w:p w14:paraId="76F596C6"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2014</w:t>
            </w:r>
          </w:p>
        </w:tc>
      </w:tr>
      <w:tr w:rsidR="00572724" w:rsidRPr="00572724" w14:paraId="6BC9C37C"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C163547"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r w:rsidRPr="00572724">
              <w:rPr>
                <w:rFonts w:ascii="Times New Roman" w:eastAsia="Times New Roman" w:hAnsi="Times New Roman" w:cs="Times New Roman"/>
                <w:color w:val="000000"/>
                <w:lang w:val="fr-FR" w:eastAsia="en-GB"/>
              </w:rPr>
              <w:t xml:space="preserve">El </w:t>
            </w:r>
            <w:proofErr w:type="spellStart"/>
            <w:r w:rsidRPr="00572724">
              <w:rPr>
                <w:rFonts w:ascii="Times New Roman" w:eastAsia="Times New Roman" w:hAnsi="Times New Roman" w:cs="Times New Roman"/>
                <w:color w:val="000000"/>
                <w:lang w:val="fr-FR" w:eastAsia="en-GB"/>
              </w:rPr>
              <w:t>Aayadi</w:t>
            </w:r>
            <w:proofErr w:type="spellEnd"/>
            <w:r w:rsidRPr="00572724">
              <w:rPr>
                <w:rFonts w:ascii="Times New Roman" w:eastAsia="Times New Roman" w:hAnsi="Times New Roman" w:cs="Times New Roman"/>
                <w:color w:val="000000"/>
                <w:lang w:val="fr-FR" w:eastAsia="en-GB"/>
              </w:rPr>
              <w:t xml:space="preserve"> S.; Araba A.; </w:t>
            </w:r>
            <w:proofErr w:type="spellStart"/>
            <w:r w:rsidRPr="00572724">
              <w:rPr>
                <w:rFonts w:ascii="Times New Roman" w:eastAsia="Times New Roman" w:hAnsi="Times New Roman" w:cs="Times New Roman"/>
                <w:color w:val="000000"/>
                <w:lang w:val="fr-FR" w:eastAsia="en-GB"/>
              </w:rPr>
              <w:t>Jouven</w:t>
            </w:r>
            <w:proofErr w:type="spellEnd"/>
            <w:r w:rsidRPr="00572724">
              <w:rPr>
                <w:rFonts w:ascii="Times New Roman" w:eastAsia="Times New Roman" w:hAnsi="Times New Roman" w:cs="Times New Roman"/>
                <w:color w:val="000000"/>
                <w:lang w:val="fr-FR" w:eastAsia="en-GB"/>
              </w:rPr>
              <w:t xml:space="preserve"> M.</w:t>
            </w:r>
          </w:p>
        </w:tc>
        <w:tc>
          <w:tcPr>
            <w:tcW w:w="4940" w:type="dxa"/>
            <w:tcBorders>
              <w:top w:val="nil"/>
              <w:left w:val="nil"/>
              <w:bottom w:val="single" w:sz="4" w:space="0" w:color="auto"/>
              <w:right w:val="single" w:sz="4" w:space="0" w:color="auto"/>
            </w:tcBorders>
            <w:shd w:val="clear" w:color="auto" w:fill="auto"/>
            <w:vAlign w:val="bottom"/>
            <w:hideMark/>
          </w:tcPr>
          <w:p w14:paraId="2B06C87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Resilience of the pastoral component of Moroccan small ruminant systems in mountain areas</w:t>
            </w:r>
          </w:p>
        </w:tc>
        <w:tc>
          <w:tcPr>
            <w:tcW w:w="1240" w:type="dxa"/>
            <w:tcBorders>
              <w:top w:val="nil"/>
              <w:left w:val="nil"/>
              <w:bottom w:val="single" w:sz="4" w:space="0" w:color="auto"/>
              <w:right w:val="single" w:sz="4" w:space="0" w:color="auto"/>
            </w:tcBorders>
            <w:shd w:val="clear" w:color="auto" w:fill="auto"/>
            <w:noWrap/>
            <w:vAlign w:val="bottom"/>
            <w:hideMark/>
          </w:tcPr>
          <w:p w14:paraId="3E44ADBB"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773A8A00"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65D631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Engler A.; </w:t>
            </w:r>
            <w:proofErr w:type="spellStart"/>
            <w:r w:rsidRPr="00572724">
              <w:rPr>
                <w:rFonts w:ascii="Times New Roman" w:eastAsia="Times New Roman" w:hAnsi="Times New Roman" w:cs="Times New Roman"/>
                <w:color w:val="000000"/>
                <w:lang w:eastAsia="en-GB"/>
              </w:rPr>
              <w:t>Rotman</w:t>
            </w:r>
            <w:proofErr w:type="spellEnd"/>
            <w:r w:rsidRPr="00572724">
              <w:rPr>
                <w:rFonts w:ascii="Times New Roman" w:eastAsia="Times New Roman" w:hAnsi="Times New Roman" w:cs="Times New Roman"/>
                <w:color w:val="000000"/>
                <w:lang w:eastAsia="en-GB"/>
              </w:rPr>
              <w:t xml:space="preserve"> M.L.; Poortvliet P.M.</w:t>
            </w:r>
          </w:p>
        </w:tc>
        <w:tc>
          <w:tcPr>
            <w:tcW w:w="4940" w:type="dxa"/>
            <w:tcBorders>
              <w:top w:val="nil"/>
              <w:left w:val="nil"/>
              <w:bottom w:val="single" w:sz="4" w:space="0" w:color="auto"/>
              <w:right w:val="single" w:sz="4" w:space="0" w:color="auto"/>
            </w:tcBorders>
            <w:shd w:val="clear" w:color="auto" w:fill="auto"/>
            <w:vAlign w:val="bottom"/>
            <w:hideMark/>
          </w:tcPr>
          <w:p w14:paraId="37AFF4C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Farmers’ perceived vulnerability and proactive versus reactive climate change adaptation in </w:t>
            </w:r>
            <w:proofErr w:type="spellStart"/>
            <w:r w:rsidRPr="00572724">
              <w:rPr>
                <w:rFonts w:ascii="Times New Roman" w:eastAsia="Times New Roman" w:hAnsi="Times New Roman" w:cs="Times New Roman"/>
                <w:color w:val="000000"/>
                <w:lang w:eastAsia="en-GB"/>
              </w:rPr>
              <w:t>chile’s</w:t>
            </w:r>
            <w:proofErr w:type="spellEnd"/>
            <w:r w:rsidRPr="00572724">
              <w:rPr>
                <w:rFonts w:ascii="Times New Roman" w:eastAsia="Times New Roman" w:hAnsi="Times New Roman" w:cs="Times New Roman"/>
                <w:color w:val="000000"/>
                <w:lang w:eastAsia="en-GB"/>
              </w:rPr>
              <w:t xml:space="preserve"> </w:t>
            </w:r>
            <w:proofErr w:type="spellStart"/>
            <w:r w:rsidRPr="00572724">
              <w:rPr>
                <w:rFonts w:ascii="Times New Roman" w:eastAsia="Times New Roman" w:hAnsi="Times New Roman" w:cs="Times New Roman"/>
                <w:color w:val="000000"/>
                <w:lang w:eastAsia="en-GB"/>
              </w:rPr>
              <w:t>maule</w:t>
            </w:r>
            <w:proofErr w:type="spellEnd"/>
            <w:r w:rsidRPr="00572724">
              <w:rPr>
                <w:rFonts w:ascii="Times New Roman" w:eastAsia="Times New Roman" w:hAnsi="Times New Roman" w:cs="Times New Roman"/>
                <w:color w:val="000000"/>
                <w:lang w:eastAsia="en-GB"/>
              </w:rPr>
              <w:t xml:space="preserve"> region</w:t>
            </w:r>
          </w:p>
        </w:tc>
        <w:tc>
          <w:tcPr>
            <w:tcW w:w="1240" w:type="dxa"/>
            <w:tcBorders>
              <w:top w:val="nil"/>
              <w:left w:val="nil"/>
              <w:bottom w:val="single" w:sz="4" w:space="0" w:color="auto"/>
              <w:right w:val="single" w:sz="4" w:space="0" w:color="auto"/>
            </w:tcBorders>
            <w:shd w:val="clear" w:color="auto" w:fill="auto"/>
            <w:noWrap/>
            <w:vAlign w:val="bottom"/>
            <w:hideMark/>
          </w:tcPr>
          <w:p w14:paraId="744E345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2B30E049"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BCD1C3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lastRenderedPageBreak/>
              <w:t>Esham</w:t>
            </w:r>
            <w:proofErr w:type="spellEnd"/>
            <w:r w:rsidRPr="00572724">
              <w:rPr>
                <w:rFonts w:ascii="Times New Roman" w:eastAsia="Times New Roman" w:hAnsi="Times New Roman" w:cs="Times New Roman"/>
                <w:color w:val="000000"/>
                <w:lang w:eastAsia="en-GB"/>
              </w:rPr>
              <w:t xml:space="preserve"> M., Garforth C.,</w:t>
            </w:r>
          </w:p>
        </w:tc>
        <w:tc>
          <w:tcPr>
            <w:tcW w:w="4940" w:type="dxa"/>
            <w:tcBorders>
              <w:top w:val="nil"/>
              <w:left w:val="nil"/>
              <w:bottom w:val="single" w:sz="4" w:space="0" w:color="auto"/>
              <w:right w:val="single" w:sz="4" w:space="0" w:color="auto"/>
            </w:tcBorders>
            <w:shd w:val="clear" w:color="auto" w:fill="auto"/>
            <w:vAlign w:val="bottom"/>
            <w:hideMark/>
          </w:tcPr>
          <w:p w14:paraId="26C000F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Agricultural adaptation to climate change: Insights from a farming community in Sri Lanka</w:t>
            </w:r>
          </w:p>
        </w:tc>
        <w:tc>
          <w:tcPr>
            <w:tcW w:w="1240" w:type="dxa"/>
            <w:tcBorders>
              <w:top w:val="nil"/>
              <w:left w:val="nil"/>
              <w:bottom w:val="single" w:sz="4" w:space="0" w:color="auto"/>
              <w:right w:val="single" w:sz="4" w:space="0" w:color="auto"/>
            </w:tcBorders>
            <w:shd w:val="clear" w:color="auto" w:fill="auto"/>
            <w:vAlign w:val="bottom"/>
            <w:hideMark/>
          </w:tcPr>
          <w:p w14:paraId="2EF29452"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2013</w:t>
            </w:r>
          </w:p>
        </w:tc>
      </w:tr>
      <w:tr w:rsidR="00572724" w:rsidRPr="00572724" w14:paraId="6380BDFA"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D1929D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Faisal M., </w:t>
            </w:r>
            <w:proofErr w:type="spellStart"/>
            <w:r w:rsidRPr="00572724">
              <w:rPr>
                <w:rFonts w:ascii="Times New Roman" w:eastAsia="Times New Roman" w:hAnsi="Times New Roman" w:cs="Times New Roman"/>
                <w:color w:val="000000"/>
                <w:lang w:eastAsia="en-GB"/>
              </w:rPr>
              <w:t>Chunping</w:t>
            </w:r>
            <w:proofErr w:type="spellEnd"/>
            <w:r w:rsidRPr="00572724">
              <w:rPr>
                <w:rFonts w:ascii="Times New Roman" w:eastAsia="Times New Roman" w:hAnsi="Times New Roman" w:cs="Times New Roman"/>
                <w:color w:val="000000"/>
                <w:lang w:eastAsia="en-GB"/>
              </w:rPr>
              <w:t xml:space="preserve"> X., Abbas A., Raza M.H., Akhtar S., Ajmal M.A., Ali A.,</w:t>
            </w:r>
          </w:p>
        </w:tc>
        <w:tc>
          <w:tcPr>
            <w:tcW w:w="4940" w:type="dxa"/>
            <w:tcBorders>
              <w:top w:val="nil"/>
              <w:left w:val="nil"/>
              <w:bottom w:val="single" w:sz="4" w:space="0" w:color="auto"/>
              <w:right w:val="single" w:sz="4" w:space="0" w:color="auto"/>
            </w:tcBorders>
            <w:shd w:val="clear" w:color="auto" w:fill="auto"/>
            <w:vAlign w:val="bottom"/>
            <w:hideMark/>
          </w:tcPr>
          <w:p w14:paraId="1966BE0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Do risk perceptions and constraints influence the adoption of climate change practices among small livestock herders in Punjab, Pakistan?</w:t>
            </w:r>
          </w:p>
        </w:tc>
        <w:tc>
          <w:tcPr>
            <w:tcW w:w="1240" w:type="dxa"/>
            <w:tcBorders>
              <w:top w:val="nil"/>
              <w:left w:val="nil"/>
              <w:bottom w:val="single" w:sz="4" w:space="0" w:color="auto"/>
              <w:right w:val="single" w:sz="4" w:space="0" w:color="auto"/>
            </w:tcBorders>
            <w:shd w:val="clear" w:color="auto" w:fill="auto"/>
            <w:vAlign w:val="bottom"/>
            <w:hideMark/>
          </w:tcPr>
          <w:p w14:paraId="1593D5E0"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0DA5507F"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D05043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Furoc-Paelmo</w:t>
            </w:r>
            <w:proofErr w:type="spellEnd"/>
            <w:r w:rsidRPr="00572724">
              <w:rPr>
                <w:rFonts w:ascii="Times New Roman" w:eastAsia="Times New Roman" w:hAnsi="Times New Roman" w:cs="Times New Roman"/>
                <w:color w:val="000000"/>
                <w:lang w:eastAsia="en-GB"/>
              </w:rPr>
              <w:t xml:space="preserve">, R; </w:t>
            </w:r>
            <w:proofErr w:type="spellStart"/>
            <w:r w:rsidRPr="00572724">
              <w:rPr>
                <w:rFonts w:ascii="Times New Roman" w:eastAsia="Times New Roman" w:hAnsi="Times New Roman" w:cs="Times New Roman"/>
                <w:color w:val="000000"/>
                <w:lang w:eastAsia="en-GB"/>
              </w:rPr>
              <w:t>Cosico</w:t>
            </w:r>
            <w:proofErr w:type="spellEnd"/>
            <w:r w:rsidRPr="00572724">
              <w:rPr>
                <w:rFonts w:ascii="Times New Roman" w:eastAsia="Times New Roman" w:hAnsi="Times New Roman" w:cs="Times New Roman"/>
                <w:color w:val="000000"/>
                <w:lang w:eastAsia="en-GB"/>
              </w:rPr>
              <w:t xml:space="preserve">, RSA; </w:t>
            </w:r>
            <w:proofErr w:type="spellStart"/>
            <w:r w:rsidRPr="00572724">
              <w:rPr>
                <w:rFonts w:ascii="Times New Roman" w:eastAsia="Times New Roman" w:hAnsi="Times New Roman" w:cs="Times New Roman"/>
                <w:color w:val="000000"/>
                <w:lang w:eastAsia="en-GB"/>
              </w:rPr>
              <w:t>Cabahug</w:t>
            </w:r>
            <w:proofErr w:type="spellEnd"/>
            <w:r w:rsidRPr="00572724">
              <w:rPr>
                <w:rFonts w:ascii="Times New Roman" w:eastAsia="Times New Roman" w:hAnsi="Times New Roman" w:cs="Times New Roman"/>
                <w:color w:val="000000"/>
                <w:lang w:eastAsia="en-GB"/>
              </w:rPr>
              <w:t xml:space="preserve">, RED; Castillo, AKA; Castillo, ASA; </w:t>
            </w:r>
            <w:proofErr w:type="spellStart"/>
            <w:r w:rsidRPr="00572724">
              <w:rPr>
                <w:rFonts w:ascii="Times New Roman" w:eastAsia="Times New Roman" w:hAnsi="Times New Roman" w:cs="Times New Roman"/>
                <w:color w:val="000000"/>
                <w:lang w:eastAsia="en-GB"/>
              </w:rPr>
              <w:t>Visco</w:t>
            </w:r>
            <w:proofErr w:type="spellEnd"/>
            <w:r w:rsidRPr="00572724">
              <w:rPr>
                <w:rFonts w:ascii="Times New Roman" w:eastAsia="Times New Roman" w:hAnsi="Times New Roman" w:cs="Times New Roman"/>
                <w:color w:val="000000"/>
                <w:lang w:eastAsia="en-GB"/>
              </w:rPr>
              <w:t>, RG</w:t>
            </w:r>
          </w:p>
        </w:tc>
        <w:tc>
          <w:tcPr>
            <w:tcW w:w="4940" w:type="dxa"/>
            <w:tcBorders>
              <w:top w:val="nil"/>
              <w:left w:val="nil"/>
              <w:bottom w:val="single" w:sz="4" w:space="0" w:color="auto"/>
              <w:right w:val="single" w:sz="4" w:space="0" w:color="auto"/>
            </w:tcBorders>
            <w:shd w:val="clear" w:color="auto" w:fill="auto"/>
            <w:vAlign w:val="bottom"/>
            <w:hideMark/>
          </w:tcPr>
          <w:p w14:paraId="247FE7D5"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Farmers' Perception on the Sustainability of as a Climate Change Adaptation Strategy in Agusan </w:t>
            </w:r>
            <w:proofErr w:type="spellStart"/>
            <w:r w:rsidRPr="00572724">
              <w:rPr>
                <w:rFonts w:ascii="Times New Roman" w:eastAsia="Times New Roman" w:hAnsi="Times New Roman" w:cs="Times New Roman"/>
                <w:color w:val="000000"/>
                <w:lang w:eastAsia="en-GB"/>
              </w:rPr>
              <w:t>Agusan</w:t>
            </w:r>
            <w:proofErr w:type="spellEnd"/>
            <w:r w:rsidRPr="00572724">
              <w:rPr>
                <w:rFonts w:ascii="Times New Roman" w:eastAsia="Times New Roman" w:hAnsi="Times New Roman" w:cs="Times New Roman"/>
                <w:color w:val="000000"/>
                <w:lang w:eastAsia="en-GB"/>
              </w:rPr>
              <w:t xml:space="preserve"> Del Sur and North </w:t>
            </w:r>
            <w:proofErr w:type="spellStart"/>
            <w:r w:rsidRPr="00572724">
              <w:rPr>
                <w:rFonts w:ascii="Times New Roman" w:eastAsia="Times New Roman" w:hAnsi="Times New Roman" w:cs="Times New Roman"/>
                <w:color w:val="000000"/>
                <w:lang w:eastAsia="en-GB"/>
              </w:rPr>
              <w:t>Cotobato</w:t>
            </w:r>
            <w:proofErr w:type="spellEnd"/>
            <w:r w:rsidRPr="00572724">
              <w:rPr>
                <w:rFonts w:ascii="Times New Roman" w:eastAsia="Times New Roman" w:hAnsi="Times New Roman" w:cs="Times New Roman"/>
                <w:color w:val="000000"/>
                <w:lang w:eastAsia="en-GB"/>
              </w:rPr>
              <w:t>, Philippines</w:t>
            </w:r>
          </w:p>
        </w:tc>
        <w:tc>
          <w:tcPr>
            <w:tcW w:w="1240" w:type="dxa"/>
            <w:tcBorders>
              <w:top w:val="nil"/>
              <w:left w:val="nil"/>
              <w:bottom w:val="single" w:sz="4" w:space="0" w:color="auto"/>
              <w:right w:val="single" w:sz="4" w:space="0" w:color="auto"/>
            </w:tcBorders>
            <w:shd w:val="clear" w:color="auto" w:fill="auto"/>
            <w:vAlign w:val="bottom"/>
            <w:hideMark/>
          </w:tcPr>
          <w:p w14:paraId="59EDAA26"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41860D6D"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A0DBFB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Garba I.I.; Bell L.W.; Chapman S.C.; </w:t>
            </w:r>
            <w:proofErr w:type="spellStart"/>
            <w:r w:rsidRPr="00572724">
              <w:rPr>
                <w:rFonts w:ascii="Times New Roman" w:eastAsia="Times New Roman" w:hAnsi="Times New Roman" w:cs="Times New Roman"/>
                <w:color w:val="000000"/>
                <w:lang w:eastAsia="en-GB"/>
              </w:rPr>
              <w:t>deVoil</w:t>
            </w:r>
            <w:proofErr w:type="spellEnd"/>
            <w:r w:rsidRPr="00572724">
              <w:rPr>
                <w:rFonts w:ascii="Times New Roman" w:eastAsia="Times New Roman" w:hAnsi="Times New Roman" w:cs="Times New Roman"/>
                <w:color w:val="000000"/>
                <w:lang w:eastAsia="en-GB"/>
              </w:rPr>
              <w:t xml:space="preserve"> P.; Kamara A.Y.; Williams A.</w:t>
            </w:r>
          </w:p>
        </w:tc>
        <w:tc>
          <w:tcPr>
            <w:tcW w:w="4940" w:type="dxa"/>
            <w:tcBorders>
              <w:top w:val="nil"/>
              <w:left w:val="nil"/>
              <w:bottom w:val="single" w:sz="4" w:space="0" w:color="auto"/>
              <w:right w:val="single" w:sz="4" w:space="0" w:color="auto"/>
            </w:tcBorders>
            <w:shd w:val="clear" w:color="auto" w:fill="auto"/>
            <w:vAlign w:val="bottom"/>
            <w:hideMark/>
          </w:tcPr>
          <w:p w14:paraId="1C800C4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Modelling the impacts of diverse cover crops on soil water and nitrogen and cash crop yields in a sub-tropical dryland</w:t>
            </w:r>
          </w:p>
        </w:tc>
        <w:tc>
          <w:tcPr>
            <w:tcW w:w="1240" w:type="dxa"/>
            <w:tcBorders>
              <w:top w:val="nil"/>
              <w:left w:val="nil"/>
              <w:bottom w:val="single" w:sz="4" w:space="0" w:color="auto"/>
              <w:right w:val="single" w:sz="4" w:space="0" w:color="auto"/>
            </w:tcBorders>
            <w:shd w:val="clear" w:color="auto" w:fill="auto"/>
            <w:vAlign w:val="bottom"/>
            <w:hideMark/>
          </w:tcPr>
          <w:p w14:paraId="77638F86"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16F73DB8"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EBDF14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Gemeda D.O.; </w:t>
            </w:r>
            <w:proofErr w:type="spellStart"/>
            <w:r w:rsidRPr="00572724">
              <w:rPr>
                <w:rFonts w:ascii="Times New Roman" w:eastAsia="Times New Roman" w:hAnsi="Times New Roman" w:cs="Times New Roman"/>
                <w:color w:val="000000"/>
                <w:lang w:eastAsia="en-GB"/>
              </w:rPr>
              <w:t>Korecha</w:t>
            </w:r>
            <w:proofErr w:type="spellEnd"/>
            <w:r w:rsidRPr="00572724">
              <w:rPr>
                <w:rFonts w:ascii="Times New Roman" w:eastAsia="Times New Roman" w:hAnsi="Times New Roman" w:cs="Times New Roman"/>
                <w:color w:val="000000"/>
                <w:lang w:eastAsia="en-GB"/>
              </w:rPr>
              <w:t xml:space="preserve"> D.; </w:t>
            </w:r>
            <w:proofErr w:type="spellStart"/>
            <w:r w:rsidRPr="00572724">
              <w:rPr>
                <w:rFonts w:ascii="Times New Roman" w:eastAsia="Times New Roman" w:hAnsi="Times New Roman" w:cs="Times New Roman"/>
                <w:color w:val="000000"/>
                <w:lang w:eastAsia="en-GB"/>
              </w:rPr>
              <w:t>Garedew</w:t>
            </w:r>
            <w:proofErr w:type="spellEnd"/>
            <w:r w:rsidRPr="00572724">
              <w:rPr>
                <w:rFonts w:ascii="Times New Roman" w:eastAsia="Times New Roman" w:hAnsi="Times New Roman" w:cs="Times New Roman"/>
                <w:color w:val="000000"/>
                <w:lang w:eastAsia="en-GB"/>
              </w:rPr>
              <w:t xml:space="preserve"> W.</w:t>
            </w:r>
          </w:p>
        </w:tc>
        <w:tc>
          <w:tcPr>
            <w:tcW w:w="4940" w:type="dxa"/>
            <w:tcBorders>
              <w:top w:val="nil"/>
              <w:left w:val="nil"/>
              <w:bottom w:val="single" w:sz="4" w:space="0" w:color="auto"/>
              <w:right w:val="single" w:sz="4" w:space="0" w:color="auto"/>
            </w:tcBorders>
            <w:shd w:val="clear" w:color="auto" w:fill="auto"/>
            <w:vAlign w:val="bottom"/>
            <w:hideMark/>
          </w:tcPr>
          <w:p w14:paraId="67DE131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 Perception and Vulnerability Assessment of the Farming Communities in the Southwest Parts of Ethiopia</w:t>
            </w:r>
          </w:p>
        </w:tc>
        <w:tc>
          <w:tcPr>
            <w:tcW w:w="1240" w:type="dxa"/>
            <w:tcBorders>
              <w:top w:val="nil"/>
              <w:left w:val="nil"/>
              <w:bottom w:val="single" w:sz="4" w:space="0" w:color="auto"/>
              <w:right w:val="single" w:sz="4" w:space="0" w:color="auto"/>
            </w:tcBorders>
            <w:shd w:val="clear" w:color="auto" w:fill="auto"/>
            <w:noWrap/>
            <w:vAlign w:val="bottom"/>
            <w:hideMark/>
          </w:tcPr>
          <w:p w14:paraId="4D8F8BE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2B788385"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60767A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Ghahramani A., </w:t>
            </w:r>
            <w:proofErr w:type="spellStart"/>
            <w:r w:rsidRPr="00572724">
              <w:rPr>
                <w:rFonts w:ascii="Times New Roman" w:eastAsia="Times New Roman" w:hAnsi="Times New Roman" w:cs="Times New Roman"/>
                <w:color w:val="000000"/>
                <w:lang w:eastAsia="en-GB"/>
              </w:rPr>
              <w:t>Bowran</w:t>
            </w:r>
            <w:proofErr w:type="spellEnd"/>
            <w:r w:rsidRPr="00572724">
              <w:rPr>
                <w:rFonts w:ascii="Times New Roman" w:eastAsia="Times New Roman" w:hAnsi="Times New Roman" w:cs="Times New Roman"/>
                <w:color w:val="000000"/>
                <w:lang w:eastAsia="en-GB"/>
              </w:rPr>
              <w:t xml:space="preserve"> D.,</w:t>
            </w:r>
          </w:p>
        </w:tc>
        <w:tc>
          <w:tcPr>
            <w:tcW w:w="4940" w:type="dxa"/>
            <w:tcBorders>
              <w:top w:val="nil"/>
              <w:left w:val="nil"/>
              <w:bottom w:val="single" w:sz="4" w:space="0" w:color="auto"/>
              <w:right w:val="single" w:sz="4" w:space="0" w:color="auto"/>
            </w:tcBorders>
            <w:shd w:val="clear" w:color="auto" w:fill="auto"/>
            <w:vAlign w:val="bottom"/>
            <w:hideMark/>
          </w:tcPr>
          <w:p w14:paraId="05213BA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Transformative and systemic climate change adaptations in mixed crop-livestock farming systems</w:t>
            </w:r>
          </w:p>
        </w:tc>
        <w:tc>
          <w:tcPr>
            <w:tcW w:w="1240" w:type="dxa"/>
            <w:tcBorders>
              <w:top w:val="nil"/>
              <w:left w:val="nil"/>
              <w:bottom w:val="single" w:sz="4" w:space="0" w:color="auto"/>
              <w:right w:val="single" w:sz="4" w:space="0" w:color="auto"/>
            </w:tcBorders>
            <w:shd w:val="clear" w:color="auto" w:fill="auto"/>
            <w:vAlign w:val="bottom"/>
            <w:hideMark/>
          </w:tcPr>
          <w:p w14:paraId="66FA4D68"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26A7B6FA"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95A5F0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Ghahramani A., </w:t>
            </w:r>
            <w:proofErr w:type="spellStart"/>
            <w:r w:rsidRPr="00572724">
              <w:rPr>
                <w:rFonts w:ascii="Times New Roman" w:eastAsia="Times New Roman" w:hAnsi="Times New Roman" w:cs="Times New Roman"/>
                <w:color w:val="000000"/>
                <w:lang w:eastAsia="en-GB"/>
              </w:rPr>
              <w:t>Kingwell</w:t>
            </w:r>
            <w:proofErr w:type="spellEnd"/>
            <w:r w:rsidRPr="00572724">
              <w:rPr>
                <w:rFonts w:ascii="Times New Roman" w:eastAsia="Times New Roman" w:hAnsi="Times New Roman" w:cs="Times New Roman"/>
                <w:color w:val="000000"/>
                <w:lang w:eastAsia="en-GB"/>
              </w:rPr>
              <w:t xml:space="preserve"> R.S., </w:t>
            </w:r>
            <w:proofErr w:type="spellStart"/>
            <w:r w:rsidRPr="00572724">
              <w:rPr>
                <w:rFonts w:ascii="Times New Roman" w:eastAsia="Times New Roman" w:hAnsi="Times New Roman" w:cs="Times New Roman"/>
                <w:color w:val="000000"/>
                <w:lang w:eastAsia="en-GB"/>
              </w:rPr>
              <w:t>Maraseni</w:t>
            </w:r>
            <w:proofErr w:type="spellEnd"/>
            <w:r w:rsidRPr="00572724">
              <w:rPr>
                <w:rFonts w:ascii="Times New Roman" w:eastAsia="Times New Roman" w:hAnsi="Times New Roman" w:cs="Times New Roman"/>
                <w:color w:val="000000"/>
                <w:lang w:eastAsia="en-GB"/>
              </w:rPr>
              <w:t xml:space="preserve"> T.N.,</w:t>
            </w:r>
          </w:p>
        </w:tc>
        <w:tc>
          <w:tcPr>
            <w:tcW w:w="4940" w:type="dxa"/>
            <w:tcBorders>
              <w:top w:val="nil"/>
              <w:left w:val="nil"/>
              <w:bottom w:val="single" w:sz="4" w:space="0" w:color="auto"/>
              <w:right w:val="single" w:sz="4" w:space="0" w:color="auto"/>
            </w:tcBorders>
            <w:shd w:val="clear" w:color="auto" w:fill="auto"/>
            <w:vAlign w:val="bottom"/>
            <w:hideMark/>
          </w:tcPr>
          <w:p w14:paraId="2AFB937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Land use change in Australian mixed crop-livestock systems as a transformative climate change adaptation</w:t>
            </w:r>
          </w:p>
        </w:tc>
        <w:tc>
          <w:tcPr>
            <w:tcW w:w="1240" w:type="dxa"/>
            <w:tcBorders>
              <w:top w:val="nil"/>
              <w:left w:val="nil"/>
              <w:bottom w:val="single" w:sz="4" w:space="0" w:color="auto"/>
              <w:right w:val="single" w:sz="4" w:space="0" w:color="auto"/>
            </w:tcBorders>
            <w:shd w:val="clear" w:color="auto" w:fill="auto"/>
            <w:vAlign w:val="bottom"/>
            <w:hideMark/>
          </w:tcPr>
          <w:p w14:paraId="1054F781"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2797F9D8"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B23679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Ghahramani A., Moore A.D.,</w:t>
            </w:r>
          </w:p>
        </w:tc>
        <w:tc>
          <w:tcPr>
            <w:tcW w:w="4940" w:type="dxa"/>
            <w:tcBorders>
              <w:top w:val="nil"/>
              <w:left w:val="nil"/>
              <w:bottom w:val="single" w:sz="4" w:space="0" w:color="auto"/>
              <w:right w:val="single" w:sz="4" w:space="0" w:color="auto"/>
            </w:tcBorders>
            <w:shd w:val="clear" w:color="auto" w:fill="auto"/>
            <w:vAlign w:val="bottom"/>
            <w:hideMark/>
          </w:tcPr>
          <w:p w14:paraId="684AE73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Impact of climate changes on existing crop-livestock farming systems</w:t>
            </w:r>
          </w:p>
        </w:tc>
        <w:tc>
          <w:tcPr>
            <w:tcW w:w="1240" w:type="dxa"/>
            <w:tcBorders>
              <w:top w:val="nil"/>
              <w:left w:val="nil"/>
              <w:bottom w:val="single" w:sz="4" w:space="0" w:color="auto"/>
              <w:right w:val="single" w:sz="4" w:space="0" w:color="auto"/>
            </w:tcBorders>
            <w:shd w:val="clear" w:color="auto" w:fill="auto"/>
            <w:vAlign w:val="bottom"/>
            <w:hideMark/>
          </w:tcPr>
          <w:p w14:paraId="1C9552D8"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2016</w:t>
            </w:r>
          </w:p>
        </w:tc>
      </w:tr>
      <w:tr w:rsidR="00572724" w:rsidRPr="00572724" w14:paraId="08BCE980"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C5890F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Griffiths R., Evans N.,</w:t>
            </w:r>
          </w:p>
        </w:tc>
        <w:tc>
          <w:tcPr>
            <w:tcW w:w="4940" w:type="dxa"/>
            <w:tcBorders>
              <w:top w:val="nil"/>
              <w:left w:val="nil"/>
              <w:bottom w:val="single" w:sz="4" w:space="0" w:color="auto"/>
              <w:right w:val="single" w:sz="4" w:space="0" w:color="auto"/>
            </w:tcBorders>
            <w:shd w:val="clear" w:color="auto" w:fill="auto"/>
            <w:vAlign w:val="bottom"/>
            <w:hideMark/>
          </w:tcPr>
          <w:p w14:paraId="3CBEF24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The </w:t>
            </w:r>
            <w:proofErr w:type="spellStart"/>
            <w:r w:rsidRPr="00572724">
              <w:rPr>
                <w:rFonts w:ascii="Times New Roman" w:eastAsia="Times New Roman" w:hAnsi="Times New Roman" w:cs="Times New Roman"/>
                <w:color w:val="000000"/>
                <w:lang w:eastAsia="en-GB"/>
              </w:rPr>
              <w:t>welsh</w:t>
            </w:r>
            <w:proofErr w:type="spellEnd"/>
            <w:r w:rsidRPr="00572724">
              <w:rPr>
                <w:rFonts w:ascii="Times New Roman" w:eastAsia="Times New Roman" w:hAnsi="Times New Roman" w:cs="Times New Roman"/>
                <w:color w:val="000000"/>
                <w:lang w:eastAsia="en-GB"/>
              </w:rPr>
              <w:t xml:space="preserve"> marches: Resilient farmers? Exploring farmers' resilience to extreme weather events in the recent past</w:t>
            </w:r>
          </w:p>
        </w:tc>
        <w:tc>
          <w:tcPr>
            <w:tcW w:w="1240" w:type="dxa"/>
            <w:tcBorders>
              <w:top w:val="nil"/>
              <w:left w:val="nil"/>
              <w:bottom w:val="single" w:sz="4" w:space="0" w:color="auto"/>
              <w:right w:val="single" w:sz="4" w:space="0" w:color="auto"/>
            </w:tcBorders>
            <w:shd w:val="clear" w:color="auto" w:fill="auto"/>
            <w:vAlign w:val="bottom"/>
            <w:hideMark/>
          </w:tcPr>
          <w:p w14:paraId="0460983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2015</w:t>
            </w:r>
          </w:p>
        </w:tc>
      </w:tr>
      <w:tr w:rsidR="00572724" w:rsidRPr="00572724" w14:paraId="340C70F4"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25693B6"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proofErr w:type="spellStart"/>
            <w:r w:rsidRPr="00572724">
              <w:rPr>
                <w:rFonts w:ascii="Times New Roman" w:eastAsia="Times New Roman" w:hAnsi="Times New Roman" w:cs="Times New Roman"/>
                <w:color w:val="000000"/>
                <w:lang w:val="fr-FR" w:eastAsia="en-GB"/>
              </w:rPr>
              <w:t>Gugissa</w:t>
            </w:r>
            <w:proofErr w:type="spellEnd"/>
            <w:r w:rsidRPr="00572724">
              <w:rPr>
                <w:rFonts w:ascii="Times New Roman" w:eastAsia="Times New Roman" w:hAnsi="Times New Roman" w:cs="Times New Roman"/>
                <w:color w:val="000000"/>
                <w:lang w:val="fr-FR" w:eastAsia="en-GB"/>
              </w:rPr>
              <w:t xml:space="preserve"> D.A.; </w:t>
            </w:r>
            <w:proofErr w:type="spellStart"/>
            <w:r w:rsidRPr="00572724">
              <w:rPr>
                <w:rFonts w:ascii="Times New Roman" w:eastAsia="Times New Roman" w:hAnsi="Times New Roman" w:cs="Times New Roman"/>
                <w:color w:val="000000"/>
                <w:lang w:val="fr-FR" w:eastAsia="en-GB"/>
              </w:rPr>
              <w:t>Abro</w:t>
            </w:r>
            <w:proofErr w:type="spellEnd"/>
            <w:r w:rsidRPr="00572724">
              <w:rPr>
                <w:rFonts w:ascii="Times New Roman" w:eastAsia="Times New Roman" w:hAnsi="Times New Roman" w:cs="Times New Roman"/>
                <w:color w:val="000000"/>
                <w:lang w:val="fr-FR" w:eastAsia="en-GB"/>
              </w:rPr>
              <w:t xml:space="preserve"> Z.; </w:t>
            </w:r>
            <w:proofErr w:type="spellStart"/>
            <w:r w:rsidRPr="00572724">
              <w:rPr>
                <w:rFonts w:ascii="Times New Roman" w:eastAsia="Times New Roman" w:hAnsi="Times New Roman" w:cs="Times New Roman"/>
                <w:color w:val="000000"/>
                <w:lang w:val="fr-FR" w:eastAsia="en-GB"/>
              </w:rPr>
              <w:t>Tefera</w:t>
            </w:r>
            <w:proofErr w:type="spellEnd"/>
            <w:r w:rsidRPr="00572724">
              <w:rPr>
                <w:rFonts w:ascii="Times New Roman" w:eastAsia="Times New Roman" w:hAnsi="Times New Roman" w:cs="Times New Roman"/>
                <w:color w:val="000000"/>
                <w:lang w:val="fr-FR" w:eastAsia="en-GB"/>
              </w:rPr>
              <w:t xml:space="preserve"> T.</w:t>
            </w:r>
          </w:p>
        </w:tc>
        <w:tc>
          <w:tcPr>
            <w:tcW w:w="4940" w:type="dxa"/>
            <w:tcBorders>
              <w:top w:val="nil"/>
              <w:left w:val="nil"/>
              <w:bottom w:val="single" w:sz="4" w:space="0" w:color="auto"/>
              <w:right w:val="single" w:sz="4" w:space="0" w:color="auto"/>
            </w:tcBorders>
            <w:shd w:val="clear" w:color="auto" w:fill="auto"/>
            <w:vAlign w:val="bottom"/>
            <w:hideMark/>
          </w:tcPr>
          <w:p w14:paraId="5E6DA08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Achieving a Climate-Change Resilient Farming System through Push–Pull Technology: Evidence from Maize Farming Systems in Ethiopia</w:t>
            </w:r>
          </w:p>
        </w:tc>
        <w:tc>
          <w:tcPr>
            <w:tcW w:w="1240" w:type="dxa"/>
            <w:tcBorders>
              <w:top w:val="nil"/>
              <w:left w:val="nil"/>
              <w:bottom w:val="single" w:sz="4" w:space="0" w:color="auto"/>
              <w:right w:val="single" w:sz="4" w:space="0" w:color="auto"/>
            </w:tcBorders>
            <w:shd w:val="clear" w:color="auto" w:fill="auto"/>
            <w:noWrap/>
            <w:vAlign w:val="bottom"/>
            <w:hideMark/>
          </w:tcPr>
          <w:p w14:paraId="2EB36A94"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2E193AEB"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C561B8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Hammond B., Berardi G., Green R.,</w:t>
            </w:r>
          </w:p>
        </w:tc>
        <w:tc>
          <w:tcPr>
            <w:tcW w:w="4940" w:type="dxa"/>
            <w:tcBorders>
              <w:top w:val="nil"/>
              <w:left w:val="nil"/>
              <w:bottom w:val="single" w:sz="4" w:space="0" w:color="auto"/>
              <w:right w:val="single" w:sz="4" w:space="0" w:color="auto"/>
            </w:tcBorders>
            <w:shd w:val="clear" w:color="auto" w:fill="auto"/>
            <w:vAlign w:val="bottom"/>
            <w:hideMark/>
          </w:tcPr>
          <w:p w14:paraId="6E6AF08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Resilience in agriculture: </w:t>
            </w:r>
            <w:proofErr w:type="spellStart"/>
            <w:r w:rsidRPr="00572724">
              <w:rPr>
                <w:rFonts w:ascii="Times New Roman" w:eastAsia="Times New Roman" w:hAnsi="Times New Roman" w:cs="Times New Roman"/>
                <w:color w:val="000000"/>
                <w:lang w:eastAsia="en-GB"/>
              </w:rPr>
              <w:t>Smalland</w:t>
            </w:r>
            <w:proofErr w:type="spellEnd"/>
            <w:r w:rsidRPr="00572724">
              <w:rPr>
                <w:rFonts w:ascii="Times New Roman" w:eastAsia="Times New Roman" w:hAnsi="Times New Roman" w:cs="Times New Roman"/>
                <w:color w:val="000000"/>
                <w:lang w:eastAsia="en-GB"/>
              </w:rPr>
              <w:t xml:space="preserve"> medium-sized farms in northwest Washington State</w:t>
            </w:r>
          </w:p>
        </w:tc>
        <w:tc>
          <w:tcPr>
            <w:tcW w:w="1240" w:type="dxa"/>
            <w:tcBorders>
              <w:top w:val="nil"/>
              <w:left w:val="nil"/>
              <w:bottom w:val="single" w:sz="4" w:space="0" w:color="auto"/>
              <w:right w:val="single" w:sz="4" w:space="0" w:color="auto"/>
            </w:tcBorders>
            <w:shd w:val="clear" w:color="auto" w:fill="auto"/>
            <w:vAlign w:val="bottom"/>
            <w:hideMark/>
          </w:tcPr>
          <w:p w14:paraId="179AF0E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2013</w:t>
            </w:r>
          </w:p>
        </w:tc>
      </w:tr>
      <w:tr w:rsidR="00572724" w:rsidRPr="00572724" w14:paraId="11289ACB"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8F61128"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proofErr w:type="spellStart"/>
            <w:r w:rsidRPr="00572724">
              <w:rPr>
                <w:rFonts w:ascii="Times New Roman" w:eastAsia="Times New Roman" w:hAnsi="Times New Roman" w:cs="Times New Roman"/>
                <w:color w:val="000000"/>
                <w:lang w:val="fr-FR" w:eastAsia="en-GB"/>
              </w:rPr>
              <w:lastRenderedPageBreak/>
              <w:t>Haydari</w:t>
            </w:r>
            <w:proofErr w:type="spellEnd"/>
            <w:r w:rsidRPr="00572724">
              <w:rPr>
                <w:rFonts w:ascii="Times New Roman" w:eastAsia="Times New Roman" w:hAnsi="Times New Roman" w:cs="Times New Roman"/>
                <w:color w:val="000000"/>
                <w:lang w:val="fr-FR" w:eastAsia="en-GB"/>
              </w:rPr>
              <w:t xml:space="preserve"> H.; </w:t>
            </w:r>
            <w:proofErr w:type="spellStart"/>
            <w:r w:rsidRPr="00572724">
              <w:rPr>
                <w:rFonts w:ascii="Times New Roman" w:eastAsia="Times New Roman" w:hAnsi="Times New Roman" w:cs="Times New Roman"/>
                <w:color w:val="000000"/>
                <w:lang w:val="fr-FR" w:eastAsia="en-GB"/>
              </w:rPr>
              <w:t>Agahi</w:t>
            </w:r>
            <w:proofErr w:type="spellEnd"/>
            <w:r w:rsidRPr="00572724">
              <w:rPr>
                <w:rFonts w:ascii="Times New Roman" w:eastAsia="Times New Roman" w:hAnsi="Times New Roman" w:cs="Times New Roman"/>
                <w:color w:val="000000"/>
                <w:lang w:val="fr-FR" w:eastAsia="en-GB"/>
              </w:rPr>
              <w:t xml:space="preserve"> H.; </w:t>
            </w:r>
            <w:proofErr w:type="spellStart"/>
            <w:r w:rsidRPr="00572724">
              <w:rPr>
                <w:rFonts w:ascii="Times New Roman" w:eastAsia="Times New Roman" w:hAnsi="Times New Roman" w:cs="Times New Roman"/>
                <w:color w:val="000000"/>
                <w:lang w:val="fr-FR" w:eastAsia="en-GB"/>
              </w:rPr>
              <w:t>Geravandi</w:t>
            </w:r>
            <w:proofErr w:type="spellEnd"/>
            <w:r w:rsidRPr="00572724">
              <w:rPr>
                <w:rFonts w:ascii="Times New Roman" w:eastAsia="Times New Roman" w:hAnsi="Times New Roman" w:cs="Times New Roman"/>
                <w:color w:val="000000"/>
                <w:lang w:val="fr-FR" w:eastAsia="en-GB"/>
              </w:rPr>
              <w:t xml:space="preserve"> S.</w:t>
            </w:r>
          </w:p>
        </w:tc>
        <w:tc>
          <w:tcPr>
            <w:tcW w:w="4940" w:type="dxa"/>
            <w:tcBorders>
              <w:top w:val="nil"/>
              <w:left w:val="nil"/>
              <w:bottom w:val="single" w:sz="4" w:space="0" w:color="auto"/>
              <w:right w:val="single" w:sz="4" w:space="0" w:color="auto"/>
            </w:tcBorders>
            <w:shd w:val="clear" w:color="auto" w:fill="auto"/>
            <w:vAlign w:val="bottom"/>
            <w:hideMark/>
          </w:tcPr>
          <w:p w14:paraId="32FCDF75"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Social Resilience of Iranian Potato Farmers Against Climate Changes</w:t>
            </w:r>
          </w:p>
        </w:tc>
        <w:tc>
          <w:tcPr>
            <w:tcW w:w="1240" w:type="dxa"/>
            <w:tcBorders>
              <w:top w:val="nil"/>
              <w:left w:val="nil"/>
              <w:bottom w:val="single" w:sz="4" w:space="0" w:color="auto"/>
              <w:right w:val="single" w:sz="4" w:space="0" w:color="auto"/>
            </w:tcBorders>
            <w:shd w:val="clear" w:color="auto" w:fill="auto"/>
            <w:noWrap/>
            <w:vAlign w:val="bottom"/>
            <w:hideMark/>
          </w:tcPr>
          <w:p w14:paraId="2A1560A0"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723CF05D"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DC707D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Hebbsale</w:t>
            </w:r>
            <w:proofErr w:type="spellEnd"/>
            <w:r w:rsidRPr="00572724">
              <w:rPr>
                <w:rFonts w:ascii="Times New Roman" w:eastAsia="Times New Roman" w:hAnsi="Times New Roman" w:cs="Times New Roman"/>
                <w:color w:val="000000"/>
                <w:lang w:eastAsia="en-GB"/>
              </w:rPr>
              <w:t xml:space="preserve"> </w:t>
            </w:r>
            <w:proofErr w:type="spellStart"/>
            <w:r w:rsidRPr="00572724">
              <w:rPr>
                <w:rFonts w:ascii="Times New Roman" w:eastAsia="Times New Roman" w:hAnsi="Times New Roman" w:cs="Times New Roman"/>
                <w:color w:val="000000"/>
                <w:lang w:eastAsia="en-GB"/>
              </w:rPr>
              <w:t>Mallappa</w:t>
            </w:r>
            <w:proofErr w:type="spellEnd"/>
            <w:r w:rsidRPr="00572724">
              <w:rPr>
                <w:rFonts w:ascii="Times New Roman" w:eastAsia="Times New Roman" w:hAnsi="Times New Roman" w:cs="Times New Roman"/>
                <w:color w:val="000000"/>
                <w:lang w:eastAsia="en-GB"/>
              </w:rPr>
              <w:t xml:space="preserve"> V.K., </w:t>
            </w:r>
            <w:proofErr w:type="spellStart"/>
            <w:r w:rsidRPr="00572724">
              <w:rPr>
                <w:rFonts w:ascii="Times New Roman" w:eastAsia="Times New Roman" w:hAnsi="Times New Roman" w:cs="Times New Roman"/>
                <w:color w:val="000000"/>
                <w:lang w:eastAsia="en-GB"/>
              </w:rPr>
              <w:t>Shivamurthy</w:t>
            </w:r>
            <w:proofErr w:type="spellEnd"/>
            <w:r w:rsidRPr="00572724">
              <w:rPr>
                <w:rFonts w:ascii="Times New Roman" w:eastAsia="Times New Roman" w:hAnsi="Times New Roman" w:cs="Times New Roman"/>
                <w:color w:val="000000"/>
                <w:lang w:eastAsia="en-GB"/>
              </w:rPr>
              <w:t xml:space="preserve"> M.,</w:t>
            </w:r>
          </w:p>
        </w:tc>
        <w:tc>
          <w:tcPr>
            <w:tcW w:w="4940" w:type="dxa"/>
            <w:tcBorders>
              <w:top w:val="nil"/>
              <w:left w:val="nil"/>
              <w:bottom w:val="single" w:sz="4" w:space="0" w:color="auto"/>
              <w:right w:val="single" w:sz="4" w:space="0" w:color="auto"/>
            </w:tcBorders>
            <w:shd w:val="clear" w:color="auto" w:fill="auto"/>
            <w:vAlign w:val="bottom"/>
            <w:hideMark/>
          </w:tcPr>
          <w:p w14:paraId="3785398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Factor influencing fishery-based farmers’ perception and their response to climate-induced crisis management.</w:t>
            </w:r>
          </w:p>
        </w:tc>
        <w:tc>
          <w:tcPr>
            <w:tcW w:w="1240" w:type="dxa"/>
            <w:tcBorders>
              <w:top w:val="nil"/>
              <w:left w:val="nil"/>
              <w:bottom w:val="single" w:sz="4" w:space="0" w:color="auto"/>
              <w:right w:val="single" w:sz="4" w:space="0" w:color="auto"/>
            </w:tcBorders>
            <w:shd w:val="clear" w:color="auto" w:fill="auto"/>
            <w:vAlign w:val="bottom"/>
            <w:hideMark/>
          </w:tcPr>
          <w:p w14:paraId="0CFD734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6CFA9279"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6DE241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Heckelman</w:t>
            </w:r>
            <w:proofErr w:type="spellEnd"/>
            <w:r w:rsidRPr="00572724">
              <w:rPr>
                <w:rFonts w:ascii="Times New Roman" w:eastAsia="Times New Roman" w:hAnsi="Times New Roman" w:cs="Times New Roman"/>
                <w:color w:val="000000"/>
                <w:lang w:eastAsia="en-GB"/>
              </w:rPr>
              <w:t xml:space="preserve">, A; </w:t>
            </w:r>
            <w:proofErr w:type="spellStart"/>
            <w:r w:rsidRPr="00572724">
              <w:rPr>
                <w:rFonts w:ascii="Times New Roman" w:eastAsia="Times New Roman" w:hAnsi="Times New Roman" w:cs="Times New Roman"/>
                <w:color w:val="000000"/>
                <w:lang w:eastAsia="en-GB"/>
              </w:rPr>
              <w:t>Smukler</w:t>
            </w:r>
            <w:proofErr w:type="spellEnd"/>
            <w:r w:rsidRPr="00572724">
              <w:rPr>
                <w:rFonts w:ascii="Times New Roman" w:eastAsia="Times New Roman" w:hAnsi="Times New Roman" w:cs="Times New Roman"/>
                <w:color w:val="000000"/>
                <w:lang w:eastAsia="en-GB"/>
              </w:rPr>
              <w:t>, S; Wittman, H</w:t>
            </w:r>
          </w:p>
        </w:tc>
        <w:tc>
          <w:tcPr>
            <w:tcW w:w="4940" w:type="dxa"/>
            <w:tcBorders>
              <w:top w:val="nil"/>
              <w:left w:val="nil"/>
              <w:bottom w:val="single" w:sz="4" w:space="0" w:color="auto"/>
              <w:right w:val="single" w:sz="4" w:space="0" w:color="auto"/>
            </w:tcBorders>
            <w:shd w:val="clear" w:color="auto" w:fill="auto"/>
            <w:vAlign w:val="bottom"/>
            <w:hideMark/>
          </w:tcPr>
          <w:p w14:paraId="331C179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Cultivating climate resilience: a participatory assessment of organic and conventional rice systems in the Philippines</w:t>
            </w:r>
          </w:p>
        </w:tc>
        <w:tc>
          <w:tcPr>
            <w:tcW w:w="1240" w:type="dxa"/>
            <w:tcBorders>
              <w:top w:val="nil"/>
              <w:left w:val="nil"/>
              <w:bottom w:val="single" w:sz="4" w:space="0" w:color="auto"/>
              <w:right w:val="single" w:sz="4" w:space="0" w:color="auto"/>
            </w:tcBorders>
            <w:shd w:val="clear" w:color="auto" w:fill="auto"/>
            <w:vAlign w:val="bottom"/>
            <w:hideMark/>
          </w:tcPr>
          <w:p w14:paraId="57C2F33F"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300F873E"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3D21CF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Herrera H.; Kopainsky B.</w:t>
            </w:r>
          </w:p>
        </w:tc>
        <w:tc>
          <w:tcPr>
            <w:tcW w:w="4940" w:type="dxa"/>
            <w:tcBorders>
              <w:top w:val="nil"/>
              <w:left w:val="nil"/>
              <w:bottom w:val="single" w:sz="4" w:space="0" w:color="auto"/>
              <w:right w:val="single" w:sz="4" w:space="0" w:color="auto"/>
            </w:tcBorders>
            <w:shd w:val="clear" w:color="auto" w:fill="auto"/>
            <w:vAlign w:val="bottom"/>
            <w:hideMark/>
          </w:tcPr>
          <w:p w14:paraId="0EAD6CD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Using microworlds for policymaking in the context of resilient farming systems</w:t>
            </w:r>
          </w:p>
        </w:tc>
        <w:tc>
          <w:tcPr>
            <w:tcW w:w="1240" w:type="dxa"/>
            <w:tcBorders>
              <w:top w:val="nil"/>
              <w:left w:val="nil"/>
              <w:bottom w:val="single" w:sz="4" w:space="0" w:color="auto"/>
              <w:right w:val="single" w:sz="4" w:space="0" w:color="auto"/>
            </w:tcBorders>
            <w:shd w:val="clear" w:color="auto" w:fill="auto"/>
            <w:noWrap/>
            <w:vAlign w:val="bottom"/>
            <w:hideMark/>
          </w:tcPr>
          <w:p w14:paraId="2E34864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05E05462"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EC4134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Ho C.K.M., Malcolm B., Doyle P.T.,</w:t>
            </w:r>
          </w:p>
        </w:tc>
        <w:tc>
          <w:tcPr>
            <w:tcW w:w="4940" w:type="dxa"/>
            <w:tcBorders>
              <w:top w:val="nil"/>
              <w:left w:val="nil"/>
              <w:bottom w:val="single" w:sz="4" w:space="0" w:color="auto"/>
              <w:right w:val="single" w:sz="4" w:space="0" w:color="auto"/>
            </w:tcBorders>
            <w:shd w:val="clear" w:color="auto" w:fill="auto"/>
            <w:vAlign w:val="bottom"/>
            <w:hideMark/>
          </w:tcPr>
          <w:p w14:paraId="2323E4F5"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Supplementary feeding options to alleviate the impacts of decreased water availability on dairy-farm economic performance in northern Victoria</w:t>
            </w:r>
          </w:p>
        </w:tc>
        <w:tc>
          <w:tcPr>
            <w:tcW w:w="1240" w:type="dxa"/>
            <w:tcBorders>
              <w:top w:val="nil"/>
              <w:left w:val="nil"/>
              <w:bottom w:val="single" w:sz="4" w:space="0" w:color="auto"/>
              <w:right w:val="single" w:sz="4" w:space="0" w:color="auto"/>
            </w:tcBorders>
            <w:shd w:val="clear" w:color="auto" w:fill="auto"/>
            <w:vAlign w:val="bottom"/>
            <w:hideMark/>
          </w:tcPr>
          <w:p w14:paraId="331348E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2015</w:t>
            </w:r>
          </w:p>
        </w:tc>
      </w:tr>
      <w:tr w:rsidR="00572724" w:rsidRPr="00572724" w14:paraId="4A2F7505"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A11E94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Hochman Z., Horan H., Reddy D.R., Sreenivas G., </w:t>
            </w:r>
            <w:proofErr w:type="spellStart"/>
            <w:r w:rsidRPr="00572724">
              <w:rPr>
                <w:rFonts w:ascii="Times New Roman" w:eastAsia="Times New Roman" w:hAnsi="Times New Roman" w:cs="Times New Roman"/>
                <w:color w:val="000000"/>
                <w:lang w:eastAsia="en-GB"/>
              </w:rPr>
              <w:t>Tallapragada</w:t>
            </w:r>
            <w:proofErr w:type="spellEnd"/>
            <w:r w:rsidRPr="00572724">
              <w:rPr>
                <w:rFonts w:ascii="Times New Roman" w:eastAsia="Times New Roman" w:hAnsi="Times New Roman" w:cs="Times New Roman"/>
                <w:color w:val="000000"/>
                <w:lang w:eastAsia="en-GB"/>
              </w:rPr>
              <w:t xml:space="preserve"> C., </w:t>
            </w:r>
            <w:proofErr w:type="spellStart"/>
            <w:r w:rsidRPr="00572724">
              <w:rPr>
                <w:rFonts w:ascii="Times New Roman" w:eastAsia="Times New Roman" w:hAnsi="Times New Roman" w:cs="Times New Roman"/>
                <w:color w:val="000000"/>
                <w:lang w:eastAsia="en-GB"/>
              </w:rPr>
              <w:t>Adusumilli</w:t>
            </w:r>
            <w:proofErr w:type="spellEnd"/>
            <w:r w:rsidRPr="00572724">
              <w:rPr>
                <w:rFonts w:ascii="Times New Roman" w:eastAsia="Times New Roman" w:hAnsi="Times New Roman" w:cs="Times New Roman"/>
                <w:color w:val="000000"/>
                <w:lang w:eastAsia="en-GB"/>
              </w:rPr>
              <w:t xml:space="preserve"> R., Gaydon D., Singh K.K., Roth C.H.,</w:t>
            </w:r>
          </w:p>
        </w:tc>
        <w:tc>
          <w:tcPr>
            <w:tcW w:w="4940" w:type="dxa"/>
            <w:tcBorders>
              <w:top w:val="nil"/>
              <w:left w:val="nil"/>
              <w:bottom w:val="single" w:sz="4" w:space="0" w:color="auto"/>
              <w:right w:val="single" w:sz="4" w:space="0" w:color="auto"/>
            </w:tcBorders>
            <w:shd w:val="clear" w:color="auto" w:fill="auto"/>
            <w:vAlign w:val="bottom"/>
            <w:hideMark/>
          </w:tcPr>
          <w:p w14:paraId="6C2E182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Smallholder farmers managing climate risk in India: 1. Adapting to a variable climate</w:t>
            </w:r>
          </w:p>
        </w:tc>
        <w:tc>
          <w:tcPr>
            <w:tcW w:w="1240" w:type="dxa"/>
            <w:tcBorders>
              <w:top w:val="nil"/>
              <w:left w:val="nil"/>
              <w:bottom w:val="single" w:sz="4" w:space="0" w:color="auto"/>
              <w:right w:val="single" w:sz="4" w:space="0" w:color="auto"/>
            </w:tcBorders>
            <w:shd w:val="clear" w:color="auto" w:fill="auto"/>
            <w:vAlign w:val="bottom"/>
            <w:hideMark/>
          </w:tcPr>
          <w:p w14:paraId="3F62BE68"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2017</w:t>
            </w:r>
          </w:p>
        </w:tc>
      </w:tr>
      <w:tr w:rsidR="00572724" w:rsidRPr="00572724" w14:paraId="7FBF938D"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9A9277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Hossard</w:t>
            </w:r>
            <w:proofErr w:type="spellEnd"/>
            <w:r w:rsidRPr="00572724">
              <w:rPr>
                <w:rFonts w:ascii="Times New Roman" w:eastAsia="Times New Roman" w:hAnsi="Times New Roman" w:cs="Times New Roman"/>
                <w:color w:val="000000"/>
                <w:lang w:eastAsia="en-GB"/>
              </w:rPr>
              <w:t xml:space="preserve"> L., </w:t>
            </w:r>
            <w:proofErr w:type="spellStart"/>
            <w:r w:rsidRPr="00572724">
              <w:rPr>
                <w:rFonts w:ascii="Times New Roman" w:eastAsia="Times New Roman" w:hAnsi="Times New Roman" w:cs="Times New Roman"/>
                <w:color w:val="000000"/>
                <w:lang w:eastAsia="en-GB"/>
              </w:rPr>
              <w:t>Fadlaoui</w:t>
            </w:r>
            <w:proofErr w:type="spellEnd"/>
            <w:r w:rsidRPr="00572724">
              <w:rPr>
                <w:rFonts w:ascii="Times New Roman" w:eastAsia="Times New Roman" w:hAnsi="Times New Roman" w:cs="Times New Roman"/>
                <w:color w:val="000000"/>
                <w:lang w:eastAsia="en-GB"/>
              </w:rPr>
              <w:t xml:space="preserve"> A., </w:t>
            </w:r>
            <w:proofErr w:type="spellStart"/>
            <w:r w:rsidRPr="00572724">
              <w:rPr>
                <w:rFonts w:ascii="Times New Roman" w:eastAsia="Times New Roman" w:hAnsi="Times New Roman" w:cs="Times New Roman"/>
                <w:color w:val="000000"/>
                <w:lang w:eastAsia="en-GB"/>
              </w:rPr>
              <w:t>Ricote</w:t>
            </w:r>
            <w:proofErr w:type="spellEnd"/>
            <w:r w:rsidRPr="00572724">
              <w:rPr>
                <w:rFonts w:ascii="Times New Roman" w:eastAsia="Times New Roman" w:hAnsi="Times New Roman" w:cs="Times New Roman"/>
                <w:color w:val="000000"/>
                <w:lang w:eastAsia="en-GB"/>
              </w:rPr>
              <w:t xml:space="preserve"> E., </w:t>
            </w:r>
            <w:proofErr w:type="spellStart"/>
            <w:r w:rsidRPr="00572724">
              <w:rPr>
                <w:rFonts w:ascii="Times New Roman" w:eastAsia="Times New Roman" w:hAnsi="Times New Roman" w:cs="Times New Roman"/>
                <w:color w:val="000000"/>
                <w:lang w:eastAsia="en-GB"/>
              </w:rPr>
              <w:t>Belhouchette</w:t>
            </w:r>
            <w:proofErr w:type="spellEnd"/>
            <w:r w:rsidRPr="00572724">
              <w:rPr>
                <w:rFonts w:ascii="Times New Roman" w:eastAsia="Times New Roman" w:hAnsi="Times New Roman" w:cs="Times New Roman"/>
                <w:color w:val="000000"/>
                <w:lang w:eastAsia="en-GB"/>
              </w:rPr>
              <w:t xml:space="preserve"> H.,</w:t>
            </w:r>
          </w:p>
        </w:tc>
        <w:tc>
          <w:tcPr>
            <w:tcW w:w="4940" w:type="dxa"/>
            <w:tcBorders>
              <w:top w:val="nil"/>
              <w:left w:val="nil"/>
              <w:bottom w:val="single" w:sz="4" w:space="0" w:color="auto"/>
              <w:right w:val="single" w:sz="4" w:space="0" w:color="auto"/>
            </w:tcBorders>
            <w:shd w:val="clear" w:color="auto" w:fill="auto"/>
            <w:vAlign w:val="bottom"/>
            <w:hideMark/>
          </w:tcPr>
          <w:p w14:paraId="095BFA9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Assessing the resilience of farming systems on the </w:t>
            </w:r>
            <w:proofErr w:type="spellStart"/>
            <w:r w:rsidRPr="00572724">
              <w:rPr>
                <w:rFonts w:ascii="Times New Roman" w:eastAsia="Times New Roman" w:hAnsi="Times New Roman" w:cs="Times New Roman"/>
                <w:color w:val="000000"/>
                <w:lang w:eastAsia="en-GB"/>
              </w:rPr>
              <w:t>Saïs</w:t>
            </w:r>
            <w:proofErr w:type="spellEnd"/>
            <w:r w:rsidRPr="00572724">
              <w:rPr>
                <w:rFonts w:ascii="Times New Roman" w:eastAsia="Times New Roman" w:hAnsi="Times New Roman" w:cs="Times New Roman"/>
                <w:color w:val="000000"/>
                <w:lang w:eastAsia="en-GB"/>
              </w:rPr>
              <w:t xml:space="preserve"> plain, Morocco</w:t>
            </w:r>
          </w:p>
        </w:tc>
        <w:tc>
          <w:tcPr>
            <w:tcW w:w="1240" w:type="dxa"/>
            <w:tcBorders>
              <w:top w:val="nil"/>
              <w:left w:val="nil"/>
              <w:bottom w:val="single" w:sz="4" w:space="0" w:color="auto"/>
              <w:right w:val="single" w:sz="4" w:space="0" w:color="auto"/>
            </w:tcBorders>
            <w:shd w:val="clear" w:color="auto" w:fill="auto"/>
            <w:vAlign w:val="bottom"/>
            <w:hideMark/>
          </w:tcPr>
          <w:p w14:paraId="28A93E16"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60116AC3" w14:textId="77777777" w:rsidTr="00572724">
        <w:trPr>
          <w:trHeight w:val="1152"/>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38C85F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Hussain W.; Khan M.A.</w:t>
            </w:r>
          </w:p>
        </w:tc>
        <w:tc>
          <w:tcPr>
            <w:tcW w:w="4940" w:type="dxa"/>
            <w:tcBorders>
              <w:top w:val="nil"/>
              <w:left w:val="nil"/>
              <w:bottom w:val="single" w:sz="4" w:space="0" w:color="auto"/>
              <w:right w:val="single" w:sz="4" w:space="0" w:color="auto"/>
            </w:tcBorders>
            <w:shd w:val="clear" w:color="auto" w:fill="auto"/>
            <w:vAlign w:val="bottom"/>
            <w:hideMark/>
          </w:tcPr>
          <w:p w14:paraId="70FBB3A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Climate change-induced Glacial Lake Outburst Floods in </w:t>
            </w:r>
            <w:proofErr w:type="spellStart"/>
            <w:r w:rsidRPr="00572724">
              <w:rPr>
                <w:rFonts w:ascii="Times New Roman" w:eastAsia="Times New Roman" w:hAnsi="Times New Roman" w:cs="Times New Roman"/>
                <w:color w:val="000000"/>
                <w:lang w:eastAsia="en-GB"/>
              </w:rPr>
              <w:t>Hunza</w:t>
            </w:r>
            <w:proofErr w:type="spellEnd"/>
            <w:r w:rsidRPr="00572724">
              <w:rPr>
                <w:rFonts w:ascii="Times New Roman" w:eastAsia="Times New Roman" w:hAnsi="Times New Roman" w:cs="Times New Roman"/>
                <w:color w:val="000000"/>
                <w:lang w:eastAsia="en-GB"/>
              </w:rPr>
              <w:t xml:space="preserve"> Valley of Pakistan: an assessment of indigenous farming community perceptions and adaptation</w:t>
            </w:r>
          </w:p>
        </w:tc>
        <w:tc>
          <w:tcPr>
            <w:tcW w:w="1240" w:type="dxa"/>
            <w:tcBorders>
              <w:top w:val="nil"/>
              <w:left w:val="nil"/>
              <w:bottom w:val="single" w:sz="4" w:space="0" w:color="auto"/>
              <w:right w:val="single" w:sz="4" w:space="0" w:color="auto"/>
            </w:tcBorders>
            <w:shd w:val="clear" w:color="auto" w:fill="auto"/>
            <w:vAlign w:val="bottom"/>
            <w:hideMark/>
          </w:tcPr>
          <w:p w14:paraId="03293CE2"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34AD4DE7"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739B1AE"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r w:rsidRPr="00572724">
              <w:rPr>
                <w:rFonts w:ascii="Times New Roman" w:eastAsia="Times New Roman" w:hAnsi="Times New Roman" w:cs="Times New Roman"/>
                <w:color w:val="000000"/>
                <w:lang w:val="fr-FR" w:eastAsia="en-GB"/>
              </w:rPr>
              <w:t xml:space="preserve">Iglesias E., </w:t>
            </w:r>
            <w:proofErr w:type="spellStart"/>
            <w:r w:rsidRPr="00572724">
              <w:rPr>
                <w:rFonts w:ascii="Times New Roman" w:eastAsia="Times New Roman" w:hAnsi="Times New Roman" w:cs="Times New Roman"/>
                <w:color w:val="000000"/>
                <w:lang w:val="fr-FR" w:eastAsia="en-GB"/>
              </w:rPr>
              <w:t>Báez</w:t>
            </w:r>
            <w:proofErr w:type="spellEnd"/>
            <w:r w:rsidRPr="00572724">
              <w:rPr>
                <w:rFonts w:ascii="Times New Roman" w:eastAsia="Times New Roman" w:hAnsi="Times New Roman" w:cs="Times New Roman"/>
                <w:color w:val="000000"/>
                <w:lang w:val="fr-FR" w:eastAsia="en-GB"/>
              </w:rPr>
              <w:t xml:space="preserve"> K., Diaz-</w:t>
            </w:r>
            <w:proofErr w:type="spellStart"/>
            <w:r w:rsidRPr="00572724">
              <w:rPr>
                <w:rFonts w:ascii="Times New Roman" w:eastAsia="Times New Roman" w:hAnsi="Times New Roman" w:cs="Times New Roman"/>
                <w:color w:val="000000"/>
                <w:lang w:val="fr-FR" w:eastAsia="en-GB"/>
              </w:rPr>
              <w:t>Ambrona</w:t>
            </w:r>
            <w:proofErr w:type="spellEnd"/>
            <w:r w:rsidRPr="00572724">
              <w:rPr>
                <w:rFonts w:ascii="Times New Roman" w:eastAsia="Times New Roman" w:hAnsi="Times New Roman" w:cs="Times New Roman"/>
                <w:color w:val="000000"/>
                <w:lang w:val="fr-FR" w:eastAsia="en-GB"/>
              </w:rPr>
              <w:t xml:space="preserve"> C.H.,</w:t>
            </w:r>
          </w:p>
        </w:tc>
        <w:tc>
          <w:tcPr>
            <w:tcW w:w="4940" w:type="dxa"/>
            <w:tcBorders>
              <w:top w:val="nil"/>
              <w:left w:val="nil"/>
              <w:bottom w:val="single" w:sz="4" w:space="0" w:color="auto"/>
              <w:right w:val="single" w:sz="4" w:space="0" w:color="auto"/>
            </w:tcBorders>
            <w:shd w:val="clear" w:color="auto" w:fill="auto"/>
            <w:vAlign w:val="bottom"/>
            <w:hideMark/>
          </w:tcPr>
          <w:p w14:paraId="1B622DD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Assessing drought risk in Mediterranean </w:t>
            </w:r>
            <w:proofErr w:type="spellStart"/>
            <w:r w:rsidRPr="00572724">
              <w:rPr>
                <w:rFonts w:ascii="Times New Roman" w:eastAsia="Times New Roman" w:hAnsi="Times New Roman" w:cs="Times New Roman"/>
                <w:color w:val="000000"/>
                <w:lang w:eastAsia="en-GB"/>
              </w:rPr>
              <w:t>Dehesa</w:t>
            </w:r>
            <w:proofErr w:type="spellEnd"/>
            <w:r w:rsidRPr="00572724">
              <w:rPr>
                <w:rFonts w:ascii="Times New Roman" w:eastAsia="Times New Roman" w:hAnsi="Times New Roman" w:cs="Times New Roman"/>
                <w:color w:val="000000"/>
                <w:lang w:eastAsia="en-GB"/>
              </w:rPr>
              <w:t xml:space="preserve"> grazing lands</w:t>
            </w:r>
          </w:p>
        </w:tc>
        <w:tc>
          <w:tcPr>
            <w:tcW w:w="1240" w:type="dxa"/>
            <w:tcBorders>
              <w:top w:val="nil"/>
              <w:left w:val="nil"/>
              <w:bottom w:val="single" w:sz="4" w:space="0" w:color="auto"/>
              <w:right w:val="single" w:sz="4" w:space="0" w:color="auto"/>
            </w:tcBorders>
            <w:shd w:val="clear" w:color="auto" w:fill="auto"/>
            <w:vAlign w:val="bottom"/>
            <w:hideMark/>
          </w:tcPr>
          <w:p w14:paraId="20854B7A"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2016</w:t>
            </w:r>
          </w:p>
        </w:tc>
      </w:tr>
      <w:tr w:rsidR="00572724" w:rsidRPr="00572724" w14:paraId="4E1FEA57"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79274C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Jacobi J., Schneider M., </w:t>
            </w:r>
            <w:proofErr w:type="spellStart"/>
            <w:r w:rsidRPr="00572724">
              <w:rPr>
                <w:rFonts w:ascii="Times New Roman" w:eastAsia="Times New Roman" w:hAnsi="Times New Roman" w:cs="Times New Roman"/>
                <w:color w:val="000000"/>
                <w:lang w:eastAsia="en-GB"/>
              </w:rPr>
              <w:t>Pillco</w:t>
            </w:r>
            <w:proofErr w:type="spellEnd"/>
            <w:r w:rsidRPr="00572724">
              <w:rPr>
                <w:rFonts w:ascii="Times New Roman" w:eastAsia="Times New Roman" w:hAnsi="Times New Roman" w:cs="Times New Roman"/>
                <w:color w:val="000000"/>
                <w:lang w:eastAsia="en-GB"/>
              </w:rPr>
              <w:t xml:space="preserve"> Mariscal M., Huber S., </w:t>
            </w:r>
            <w:proofErr w:type="spellStart"/>
            <w:r w:rsidRPr="00572724">
              <w:rPr>
                <w:rFonts w:ascii="Times New Roman" w:eastAsia="Times New Roman" w:hAnsi="Times New Roman" w:cs="Times New Roman"/>
                <w:color w:val="000000"/>
                <w:lang w:eastAsia="en-GB"/>
              </w:rPr>
              <w:t>Weidmann</w:t>
            </w:r>
            <w:proofErr w:type="spellEnd"/>
            <w:r w:rsidRPr="00572724">
              <w:rPr>
                <w:rFonts w:ascii="Times New Roman" w:eastAsia="Times New Roman" w:hAnsi="Times New Roman" w:cs="Times New Roman"/>
                <w:color w:val="000000"/>
                <w:lang w:eastAsia="en-GB"/>
              </w:rPr>
              <w:t xml:space="preserve"> S., Bottazzi P., Rist S.,</w:t>
            </w:r>
          </w:p>
        </w:tc>
        <w:tc>
          <w:tcPr>
            <w:tcW w:w="4940" w:type="dxa"/>
            <w:tcBorders>
              <w:top w:val="nil"/>
              <w:left w:val="nil"/>
              <w:bottom w:val="single" w:sz="4" w:space="0" w:color="auto"/>
              <w:right w:val="single" w:sz="4" w:space="0" w:color="auto"/>
            </w:tcBorders>
            <w:shd w:val="clear" w:color="auto" w:fill="auto"/>
            <w:vAlign w:val="bottom"/>
            <w:hideMark/>
          </w:tcPr>
          <w:p w14:paraId="4897CD2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Farm Resilience in Organic and Nonorganic Cocoa Farming Systems in Alto Beni, Bolivia</w:t>
            </w:r>
          </w:p>
        </w:tc>
        <w:tc>
          <w:tcPr>
            <w:tcW w:w="1240" w:type="dxa"/>
            <w:tcBorders>
              <w:top w:val="nil"/>
              <w:left w:val="nil"/>
              <w:bottom w:val="single" w:sz="4" w:space="0" w:color="auto"/>
              <w:right w:val="single" w:sz="4" w:space="0" w:color="auto"/>
            </w:tcBorders>
            <w:shd w:val="clear" w:color="auto" w:fill="auto"/>
            <w:vAlign w:val="bottom"/>
            <w:hideMark/>
          </w:tcPr>
          <w:p w14:paraId="02A6A54B"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2015</w:t>
            </w:r>
          </w:p>
        </w:tc>
      </w:tr>
      <w:tr w:rsidR="00572724" w:rsidRPr="00572724" w14:paraId="607EC199"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96DD90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Jamal, MR; Kristiansen, P; Kabir, MJ; de </w:t>
            </w:r>
            <w:proofErr w:type="spellStart"/>
            <w:r w:rsidRPr="00572724">
              <w:rPr>
                <w:rFonts w:ascii="Times New Roman" w:eastAsia="Times New Roman" w:hAnsi="Times New Roman" w:cs="Times New Roman"/>
                <w:color w:val="000000"/>
                <w:lang w:eastAsia="en-GB"/>
              </w:rPr>
              <w:t>Bruyn</w:t>
            </w:r>
            <w:proofErr w:type="spellEnd"/>
            <w:r w:rsidRPr="00572724">
              <w:rPr>
                <w:rFonts w:ascii="Times New Roman" w:eastAsia="Times New Roman" w:hAnsi="Times New Roman" w:cs="Times New Roman"/>
                <w:color w:val="000000"/>
                <w:lang w:eastAsia="en-GB"/>
              </w:rPr>
              <w:t>, LL</w:t>
            </w:r>
          </w:p>
        </w:tc>
        <w:tc>
          <w:tcPr>
            <w:tcW w:w="4940" w:type="dxa"/>
            <w:tcBorders>
              <w:top w:val="nil"/>
              <w:left w:val="nil"/>
              <w:bottom w:val="single" w:sz="4" w:space="0" w:color="auto"/>
              <w:right w:val="single" w:sz="4" w:space="0" w:color="auto"/>
            </w:tcBorders>
            <w:shd w:val="clear" w:color="auto" w:fill="auto"/>
            <w:vAlign w:val="bottom"/>
            <w:hideMark/>
          </w:tcPr>
          <w:p w14:paraId="462B048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Risks and adaptation dynamics in shrimp and prawn-based farming systems in southwest coastal Bangladesh</w:t>
            </w:r>
          </w:p>
        </w:tc>
        <w:tc>
          <w:tcPr>
            <w:tcW w:w="1240" w:type="dxa"/>
            <w:tcBorders>
              <w:top w:val="nil"/>
              <w:left w:val="nil"/>
              <w:bottom w:val="single" w:sz="4" w:space="0" w:color="auto"/>
              <w:right w:val="single" w:sz="4" w:space="0" w:color="auto"/>
            </w:tcBorders>
            <w:shd w:val="clear" w:color="auto" w:fill="auto"/>
            <w:vAlign w:val="bottom"/>
            <w:hideMark/>
          </w:tcPr>
          <w:p w14:paraId="7B5AABD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65C6CC24"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9D605D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lastRenderedPageBreak/>
              <w:t xml:space="preserve">Jamil I., Jun W., Mughal B., Raza M.H., Imran M.A., </w:t>
            </w:r>
            <w:proofErr w:type="spellStart"/>
            <w:r w:rsidRPr="00572724">
              <w:rPr>
                <w:rFonts w:ascii="Times New Roman" w:eastAsia="Times New Roman" w:hAnsi="Times New Roman" w:cs="Times New Roman"/>
                <w:color w:val="000000"/>
                <w:lang w:eastAsia="en-GB"/>
              </w:rPr>
              <w:t>Waheed</w:t>
            </w:r>
            <w:proofErr w:type="spellEnd"/>
            <w:r w:rsidRPr="00572724">
              <w:rPr>
                <w:rFonts w:ascii="Times New Roman" w:eastAsia="Times New Roman" w:hAnsi="Times New Roman" w:cs="Times New Roman"/>
                <w:color w:val="000000"/>
                <w:lang w:eastAsia="en-GB"/>
              </w:rPr>
              <w:t xml:space="preserve"> A.,</w:t>
            </w:r>
          </w:p>
        </w:tc>
        <w:tc>
          <w:tcPr>
            <w:tcW w:w="4940" w:type="dxa"/>
            <w:tcBorders>
              <w:top w:val="nil"/>
              <w:left w:val="nil"/>
              <w:bottom w:val="single" w:sz="4" w:space="0" w:color="auto"/>
              <w:right w:val="single" w:sz="4" w:space="0" w:color="auto"/>
            </w:tcBorders>
            <w:shd w:val="clear" w:color="auto" w:fill="auto"/>
            <w:vAlign w:val="bottom"/>
            <w:hideMark/>
          </w:tcPr>
          <w:p w14:paraId="22AADB3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Does the adaptation of climate-smart agricultural practices increase farmers’ resilience to climate change?</w:t>
            </w:r>
          </w:p>
        </w:tc>
        <w:tc>
          <w:tcPr>
            <w:tcW w:w="1240" w:type="dxa"/>
            <w:tcBorders>
              <w:top w:val="nil"/>
              <w:left w:val="nil"/>
              <w:bottom w:val="single" w:sz="4" w:space="0" w:color="auto"/>
              <w:right w:val="single" w:sz="4" w:space="0" w:color="auto"/>
            </w:tcBorders>
            <w:shd w:val="clear" w:color="auto" w:fill="auto"/>
            <w:vAlign w:val="bottom"/>
            <w:hideMark/>
          </w:tcPr>
          <w:p w14:paraId="0FA91CE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214881F9"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692757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Jezeer</w:t>
            </w:r>
            <w:proofErr w:type="spellEnd"/>
            <w:r w:rsidRPr="00572724">
              <w:rPr>
                <w:rFonts w:ascii="Times New Roman" w:eastAsia="Times New Roman" w:hAnsi="Times New Roman" w:cs="Times New Roman"/>
                <w:color w:val="000000"/>
                <w:lang w:eastAsia="en-GB"/>
              </w:rPr>
              <w:t xml:space="preserve"> R.E., Verweij P.A., Boot R.G.A., </w:t>
            </w:r>
            <w:proofErr w:type="spellStart"/>
            <w:r w:rsidRPr="00572724">
              <w:rPr>
                <w:rFonts w:ascii="Times New Roman" w:eastAsia="Times New Roman" w:hAnsi="Times New Roman" w:cs="Times New Roman"/>
                <w:color w:val="000000"/>
                <w:lang w:eastAsia="en-GB"/>
              </w:rPr>
              <w:t>Junginger</w:t>
            </w:r>
            <w:proofErr w:type="spellEnd"/>
            <w:r w:rsidRPr="00572724">
              <w:rPr>
                <w:rFonts w:ascii="Times New Roman" w:eastAsia="Times New Roman" w:hAnsi="Times New Roman" w:cs="Times New Roman"/>
                <w:color w:val="000000"/>
                <w:lang w:eastAsia="en-GB"/>
              </w:rPr>
              <w:t xml:space="preserve"> M., Santos M.J.,</w:t>
            </w:r>
          </w:p>
        </w:tc>
        <w:tc>
          <w:tcPr>
            <w:tcW w:w="4940" w:type="dxa"/>
            <w:tcBorders>
              <w:top w:val="nil"/>
              <w:left w:val="nil"/>
              <w:bottom w:val="single" w:sz="4" w:space="0" w:color="auto"/>
              <w:right w:val="single" w:sz="4" w:space="0" w:color="auto"/>
            </w:tcBorders>
            <w:shd w:val="clear" w:color="auto" w:fill="auto"/>
            <w:vAlign w:val="bottom"/>
            <w:hideMark/>
          </w:tcPr>
          <w:p w14:paraId="0BB04D4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Influence of livelihood assets, experienced shocks and perceived risks on smallholder coffee farming practices in Peru</w:t>
            </w:r>
          </w:p>
        </w:tc>
        <w:tc>
          <w:tcPr>
            <w:tcW w:w="1240" w:type="dxa"/>
            <w:tcBorders>
              <w:top w:val="nil"/>
              <w:left w:val="nil"/>
              <w:bottom w:val="single" w:sz="4" w:space="0" w:color="auto"/>
              <w:right w:val="single" w:sz="4" w:space="0" w:color="auto"/>
            </w:tcBorders>
            <w:shd w:val="clear" w:color="auto" w:fill="auto"/>
            <w:vAlign w:val="bottom"/>
            <w:hideMark/>
          </w:tcPr>
          <w:p w14:paraId="0590DBAF"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2019</w:t>
            </w:r>
          </w:p>
        </w:tc>
      </w:tr>
      <w:tr w:rsidR="00572724" w:rsidRPr="00572724" w14:paraId="422D4676"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5AEE62D"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r w:rsidRPr="00572724">
              <w:rPr>
                <w:rFonts w:ascii="Times New Roman" w:eastAsia="Times New Roman" w:hAnsi="Times New Roman" w:cs="Times New Roman"/>
                <w:color w:val="000000"/>
                <w:lang w:val="fr-FR" w:eastAsia="en-GB"/>
              </w:rPr>
              <w:t xml:space="preserve">Jiri O., </w:t>
            </w:r>
            <w:proofErr w:type="spellStart"/>
            <w:r w:rsidRPr="00572724">
              <w:rPr>
                <w:rFonts w:ascii="Times New Roman" w:eastAsia="Times New Roman" w:hAnsi="Times New Roman" w:cs="Times New Roman"/>
                <w:color w:val="000000"/>
                <w:lang w:val="fr-FR" w:eastAsia="en-GB"/>
              </w:rPr>
              <w:t>Mafongoya</w:t>
            </w:r>
            <w:proofErr w:type="spellEnd"/>
            <w:r w:rsidRPr="00572724">
              <w:rPr>
                <w:rFonts w:ascii="Times New Roman" w:eastAsia="Times New Roman" w:hAnsi="Times New Roman" w:cs="Times New Roman"/>
                <w:color w:val="000000"/>
                <w:lang w:val="fr-FR" w:eastAsia="en-GB"/>
              </w:rPr>
              <w:t xml:space="preserve"> P.L., </w:t>
            </w:r>
            <w:proofErr w:type="spellStart"/>
            <w:r w:rsidRPr="00572724">
              <w:rPr>
                <w:rFonts w:ascii="Times New Roman" w:eastAsia="Times New Roman" w:hAnsi="Times New Roman" w:cs="Times New Roman"/>
                <w:color w:val="000000"/>
                <w:lang w:val="fr-FR" w:eastAsia="en-GB"/>
              </w:rPr>
              <w:t>Chivenge</w:t>
            </w:r>
            <w:proofErr w:type="spellEnd"/>
            <w:r w:rsidRPr="00572724">
              <w:rPr>
                <w:rFonts w:ascii="Times New Roman" w:eastAsia="Times New Roman" w:hAnsi="Times New Roman" w:cs="Times New Roman"/>
                <w:color w:val="000000"/>
                <w:lang w:val="fr-FR" w:eastAsia="en-GB"/>
              </w:rPr>
              <w:t xml:space="preserve"> P.,</w:t>
            </w:r>
          </w:p>
        </w:tc>
        <w:tc>
          <w:tcPr>
            <w:tcW w:w="4940" w:type="dxa"/>
            <w:tcBorders>
              <w:top w:val="nil"/>
              <w:left w:val="nil"/>
              <w:bottom w:val="single" w:sz="4" w:space="0" w:color="auto"/>
              <w:right w:val="single" w:sz="4" w:space="0" w:color="auto"/>
            </w:tcBorders>
            <w:shd w:val="clear" w:color="auto" w:fill="auto"/>
            <w:vAlign w:val="bottom"/>
            <w:hideMark/>
          </w:tcPr>
          <w:p w14:paraId="51C1397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Building climate change resilience through adaptation in smallholder farming systems in semi-arid Zimbabwe</w:t>
            </w:r>
          </w:p>
        </w:tc>
        <w:tc>
          <w:tcPr>
            <w:tcW w:w="1240" w:type="dxa"/>
            <w:tcBorders>
              <w:top w:val="nil"/>
              <w:left w:val="nil"/>
              <w:bottom w:val="single" w:sz="4" w:space="0" w:color="auto"/>
              <w:right w:val="single" w:sz="4" w:space="0" w:color="auto"/>
            </w:tcBorders>
            <w:shd w:val="clear" w:color="auto" w:fill="auto"/>
            <w:vAlign w:val="bottom"/>
            <w:hideMark/>
          </w:tcPr>
          <w:p w14:paraId="7CC58FDF"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2017</w:t>
            </w:r>
          </w:p>
        </w:tc>
      </w:tr>
      <w:tr w:rsidR="00572724" w:rsidRPr="00572724" w14:paraId="44144B09"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DF4FEC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Joshi, B; Ji, WH; Joshi, NB</w:t>
            </w:r>
          </w:p>
        </w:tc>
        <w:tc>
          <w:tcPr>
            <w:tcW w:w="4940" w:type="dxa"/>
            <w:tcBorders>
              <w:top w:val="nil"/>
              <w:left w:val="nil"/>
              <w:bottom w:val="single" w:sz="4" w:space="0" w:color="auto"/>
              <w:right w:val="single" w:sz="4" w:space="0" w:color="auto"/>
            </w:tcBorders>
            <w:shd w:val="clear" w:color="auto" w:fill="auto"/>
            <w:vAlign w:val="bottom"/>
            <w:hideMark/>
          </w:tcPr>
          <w:p w14:paraId="1ADFC17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Farm households' perception on climate change and adaptation practices A case from mountain district of Nepal</w:t>
            </w:r>
          </w:p>
        </w:tc>
        <w:tc>
          <w:tcPr>
            <w:tcW w:w="1240" w:type="dxa"/>
            <w:tcBorders>
              <w:top w:val="nil"/>
              <w:left w:val="nil"/>
              <w:bottom w:val="single" w:sz="4" w:space="0" w:color="auto"/>
              <w:right w:val="single" w:sz="4" w:space="0" w:color="auto"/>
            </w:tcBorders>
            <w:shd w:val="clear" w:color="auto" w:fill="auto"/>
            <w:vAlign w:val="bottom"/>
            <w:hideMark/>
          </w:tcPr>
          <w:p w14:paraId="150D8E2F"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2017</w:t>
            </w:r>
          </w:p>
        </w:tc>
      </w:tr>
      <w:tr w:rsidR="00572724" w:rsidRPr="00572724" w14:paraId="29473906"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98F675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Kabir M.J., </w:t>
            </w:r>
            <w:proofErr w:type="spellStart"/>
            <w:r w:rsidRPr="00572724">
              <w:rPr>
                <w:rFonts w:ascii="Times New Roman" w:eastAsia="Times New Roman" w:hAnsi="Times New Roman" w:cs="Times New Roman"/>
                <w:color w:val="000000"/>
                <w:lang w:eastAsia="en-GB"/>
              </w:rPr>
              <w:t>Cramb</w:t>
            </w:r>
            <w:proofErr w:type="spellEnd"/>
            <w:r w:rsidRPr="00572724">
              <w:rPr>
                <w:rFonts w:ascii="Times New Roman" w:eastAsia="Times New Roman" w:hAnsi="Times New Roman" w:cs="Times New Roman"/>
                <w:color w:val="000000"/>
                <w:lang w:eastAsia="en-GB"/>
              </w:rPr>
              <w:t xml:space="preserve"> R., Gaydon D.S., Roth C.H.,</w:t>
            </w:r>
          </w:p>
        </w:tc>
        <w:tc>
          <w:tcPr>
            <w:tcW w:w="4940" w:type="dxa"/>
            <w:tcBorders>
              <w:top w:val="nil"/>
              <w:left w:val="nil"/>
              <w:bottom w:val="single" w:sz="4" w:space="0" w:color="auto"/>
              <w:right w:val="single" w:sz="4" w:space="0" w:color="auto"/>
            </w:tcBorders>
            <w:shd w:val="clear" w:color="auto" w:fill="auto"/>
            <w:vAlign w:val="bottom"/>
            <w:hideMark/>
          </w:tcPr>
          <w:p w14:paraId="6D7B807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Bio-economic evaluation of cropping systems for saline coastal Bangladesh: III Benefits of adaptation in current and future environments</w:t>
            </w:r>
          </w:p>
        </w:tc>
        <w:tc>
          <w:tcPr>
            <w:tcW w:w="1240" w:type="dxa"/>
            <w:tcBorders>
              <w:top w:val="nil"/>
              <w:left w:val="nil"/>
              <w:bottom w:val="single" w:sz="4" w:space="0" w:color="auto"/>
              <w:right w:val="single" w:sz="4" w:space="0" w:color="auto"/>
            </w:tcBorders>
            <w:shd w:val="clear" w:color="auto" w:fill="auto"/>
            <w:vAlign w:val="bottom"/>
            <w:hideMark/>
          </w:tcPr>
          <w:p w14:paraId="35FC409B"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4EBAC04B"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C63764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Kabir, J; </w:t>
            </w:r>
            <w:proofErr w:type="spellStart"/>
            <w:r w:rsidRPr="00572724">
              <w:rPr>
                <w:rFonts w:ascii="Times New Roman" w:eastAsia="Times New Roman" w:hAnsi="Times New Roman" w:cs="Times New Roman"/>
                <w:color w:val="000000"/>
                <w:lang w:eastAsia="en-GB"/>
              </w:rPr>
              <w:t>Cramb</w:t>
            </w:r>
            <w:proofErr w:type="spellEnd"/>
            <w:r w:rsidRPr="00572724">
              <w:rPr>
                <w:rFonts w:ascii="Times New Roman" w:eastAsia="Times New Roman" w:hAnsi="Times New Roman" w:cs="Times New Roman"/>
                <w:color w:val="000000"/>
                <w:lang w:eastAsia="en-GB"/>
              </w:rPr>
              <w:t xml:space="preserve">, R; </w:t>
            </w:r>
            <w:proofErr w:type="spellStart"/>
            <w:r w:rsidRPr="00572724">
              <w:rPr>
                <w:rFonts w:ascii="Times New Roman" w:eastAsia="Times New Roman" w:hAnsi="Times New Roman" w:cs="Times New Roman"/>
                <w:color w:val="000000"/>
                <w:lang w:eastAsia="en-GB"/>
              </w:rPr>
              <w:t>Alauddin</w:t>
            </w:r>
            <w:proofErr w:type="spellEnd"/>
            <w:r w:rsidRPr="00572724">
              <w:rPr>
                <w:rFonts w:ascii="Times New Roman" w:eastAsia="Times New Roman" w:hAnsi="Times New Roman" w:cs="Times New Roman"/>
                <w:color w:val="000000"/>
                <w:lang w:eastAsia="en-GB"/>
              </w:rPr>
              <w:t>, M; Gaydon, DS; Roth, CH</w:t>
            </w:r>
          </w:p>
        </w:tc>
        <w:tc>
          <w:tcPr>
            <w:tcW w:w="4940" w:type="dxa"/>
            <w:tcBorders>
              <w:top w:val="nil"/>
              <w:left w:val="nil"/>
              <w:bottom w:val="single" w:sz="4" w:space="0" w:color="auto"/>
              <w:right w:val="single" w:sz="4" w:space="0" w:color="auto"/>
            </w:tcBorders>
            <w:shd w:val="clear" w:color="auto" w:fill="auto"/>
            <w:vAlign w:val="bottom"/>
            <w:hideMark/>
          </w:tcPr>
          <w:p w14:paraId="7EBDF04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Farmers' perceptions and management of risk in rice/shrimp farming systems in South-West Coastal Bangladesh</w:t>
            </w:r>
          </w:p>
        </w:tc>
        <w:tc>
          <w:tcPr>
            <w:tcW w:w="1240" w:type="dxa"/>
            <w:tcBorders>
              <w:top w:val="nil"/>
              <w:left w:val="nil"/>
              <w:bottom w:val="single" w:sz="4" w:space="0" w:color="auto"/>
              <w:right w:val="single" w:sz="4" w:space="0" w:color="auto"/>
            </w:tcBorders>
            <w:shd w:val="clear" w:color="auto" w:fill="auto"/>
            <w:vAlign w:val="bottom"/>
            <w:hideMark/>
          </w:tcPr>
          <w:p w14:paraId="57B826F1"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08045C32"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D6FE7C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Kadigi I.L., </w:t>
            </w:r>
            <w:proofErr w:type="spellStart"/>
            <w:r w:rsidRPr="00572724">
              <w:rPr>
                <w:rFonts w:ascii="Times New Roman" w:eastAsia="Times New Roman" w:hAnsi="Times New Roman" w:cs="Times New Roman"/>
                <w:color w:val="000000"/>
                <w:lang w:eastAsia="en-GB"/>
              </w:rPr>
              <w:t>Mutabazi</w:t>
            </w:r>
            <w:proofErr w:type="spellEnd"/>
            <w:r w:rsidRPr="00572724">
              <w:rPr>
                <w:rFonts w:ascii="Times New Roman" w:eastAsia="Times New Roman" w:hAnsi="Times New Roman" w:cs="Times New Roman"/>
                <w:color w:val="000000"/>
                <w:lang w:eastAsia="en-GB"/>
              </w:rPr>
              <w:t xml:space="preserve"> K.D., Philip D., Richardson J.W., Bizimana J.-C., </w:t>
            </w:r>
            <w:proofErr w:type="spellStart"/>
            <w:r w:rsidRPr="00572724">
              <w:rPr>
                <w:rFonts w:ascii="Times New Roman" w:eastAsia="Times New Roman" w:hAnsi="Times New Roman" w:cs="Times New Roman"/>
                <w:color w:val="000000"/>
                <w:lang w:eastAsia="en-GB"/>
              </w:rPr>
              <w:t>Mbungu</w:t>
            </w:r>
            <w:proofErr w:type="spellEnd"/>
            <w:r w:rsidRPr="00572724">
              <w:rPr>
                <w:rFonts w:ascii="Times New Roman" w:eastAsia="Times New Roman" w:hAnsi="Times New Roman" w:cs="Times New Roman"/>
                <w:color w:val="000000"/>
                <w:lang w:eastAsia="en-GB"/>
              </w:rPr>
              <w:t xml:space="preserve"> W., </w:t>
            </w:r>
            <w:proofErr w:type="spellStart"/>
            <w:r w:rsidRPr="00572724">
              <w:rPr>
                <w:rFonts w:ascii="Times New Roman" w:eastAsia="Times New Roman" w:hAnsi="Times New Roman" w:cs="Times New Roman"/>
                <w:color w:val="000000"/>
                <w:lang w:eastAsia="en-GB"/>
              </w:rPr>
              <w:t>Mahoo</w:t>
            </w:r>
            <w:proofErr w:type="spellEnd"/>
            <w:r w:rsidRPr="00572724">
              <w:rPr>
                <w:rFonts w:ascii="Times New Roman" w:eastAsia="Times New Roman" w:hAnsi="Times New Roman" w:cs="Times New Roman"/>
                <w:color w:val="000000"/>
                <w:lang w:eastAsia="en-GB"/>
              </w:rPr>
              <w:t xml:space="preserve"> H.F., </w:t>
            </w:r>
            <w:proofErr w:type="spellStart"/>
            <w:r w:rsidRPr="00572724">
              <w:rPr>
                <w:rFonts w:ascii="Times New Roman" w:eastAsia="Times New Roman" w:hAnsi="Times New Roman" w:cs="Times New Roman"/>
                <w:color w:val="000000"/>
                <w:lang w:eastAsia="en-GB"/>
              </w:rPr>
              <w:t>Sieber</w:t>
            </w:r>
            <w:proofErr w:type="spellEnd"/>
            <w:r w:rsidRPr="00572724">
              <w:rPr>
                <w:rFonts w:ascii="Times New Roman" w:eastAsia="Times New Roman" w:hAnsi="Times New Roman" w:cs="Times New Roman"/>
                <w:color w:val="000000"/>
                <w:lang w:eastAsia="en-GB"/>
              </w:rPr>
              <w:t xml:space="preserve"> S.,</w:t>
            </w:r>
          </w:p>
        </w:tc>
        <w:tc>
          <w:tcPr>
            <w:tcW w:w="4940" w:type="dxa"/>
            <w:tcBorders>
              <w:top w:val="nil"/>
              <w:left w:val="nil"/>
              <w:bottom w:val="single" w:sz="4" w:space="0" w:color="auto"/>
              <w:right w:val="single" w:sz="4" w:space="0" w:color="auto"/>
            </w:tcBorders>
            <w:shd w:val="clear" w:color="auto" w:fill="auto"/>
            <w:vAlign w:val="bottom"/>
            <w:hideMark/>
          </w:tcPr>
          <w:p w14:paraId="791C3BD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An economic comparison between alternative rice farming systems in Tanzania using a monte </w:t>
            </w:r>
            <w:proofErr w:type="spellStart"/>
            <w:r w:rsidRPr="00572724">
              <w:rPr>
                <w:rFonts w:ascii="Times New Roman" w:eastAsia="Times New Roman" w:hAnsi="Times New Roman" w:cs="Times New Roman"/>
                <w:color w:val="000000"/>
                <w:lang w:eastAsia="en-GB"/>
              </w:rPr>
              <w:t>carlo</w:t>
            </w:r>
            <w:proofErr w:type="spellEnd"/>
            <w:r w:rsidRPr="00572724">
              <w:rPr>
                <w:rFonts w:ascii="Times New Roman" w:eastAsia="Times New Roman" w:hAnsi="Times New Roman" w:cs="Times New Roman"/>
                <w:color w:val="000000"/>
                <w:lang w:eastAsia="en-GB"/>
              </w:rPr>
              <w:t xml:space="preserve"> simulation approach</w:t>
            </w:r>
          </w:p>
        </w:tc>
        <w:tc>
          <w:tcPr>
            <w:tcW w:w="1240" w:type="dxa"/>
            <w:tcBorders>
              <w:top w:val="nil"/>
              <w:left w:val="nil"/>
              <w:bottom w:val="single" w:sz="4" w:space="0" w:color="auto"/>
              <w:right w:val="single" w:sz="4" w:space="0" w:color="auto"/>
            </w:tcBorders>
            <w:shd w:val="clear" w:color="auto" w:fill="auto"/>
            <w:vAlign w:val="bottom"/>
            <w:hideMark/>
          </w:tcPr>
          <w:p w14:paraId="4B2FE8D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1A2B5857"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A51A6B5"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Kalele</w:t>
            </w:r>
            <w:proofErr w:type="spellEnd"/>
            <w:r w:rsidRPr="00572724">
              <w:rPr>
                <w:rFonts w:ascii="Times New Roman" w:eastAsia="Times New Roman" w:hAnsi="Times New Roman" w:cs="Times New Roman"/>
                <w:color w:val="000000"/>
                <w:lang w:eastAsia="en-GB"/>
              </w:rPr>
              <w:t xml:space="preserve"> D.N.; </w:t>
            </w:r>
            <w:proofErr w:type="spellStart"/>
            <w:r w:rsidRPr="00572724">
              <w:rPr>
                <w:rFonts w:ascii="Times New Roman" w:eastAsia="Times New Roman" w:hAnsi="Times New Roman" w:cs="Times New Roman"/>
                <w:color w:val="000000"/>
                <w:lang w:eastAsia="en-GB"/>
              </w:rPr>
              <w:t>Ogara</w:t>
            </w:r>
            <w:proofErr w:type="spellEnd"/>
            <w:r w:rsidRPr="00572724">
              <w:rPr>
                <w:rFonts w:ascii="Times New Roman" w:eastAsia="Times New Roman" w:hAnsi="Times New Roman" w:cs="Times New Roman"/>
                <w:color w:val="000000"/>
                <w:lang w:eastAsia="en-GB"/>
              </w:rPr>
              <w:t xml:space="preserve"> W.O.; </w:t>
            </w:r>
            <w:proofErr w:type="spellStart"/>
            <w:r w:rsidRPr="00572724">
              <w:rPr>
                <w:rFonts w:ascii="Times New Roman" w:eastAsia="Times New Roman" w:hAnsi="Times New Roman" w:cs="Times New Roman"/>
                <w:color w:val="000000"/>
                <w:lang w:eastAsia="en-GB"/>
              </w:rPr>
              <w:t>Oludhe</w:t>
            </w:r>
            <w:proofErr w:type="spellEnd"/>
            <w:r w:rsidRPr="00572724">
              <w:rPr>
                <w:rFonts w:ascii="Times New Roman" w:eastAsia="Times New Roman" w:hAnsi="Times New Roman" w:cs="Times New Roman"/>
                <w:color w:val="000000"/>
                <w:lang w:eastAsia="en-GB"/>
              </w:rPr>
              <w:t xml:space="preserve"> C.; </w:t>
            </w:r>
            <w:proofErr w:type="spellStart"/>
            <w:r w:rsidRPr="00572724">
              <w:rPr>
                <w:rFonts w:ascii="Times New Roman" w:eastAsia="Times New Roman" w:hAnsi="Times New Roman" w:cs="Times New Roman"/>
                <w:color w:val="000000"/>
                <w:lang w:eastAsia="en-GB"/>
              </w:rPr>
              <w:t>Onono</w:t>
            </w:r>
            <w:proofErr w:type="spellEnd"/>
            <w:r w:rsidRPr="00572724">
              <w:rPr>
                <w:rFonts w:ascii="Times New Roman" w:eastAsia="Times New Roman" w:hAnsi="Times New Roman" w:cs="Times New Roman"/>
                <w:color w:val="000000"/>
                <w:lang w:eastAsia="en-GB"/>
              </w:rPr>
              <w:t xml:space="preserve"> J.O.</w:t>
            </w:r>
          </w:p>
        </w:tc>
        <w:tc>
          <w:tcPr>
            <w:tcW w:w="4940" w:type="dxa"/>
            <w:tcBorders>
              <w:top w:val="nil"/>
              <w:left w:val="nil"/>
              <w:bottom w:val="single" w:sz="4" w:space="0" w:color="auto"/>
              <w:right w:val="single" w:sz="4" w:space="0" w:color="auto"/>
            </w:tcBorders>
            <w:shd w:val="clear" w:color="auto" w:fill="auto"/>
            <w:vAlign w:val="bottom"/>
            <w:hideMark/>
          </w:tcPr>
          <w:p w14:paraId="19753E9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 impacts and relevance of smallholder farmers’ response in arid and semi-arid lands in Kenya</w:t>
            </w:r>
          </w:p>
        </w:tc>
        <w:tc>
          <w:tcPr>
            <w:tcW w:w="1240" w:type="dxa"/>
            <w:tcBorders>
              <w:top w:val="nil"/>
              <w:left w:val="nil"/>
              <w:bottom w:val="single" w:sz="4" w:space="0" w:color="auto"/>
              <w:right w:val="single" w:sz="4" w:space="0" w:color="auto"/>
            </w:tcBorders>
            <w:shd w:val="clear" w:color="auto" w:fill="auto"/>
            <w:noWrap/>
            <w:vAlign w:val="bottom"/>
            <w:hideMark/>
          </w:tcPr>
          <w:p w14:paraId="41EF736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12B073B5"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BE8C93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Kath J., Mushtaq S., Henry R., Adeyinka A., Stone R.,</w:t>
            </w:r>
          </w:p>
        </w:tc>
        <w:tc>
          <w:tcPr>
            <w:tcW w:w="4940" w:type="dxa"/>
            <w:tcBorders>
              <w:top w:val="nil"/>
              <w:left w:val="nil"/>
              <w:bottom w:val="single" w:sz="4" w:space="0" w:color="auto"/>
              <w:right w:val="single" w:sz="4" w:space="0" w:color="auto"/>
            </w:tcBorders>
            <w:shd w:val="clear" w:color="auto" w:fill="auto"/>
            <w:vAlign w:val="bottom"/>
            <w:hideMark/>
          </w:tcPr>
          <w:p w14:paraId="7C7CF58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Index insurance benefits agricultural producers exposed to excessive rainfall risk</w:t>
            </w:r>
          </w:p>
        </w:tc>
        <w:tc>
          <w:tcPr>
            <w:tcW w:w="1240" w:type="dxa"/>
            <w:tcBorders>
              <w:top w:val="nil"/>
              <w:left w:val="nil"/>
              <w:bottom w:val="single" w:sz="4" w:space="0" w:color="auto"/>
              <w:right w:val="single" w:sz="4" w:space="0" w:color="auto"/>
            </w:tcBorders>
            <w:shd w:val="clear" w:color="auto" w:fill="auto"/>
            <w:vAlign w:val="bottom"/>
            <w:hideMark/>
          </w:tcPr>
          <w:p w14:paraId="60E37FF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7822E62E"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653A5D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Keil A., Teufel N., Gunawan D., </w:t>
            </w:r>
            <w:proofErr w:type="spellStart"/>
            <w:r w:rsidRPr="00572724">
              <w:rPr>
                <w:rFonts w:ascii="Times New Roman" w:eastAsia="Times New Roman" w:hAnsi="Times New Roman" w:cs="Times New Roman"/>
                <w:color w:val="000000"/>
                <w:lang w:eastAsia="en-GB"/>
              </w:rPr>
              <w:t>Leemhuis</w:t>
            </w:r>
            <w:proofErr w:type="spellEnd"/>
            <w:r w:rsidRPr="00572724">
              <w:rPr>
                <w:rFonts w:ascii="Times New Roman" w:eastAsia="Times New Roman" w:hAnsi="Times New Roman" w:cs="Times New Roman"/>
                <w:color w:val="000000"/>
                <w:lang w:eastAsia="en-GB"/>
              </w:rPr>
              <w:t xml:space="preserve"> C.,</w:t>
            </w:r>
          </w:p>
        </w:tc>
        <w:tc>
          <w:tcPr>
            <w:tcW w:w="4940" w:type="dxa"/>
            <w:tcBorders>
              <w:top w:val="nil"/>
              <w:left w:val="nil"/>
              <w:bottom w:val="single" w:sz="4" w:space="0" w:color="auto"/>
              <w:right w:val="single" w:sz="4" w:space="0" w:color="auto"/>
            </w:tcBorders>
            <w:shd w:val="clear" w:color="auto" w:fill="auto"/>
            <w:vAlign w:val="bottom"/>
            <w:hideMark/>
          </w:tcPr>
          <w:p w14:paraId="220E271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Vulnerability of smallholder farmers to ENSO-related drought in Indonesia</w:t>
            </w:r>
          </w:p>
        </w:tc>
        <w:tc>
          <w:tcPr>
            <w:tcW w:w="1240" w:type="dxa"/>
            <w:tcBorders>
              <w:top w:val="nil"/>
              <w:left w:val="nil"/>
              <w:bottom w:val="single" w:sz="4" w:space="0" w:color="auto"/>
              <w:right w:val="single" w:sz="4" w:space="0" w:color="auto"/>
            </w:tcBorders>
            <w:shd w:val="clear" w:color="auto" w:fill="auto"/>
            <w:vAlign w:val="bottom"/>
            <w:hideMark/>
          </w:tcPr>
          <w:p w14:paraId="13FD5141"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2009</w:t>
            </w:r>
          </w:p>
        </w:tc>
      </w:tr>
      <w:tr w:rsidR="00572724" w:rsidRPr="00572724" w14:paraId="5AF16FFA"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DE55C0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lastRenderedPageBreak/>
              <w:t>Khan N.A.; Gong Z.; Shah A.A.</w:t>
            </w:r>
          </w:p>
        </w:tc>
        <w:tc>
          <w:tcPr>
            <w:tcW w:w="4940" w:type="dxa"/>
            <w:tcBorders>
              <w:top w:val="nil"/>
              <w:left w:val="nil"/>
              <w:bottom w:val="single" w:sz="4" w:space="0" w:color="auto"/>
              <w:right w:val="single" w:sz="4" w:space="0" w:color="auto"/>
            </w:tcBorders>
            <w:shd w:val="clear" w:color="auto" w:fill="auto"/>
            <w:vAlign w:val="bottom"/>
            <w:hideMark/>
          </w:tcPr>
          <w:p w14:paraId="1309944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Synergy between climate risk perception, adaptation responses, and agricultural productivity: the case of rice farming communities in Pakistan</w:t>
            </w:r>
          </w:p>
        </w:tc>
        <w:tc>
          <w:tcPr>
            <w:tcW w:w="1240" w:type="dxa"/>
            <w:tcBorders>
              <w:top w:val="nil"/>
              <w:left w:val="nil"/>
              <w:bottom w:val="single" w:sz="4" w:space="0" w:color="auto"/>
              <w:right w:val="single" w:sz="4" w:space="0" w:color="auto"/>
            </w:tcBorders>
            <w:shd w:val="clear" w:color="auto" w:fill="auto"/>
            <w:noWrap/>
            <w:vAlign w:val="bottom"/>
            <w:hideMark/>
          </w:tcPr>
          <w:p w14:paraId="718A1FC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72B9EE7D" w14:textId="77777777" w:rsidTr="00572724">
        <w:trPr>
          <w:trHeight w:val="1152"/>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B61B8A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Khan N.A.; Shah A.A.; Chowdhury A.; Tariq M.A.U.R.; </w:t>
            </w:r>
            <w:proofErr w:type="spellStart"/>
            <w:r w:rsidRPr="00572724">
              <w:rPr>
                <w:rFonts w:ascii="Times New Roman" w:eastAsia="Times New Roman" w:hAnsi="Times New Roman" w:cs="Times New Roman"/>
                <w:color w:val="000000"/>
                <w:lang w:eastAsia="en-GB"/>
              </w:rPr>
              <w:t>Khanal</w:t>
            </w:r>
            <w:proofErr w:type="spellEnd"/>
            <w:r w:rsidRPr="00572724">
              <w:rPr>
                <w:rFonts w:ascii="Times New Roman" w:eastAsia="Times New Roman" w:hAnsi="Times New Roman" w:cs="Times New Roman"/>
                <w:color w:val="000000"/>
                <w:lang w:eastAsia="en-GB"/>
              </w:rPr>
              <w:t xml:space="preserve"> U.</w:t>
            </w:r>
          </w:p>
        </w:tc>
        <w:tc>
          <w:tcPr>
            <w:tcW w:w="4940" w:type="dxa"/>
            <w:tcBorders>
              <w:top w:val="nil"/>
              <w:left w:val="nil"/>
              <w:bottom w:val="single" w:sz="4" w:space="0" w:color="auto"/>
              <w:right w:val="single" w:sz="4" w:space="0" w:color="auto"/>
            </w:tcBorders>
            <w:shd w:val="clear" w:color="auto" w:fill="auto"/>
            <w:vAlign w:val="bottom"/>
            <w:hideMark/>
          </w:tcPr>
          <w:p w14:paraId="6EF537D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Rice farmers’ perceptions about temperature and rainfall variations, respective adaptation measures, and determinants: Implications for sustainable farming systems</w:t>
            </w:r>
          </w:p>
        </w:tc>
        <w:tc>
          <w:tcPr>
            <w:tcW w:w="1240" w:type="dxa"/>
            <w:tcBorders>
              <w:top w:val="nil"/>
              <w:left w:val="nil"/>
              <w:bottom w:val="single" w:sz="4" w:space="0" w:color="auto"/>
              <w:right w:val="single" w:sz="4" w:space="0" w:color="auto"/>
            </w:tcBorders>
            <w:shd w:val="clear" w:color="auto" w:fill="auto"/>
            <w:noWrap/>
            <w:vAlign w:val="bottom"/>
            <w:hideMark/>
          </w:tcPr>
          <w:p w14:paraId="506CA31A"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0D1314B4"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1FF2DA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Khan, NA; Gao, QJ; Abid, M; Shah, AA</w:t>
            </w:r>
          </w:p>
        </w:tc>
        <w:tc>
          <w:tcPr>
            <w:tcW w:w="4940" w:type="dxa"/>
            <w:tcBorders>
              <w:top w:val="nil"/>
              <w:left w:val="nil"/>
              <w:bottom w:val="single" w:sz="4" w:space="0" w:color="auto"/>
              <w:right w:val="single" w:sz="4" w:space="0" w:color="auto"/>
            </w:tcBorders>
            <w:shd w:val="clear" w:color="auto" w:fill="auto"/>
            <w:vAlign w:val="bottom"/>
            <w:hideMark/>
          </w:tcPr>
          <w:p w14:paraId="1586CCB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Mapping farmers' vulnerability to climate change and its induced hazards: evidence from the rice-growing zones of Punjab, Pakistan</w:t>
            </w:r>
          </w:p>
        </w:tc>
        <w:tc>
          <w:tcPr>
            <w:tcW w:w="1240" w:type="dxa"/>
            <w:tcBorders>
              <w:top w:val="nil"/>
              <w:left w:val="nil"/>
              <w:bottom w:val="single" w:sz="4" w:space="0" w:color="auto"/>
              <w:right w:val="single" w:sz="4" w:space="0" w:color="auto"/>
            </w:tcBorders>
            <w:shd w:val="clear" w:color="auto" w:fill="auto"/>
            <w:vAlign w:val="bottom"/>
            <w:hideMark/>
          </w:tcPr>
          <w:p w14:paraId="6F683DAD"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06E5B5E0"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00E04C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Kmoch</w:t>
            </w:r>
            <w:proofErr w:type="spellEnd"/>
            <w:r w:rsidRPr="00572724">
              <w:rPr>
                <w:rFonts w:ascii="Times New Roman" w:eastAsia="Times New Roman" w:hAnsi="Times New Roman" w:cs="Times New Roman"/>
                <w:color w:val="000000"/>
                <w:lang w:eastAsia="en-GB"/>
              </w:rPr>
              <w:t xml:space="preserve"> L., </w:t>
            </w:r>
            <w:proofErr w:type="spellStart"/>
            <w:r w:rsidRPr="00572724">
              <w:rPr>
                <w:rFonts w:ascii="Times New Roman" w:eastAsia="Times New Roman" w:hAnsi="Times New Roman" w:cs="Times New Roman"/>
                <w:color w:val="000000"/>
                <w:lang w:eastAsia="en-GB"/>
              </w:rPr>
              <w:t>Pagella</w:t>
            </w:r>
            <w:proofErr w:type="spellEnd"/>
            <w:r w:rsidRPr="00572724">
              <w:rPr>
                <w:rFonts w:ascii="Times New Roman" w:eastAsia="Times New Roman" w:hAnsi="Times New Roman" w:cs="Times New Roman"/>
                <w:color w:val="000000"/>
                <w:lang w:eastAsia="en-GB"/>
              </w:rPr>
              <w:t xml:space="preserve"> T., Palm M., Sinclair F.,</w:t>
            </w:r>
          </w:p>
        </w:tc>
        <w:tc>
          <w:tcPr>
            <w:tcW w:w="4940" w:type="dxa"/>
            <w:tcBorders>
              <w:top w:val="nil"/>
              <w:left w:val="nil"/>
              <w:bottom w:val="single" w:sz="4" w:space="0" w:color="auto"/>
              <w:right w:val="single" w:sz="4" w:space="0" w:color="auto"/>
            </w:tcBorders>
            <w:shd w:val="clear" w:color="auto" w:fill="auto"/>
            <w:vAlign w:val="bottom"/>
            <w:hideMark/>
          </w:tcPr>
          <w:p w14:paraId="24DAE3E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Using local agroecological knowledge in climate change adaptation: A study of tree-based options in Northern Morocco</w:t>
            </w:r>
          </w:p>
        </w:tc>
        <w:tc>
          <w:tcPr>
            <w:tcW w:w="1240" w:type="dxa"/>
            <w:tcBorders>
              <w:top w:val="nil"/>
              <w:left w:val="nil"/>
              <w:bottom w:val="single" w:sz="4" w:space="0" w:color="auto"/>
              <w:right w:val="single" w:sz="4" w:space="0" w:color="auto"/>
            </w:tcBorders>
            <w:shd w:val="clear" w:color="auto" w:fill="auto"/>
            <w:vAlign w:val="bottom"/>
            <w:hideMark/>
          </w:tcPr>
          <w:p w14:paraId="7C66981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1A4BBF92"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57F0E3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Koch O.; </w:t>
            </w:r>
            <w:proofErr w:type="spellStart"/>
            <w:r w:rsidRPr="00572724">
              <w:rPr>
                <w:rFonts w:ascii="Times New Roman" w:eastAsia="Times New Roman" w:hAnsi="Times New Roman" w:cs="Times New Roman"/>
                <w:color w:val="000000"/>
                <w:lang w:eastAsia="en-GB"/>
              </w:rPr>
              <w:t>Ibisch</w:t>
            </w:r>
            <w:proofErr w:type="spellEnd"/>
            <w:r w:rsidRPr="00572724">
              <w:rPr>
                <w:rFonts w:ascii="Times New Roman" w:eastAsia="Times New Roman" w:hAnsi="Times New Roman" w:cs="Times New Roman"/>
                <w:color w:val="000000"/>
                <w:lang w:eastAsia="en-GB"/>
              </w:rPr>
              <w:t xml:space="preserve"> P.L.; Bloch R.</w:t>
            </w:r>
          </w:p>
        </w:tc>
        <w:tc>
          <w:tcPr>
            <w:tcW w:w="4940" w:type="dxa"/>
            <w:tcBorders>
              <w:top w:val="nil"/>
              <w:left w:val="nil"/>
              <w:bottom w:val="single" w:sz="4" w:space="0" w:color="auto"/>
              <w:right w:val="single" w:sz="4" w:space="0" w:color="auto"/>
            </w:tcBorders>
            <w:shd w:val="clear" w:color="auto" w:fill="auto"/>
            <w:vAlign w:val="bottom"/>
            <w:hideMark/>
          </w:tcPr>
          <w:p w14:paraId="66523F6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 and shifting land-use: Consequences for smallholder agroforestry systems and rural livelihoods in the southwest Ethiopian Highlands</w:t>
            </w:r>
          </w:p>
        </w:tc>
        <w:tc>
          <w:tcPr>
            <w:tcW w:w="1240" w:type="dxa"/>
            <w:tcBorders>
              <w:top w:val="nil"/>
              <w:left w:val="nil"/>
              <w:bottom w:val="single" w:sz="4" w:space="0" w:color="auto"/>
              <w:right w:val="single" w:sz="4" w:space="0" w:color="auto"/>
            </w:tcBorders>
            <w:shd w:val="clear" w:color="auto" w:fill="auto"/>
            <w:noWrap/>
            <w:vAlign w:val="bottom"/>
            <w:hideMark/>
          </w:tcPr>
          <w:p w14:paraId="7C566ACA"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1E0595AE"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701050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Komarek A.M., McDonald C.K., Bell L.W., Whish J.P.M., Robertson M.J., MacLeod N.D., Bellotti W.D.,</w:t>
            </w:r>
          </w:p>
        </w:tc>
        <w:tc>
          <w:tcPr>
            <w:tcW w:w="4940" w:type="dxa"/>
            <w:tcBorders>
              <w:top w:val="nil"/>
              <w:left w:val="nil"/>
              <w:bottom w:val="single" w:sz="4" w:space="0" w:color="auto"/>
              <w:right w:val="single" w:sz="4" w:space="0" w:color="auto"/>
            </w:tcBorders>
            <w:shd w:val="clear" w:color="auto" w:fill="auto"/>
            <w:vAlign w:val="bottom"/>
            <w:hideMark/>
          </w:tcPr>
          <w:p w14:paraId="2D29BD5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Whole-farm effects of livestock intensification in smallholder systems in Gansu, China</w:t>
            </w:r>
          </w:p>
        </w:tc>
        <w:tc>
          <w:tcPr>
            <w:tcW w:w="1240" w:type="dxa"/>
            <w:tcBorders>
              <w:top w:val="nil"/>
              <w:left w:val="nil"/>
              <w:bottom w:val="single" w:sz="4" w:space="0" w:color="auto"/>
              <w:right w:val="single" w:sz="4" w:space="0" w:color="auto"/>
            </w:tcBorders>
            <w:shd w:val="clear" w:color="auto" w:fill="auto"/>
            <w:vAlign w:val="bottom"/>
            <w:hideMark/>
          </w:tcPr>
          <w:p w14:paraId="3551CBD6"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2012</w:t>
            </w:r>
          </w:p>
        </w:tc>
      </w:tr>
      <w:tr w:rsidR="00572724" w:rsidRPr="00572724" w14:paraId="466BCD64"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74BEBE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Kozicka M., </w:t>
            </w:r>
            <w:proofErr w:type="spellStart"/>
            <w:r w:rsidRPr="00572724">
              <w:rPr>
                <w:rFonts w:ascii="Times New Roman" w:eastAsia="Times New Roman" w:hAnsi="Times New Roman" w:cs="Times New Roman"/>
                <w:color w:val="000000"/>
                <w:lang w:eastAsia="en-GB"/>
              </w:rPr>
              <w:t>Gotor</w:t>
            </w:r>
            <w:proofErr w:type="spellEnd"/>
            <w:r w:rsidRPr="00572724">
              <w:rPr>
                <w:rFonts w:ascii="Times New Roman" w:eastAsia="Times New Roman" w:hAnsi="Times New Roman" w:cs="Times New Roman"/>
                <w:color w:val="000000"/>
                <w:lang w:eastAsia="en-GB"/>
              </w:rPr>
              <w:t xml:space="preserve"> E., </w:t>
            </w:r>
            <w:proofErr w:type="spellStart"/>
            <w:r w:rsidRPr="00572724">
              <w:rPr>
                <w:rFonts w:ascii="Times New Roman" w:eastAsia="Times New Roman" w:hAnsi="Times New Roman" w:cs="Times New Roman"/>
                <w:color w:val="000000"/>
                <w:lang w:eastAsia="en-GB"/>
              </w:rPr>
              <w:t>Ocimati</w:t>
            </w:r>
            <w:proofErr w:type="spellEnd"/>
            <w:r w:rsidRPr="00572724">
              <w:rPr>
                <w:rFonts w:ascii="Times New Roman" w:eastAsia="Times New Roman" w:hAnsi="Times New Roman" w:cs="Times New Roman"/>
                <w:color w:val="000000"/>
                <w:lang w:eastAsia="en-GB"/>
              </w:rPr>
              <w:t xml:space="preserve"> W., de Jager T., </w:t>
            </w:r>
            <w:proofErr w:type="spellStart"/>
            <w:r w:rsidRPr="00572724">
              <w:rPr>
                <w:rFonts w:ascii="Times New Roman" w:eastAsia="Times New Roman" w:hAnsi="Times New Roman" w:cs="Times New Roman"/>
                <w:color w:val="000000"/>
                <w:lang w:eastAsia="en-GB"/>
              </w:rPr>
              <w:t>Kikulwe</w:t>
            </w:r>
            <w:proofErr w:type="spellEnd"/>
            <w:r w:rsidRPr="00572724">
              <w:rPr>
                <w:rFonts w:ascii="Times New Roman" w:eastAsia="Times New Roman" w:hAnsi="Times New Roman" w:cs="Times New Roman"/>
                <w:color w:val="000000"/>
                <w:lang w:eastAsia="en-GB"/>
              </w:rPr>
              <w:t xml:space="preserve"> E., Groot J.C.J.,</w:t>
            </w:r>
          </w:p>
        </w:tc>
        <w:tc>
          <w:tcPr>
            <w:tcW w:w="4940" w:type="dxa"/>
            <w:tcBorders>
              <w:top w:val="nil"/>
              <w:left w:val="nil"/>
              <w:bottom w:val="single" w:sz="4" w:space="0" w:color="auto"/>
              <w:right w:val="single" w:sz="4" w:space="0" w:color="auto"/>
            </w:tcBorders>
            <w:shd w:val="clear" w:color="auto" w:fill="auto"/>
            <w:vAlign w:val="bottom"/>
            <w:hideMark/>
          </w:tcPr>
          <w:p w14:paraId="16A5155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Responding to future regime shifts with agrobiodiversity: A multi-level perspective on small-scale farming in Uganda</w:t>
            </w:r>
          </w:p>
        </w:tc>
        <w:tc>
          <w:tcPr>
            <w:tcW w:w="1240" w:type="dxa"/>
            <w:tcBorders>
              <w:top w:val="nil"/>
              <w:left w:val="nil"/>
              <w:bottom w:val="single" w:sz="4" w:space="0" w:color="auto"/>
              <w:right w:val="single" w:sz="4" w:space="0" w:color="auto"/>
            </w:tcBorders>
            <w:shd w:val="clear" w:color="auto" w:fill="auto"/>
            <w:vAlign w:val="bottom"/>
            <w:hideMark/>
          </w:tcPr>
          <w:p w14:paraId="56318FF0"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6317529C"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0B3620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Kpenekuu</w:t>
            </w:r>
            <w:proofErr w:type="spellEnd"/>
            <w:r w:rsidRPr="00572724">
              <w:rPr>
                <w:rFonts w:ascii="Times New Roman" w:eastAsia="Times New Roman" w:hAnsi="Times New Roman" w:cs="Times New Roman"/>
                <w:color w:val="000000"/>
                <w:lang w:eastAsia="en-GB"/>
              </w:rPr>
              <w:t xml:space="preserve"> F.; </w:t>
            </w:r>
            <w:proofErr w:type="spellStart"/>
            <w:r w:rsidRPr="00572724">
              <w:rPr>
                <w:rFonts w:ascii="Times New Roman" w:eastAsia="Times New Roman" w:hAnsi="Times New Roman" w:cs="Times New Roman"/>
                <w:color w:val="000000"/>
                <w:lang w:eastAsia="en-GB"/>
              </w:rPr>
              <w:t>Antwi</w:t>
            </w:r>
            <w:proofErr w:type="spellEnd"/>
            <w:r w:rsidRPr="00572724">
              <w:rPr>
                <w:rFonts w:ascii="Times New Roman" w:eastAsia="Times New Roman" w:hAnsi="Times New Roman" w:cs="Times New Roman"/>
                <w:color w:val="000000"/>
                <w:lang w:eastAsia="en-GB"/>
              </w:rPr>
              <w:t xml:space="preserve">-Agyei P.; </w:t>
            </w:r>
            <w:proofErr w:type="spellStart"/>
            <w:r w:rsidRPr="00572724">
              <w:rPr>
                <w:rFonts w:ascii="Times New Roman" w:eastAsia="Times New Roman" w:hAnsi="Times New Roman" w:cs="Times New Roman"/>
                <w:color w:val="000000"/>
                <w:lang w:eastAsia="en-GB"/>
              </w:rPr>
              <w:t>Nimoh</w:t>
            </w:r>
            <w:proofErr w:type="spellEnd"/>
            <w:r w:rsidRPr="00572724">
              <w:rPr>
                <w:rFonts w:ascii="Times New Roman" w:eastAsia="Times New Roman" w:hAnsi="Times New Roman" w:cs="Times New Roman"/>
                <w:color w:val="000000"/>
                <w:lang w:eastAsia="en-GB"/>
              </w:rPr>
              <w:t xml:space="preserve"> F.; Osei M.A.; </w:t>
            </w:r>
            <w:proofErr w:type="spellStart"/>
            <w:r w:rsidRPr="00572724">
              <w:rPr>
                <w:rFonts w:ascii="Times New Roman" w:eastAsia="Times New Roman" w:hAnsi="Times New Roman" w:cs="Times New Roman"/>
                <w:color w:val="000000"/>
                <w:lang w:eastAsia="en-GB"/>
              </w:rPr>
              <w:t>Guodaar</w:t>
            </w:r>
            <w:proofErr w:type="spellEnd"/>
            <w:r w:rsidRPr="00572724">
              <w:rPr>
                <w:rFonts w:ascii="Times New Roman" w:eastAsia="Times New Roman" w:hAnsi="Times New Roman" w:cs="Times New Roman"/>
                <w:color w:val="000000"/>
                <w:lang w:eastAsia="en-GB"/>
              </w:rPr>
              <w:t xml:space="preserve"> L.</w:t>
            </w:r>
          </w:p>
        </w:tc>
        <w:tc>
          <w:tcPr>
            <w:tcW w:w="4940" w:type="dxa"/>
            <w:tcBorders>
              <w:top w:val="nil"/>
              <w:left w:val="nil"/>
              <w:bottom w:val="single" w:sz="4" w:space="0" w:color="auto"/>
              <w:right w:val="single" w:sz="4" w:space="0" w:color="auto"/>
            </w:tcBorders>
            <w:shd w:val="clear" w:color="auto" w:fill="auto"/>
            <w:vAlign w:val="bottom"/>
            <w:hideMark/>
          </w:tcPr>
          <w:p w14:paraId="6CC555B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Understanding drought risk management in vulnerable communities in dryland farming systems: Evidence from northwest Ghana</w:t>
            </w:r>
          </w:p>
        </w:tc>
        <w:tc>
          <w:tcPr>
            <w:tcW w:w="1240" w:type="dxa"/>
            <w:tcBorders>
              <w:top w:val="nil"/>
              <w:left w:val="nil"/>
              <w:bottom w:val="single" w:sz="4" w:space="0" w:color="auto"/>
              <w:right w:val="single" w:sz="4" w:space="0" w:color="auto"/>
            </w:tcBorders>
            <w:shd w:val="clear" w:color="auto" w:fill="auto"/>
            <w:noWrap/>
            <w:vAlign w:val="bottom"/>
            <w:hideMark/>
          </w:tcPr>
          <w:p w14:paraId="6975B11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10A300ED"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0C91EA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Kuchimanchi</w:t>
            </w:r>
            <w:proofErr w:type="spellEnd"/>
            <w:r w:rsidRPr="00572724">
              <w:rPr>
                <w:rFonts w:ascii="Times New Roman" w:eastAsia="Times New Roman" w:hAnsi="Times New Roman" w:cs="Times New Roman"/>
                <w:color w:val="000000"/>
                <w:lang w:eastAsia="en-GB"/>
              </w:rPr>
              <w:t xml:space="preserve">, BR; van </w:t>
            </w:r>
            <w:proofErr w:type="spellStart"/>
            <w:r w:rsidRPr="00572724">
              <w:rPr>
                <w:rFonts w:ascii="Times New Roman" w:eastAsia="Times New Roman" w:hAnsi="Times New Roman" w:cs="Times New Roman"/>
                <w:color w:val="000000"/>
                <w:lang w:eastAsia="en-GB"/>
              </w:rPr>
              <w:t>Paassen</w:t>
            </w:r>
            <w:proofErr w:type="spellEnd"/>
            <w:r w:rsidRPr="00572724">
              <w:rPr>
                <w:rFonts w:ascii="Times New Roman" w:eastAsia="Times New Roman" w:hAnsi="Times New Roman" w:cs="Times New Roman"/>
                <w:color w:val="000000"/>
                <w:lang w:eastAsia="en-GB"/>
              </w:rPr>
              <w:t xml:space="preserve">, A; </w:t>
            </w:r>
            <w:proofErr w:type="spellStart"/>
            <w:r w:rsidRPr="00572724">
              <w:rPr>
                <w:rFonts w:ascii="Times New Roman" w:eastAsia="Times New Roman" w:hAnsi="Times New Roman" w:cs="Times New Roman"/>
                <w:color w:val="000000"/>
                <w:lang w:eastAsia="en-GB"/>
              </w:rPr>
              <w:t>Oosting</w:t>
            </w:r>
            <w:proofErr w:type="spellEnd"/>
            <w:r w:rsidRPr="00572724">
              <w:rPr>
                <w:rFonts w:ascii="Times New Roman" w:eastAsia="Times New Roman" w:hAnsi="Times New Roman" w:cs="Times New Roman"/>
                <w:color w:val="000000"/>
                <w:lang w:eastAsia="en-GB"/>
              </w:rPr>
              <w:t>, SJ</w:t>
            </w:r>
          </w:p>
        </w:tc>
        <w:tc>
          <w:tcPr>
            <w:tcW w:w="4940" w:type="dxa"/>
            <w:tcBorders>
              <w:top w:val="nil"/>
              <w:left w:val="nil"/>
              <w:bottom w:val="single" w:sz="4" w:space="0" w:color="auto"/>
              <w:right w:val="single" w:sz="4" w:space="0" w:color="auto"/>
            </w:tcBorders>
            <w:shd w:val="clear" w:color="auto" w:fill="auto"/>
            <w:vAlign w:val="bottom"/>
            <w:hideMark/>
          </w:tcPr>
          <w:p w14:paraId="0EAA1A2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Understanding the vulnerability, farming strategies and development pathways of smallholder farming systems in Telangana, India</w:t>
            </w:r>
          </w:p>
        </w:tc>
        <w:tc>
          <w:tcPr>
            <w:tcW w:w="1240" w:type="dxa"/>
            <w:tcBorders>
              <w:top w:val="nil"/>
              <w:left w:val="nil"/>
              <w:bottom w:val="single" w:sz="4" w:space="0" w:color="auto"/>
              <w:right w:val="single" w:sz="4" w:space="0" w:color="auto"/>
            </w:tcBorders>
            <w:shd w:val="clear" w:color="auto" w:fill="auto"/>
            <w:vAlign w:val="bottom"/>
            <w:hideMark/>
          </w:tcPr>
          <w:p w14:paraId="2EB92A92"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53B0B750"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8674E6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lastRenderedPageBreak/>
              <w:t xml:space="preserve">Kumar P.; </w:t>
            </w:r>
            <w:proofErr w:type="spellStart"/>
            <w:r w:rsidRPr="00572724">
              <w:rPr>
                <w:rFonts w:ascii="Times New Roman" w:eastAsia="Times New Roman" w:hAnsi="Times New Roman" w:cs="Times New Roman"/>
                <w:color w:val="000000"/>
                <w:lang w:eastAsia="en-GB"/>
              </w:rPr>
              <w:t>Fürst</w:t>
            </w:r>
            <w:proofErr w:type="spellEnd"/>
            <w:r w:rsidRPr="00572724">
              <w:rPr>
                <w:rFonts w:ascii="Times New Roman" w:eastAsia="Times New Roman" w:hAnsi="Times New Roman" w:cs="Times New Roman"/>
                <w:color w:val="000000"/>
                <w:lang w:eastAsia="en-GB"/>
              </w:rPr>
              <w:t xml:space="preserve"> C.; Joshi P.K.</w:t>
            </w:r>
          </w:p>
        </w:tc>
        <w:tc>
          <w:tcPr>
            <w:tcW w:w="4940" w:type="dxa"/>
            <w:tcBorders>
              <w:top w:val="nil"/>
              <w:left w:val="nil"/>
              <w:bottom w:val="single" w:sz="4" w:space="0" w:color="auto"/>
              <w:right w:val="single" w:sz="4" w:space="0" w:color="auto"/>
            </w:tcBorders>
            <w:shd w:val="clear" w:color="auto" w:fill="auto"/>
            <w:vAlign w:val="bottom"/>
            <w:hideMark/>
          </w:tcPr>
          <w:p w14:paraId="0E388CA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Differentiated socio-ecological system approach for vulnerability and adaptation assessment in the Central Himalaya</w:t>
            </w:r>
          </w:p>
        </w:tc>
        <w:tc>
          <w:tcPr>
            <w:tcW w:w="1240" w:type="dxa"/>
            <w:tcBorders>
              <w:top w:val="nil"/>
              <w:left w:val="nil"/>
              <w:bottom w:val="single" w:sz="4" w:space="0" w:color="auto"/>
              <w:right w:val="single" w:sz="4" w:space="0" w:color="auto"/>
            </w:tcBorders>
            <w:shd w:val="clear" w:color="auto" w:fill="auto"/>
            <w:noWrap/>
            <w:vAlign w:val="bottom"/>
            <w:hideMark/>
          </w:tcPr>
          <w:p w14:paraId="2A77DEF2"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36BB1F03" w14:textId="77777777" w:rsidTr="00572724">
        <w:trPr>
          <w:trHeight w:val="1152"/>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D756A4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Le Goff U.; Sander A.; </w:t>
            </w:r>
            <w:proofErr w:type="spellStart"/>
            <w:r w:rsidRPr="00572724">
              <w:rPr>
                <w:rFonts w:ascii="Times New Roman" w:eastAsia="Times New Roman" w:hAnsi="Times New Roman" w:cs="Times New Roman"/>
                <w:color w:val="000000"/>
                <w:lang w:eastAsia="en-GB"/>
              </w:rPr>
              <w:t>Lagana</w:t>
            </w:r>
            <w:proofErr w:type="spellEnd"/>
            <w:r w:rsidRPr="00572724">
              <w:rPr>
                <w:rFonts w:ascii="Times New Roman" w:eastAsia="Times New Roman" w:hAnsi="Times New Roman" w:cs="Times New Roman"/>
                <w:color w:val="000000"/>
                <w:lang w:eastAsia="en-GB"/>
              </w:rPr>
              <w:t xml:space="preserve"> M.H.; </w:t>
            </w:r>
            <w:proofErr w:type="spellStart"/>
            <w:r w:rsidRPr="00572724">
              <w:rPr>
                <w:rFonts w:ascii="Times New Roman" w:eastAsia="Times New Roman" w:hAnsi="Times New Roman" w:cs="Times New Roman"/>
                <w:color w:val="000000"/>
                <w:lang w:eastAsia="en-GB"/>
              </w:rPr>
              <w:t>Barjolle</w:t>
            </w:r>
            <w:proofErr w:type="spellEnd"/>
            <w:r w:rsidRPr="00572724">
              <w:rPr>
                <w:rFonts w:ascii="Times New Roman" w:eastAsia="Times New Roman" w:hAnsi="Times New Roman" w:cs="Times New Roman"/>
                <w:color w:val="000000"/>
                <w:lang w:eastAsia="en-GB"/>
              </w:rPr>
              <w:t xml:space="preserve"> D.; Phillips S.; Six J.</w:t>
            </w:r>
          </w:p>
        </w:tc>
        <w:tc>
          <w:tcPr>
            <w:tcW w:w="4940" w:type="dxa"/>
            <w:tcBorders>
              <w:top w:val="nil"/>
              <w:left w:val="nil"/>
              <w:bottom w:val="single" w:sz="4" w:space="0" w:color="auto"/>
              <w:right w:val="single" w:sz="4" w:space="0" w:color="auto"/>
            </w:tcBorders>
            <w:shd w:val="clear" w:color="auto" w:fill="auto"/>
            <w:vAlign w:val="bottom"/>
            <w:hideMark/>
          </w:tcPr>
          <w:p w14:paraId="5C7A128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Raising up to the climate challenge - Understanding and assessing farmers’ strategies to build their resilience. A comparative analysis between Ugandan and Swiss farmers</w:t>
            </w:r>
          </w:p>
        </w:tc>
        <w:tc>
          <w:tcPr>
            <w:tcW w:w="1240" w:type="dxa"/>
            <w:tcBorders>
              <w:top w:val="nil"/>
              <w:left w:val="nil"/>
              <w:bottom w:val="single" w:sz="4" w:space="0" w:color="auto"/>
              <w:right w:val="single" w:sz="4" w:space="0" w:color="auto"/>
            </w:tcBorders>
            <w:shd w:val="clear" w:color="auto" w:fill="auto"/>
            <w:noWrap/>
            <w:vAlign w:val="bottom"/>
            <w:hideMark/>
          </w:tcPr>
          <w:p w14:paraId="5226D4B6"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563CB65D"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3A1883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Lehmann N., Briner S., Finger R.,</w:t>
            </w:r>
          </w:p>
        </w:tc>
        <w:tc>
          <w:tcPr>
            <w:tcW w:w="4940" w:type="dxa"/>
            <w:tcBorders>
              <w:top w:val="nil"/>
              <w:left w:val="nil"/>
              <w:bottom w:val="single" w:sz="4" w:space="0" w:color="auto"/>
              <w:right w:val="single" w:sz="4" w:space="0" w:color="auto"/>
            </w:tcBorders>
            <w:shd w:val="clear" w:color="auto" w:fill="auto"/>
            <w:vAlign w:val="bottom"/>
            <w:hideMark/>
          </w:tcPr>
          <w:p w14:paraId="26F35C75"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The impact of climate and price risks on agricultural land use and crop management decisions</w:t>
            </w:r>
          </w:p>
        </w:tc>
        <w:tc>
          <w:tcPr>
            <w:tcW w:w="1240" w:type="dxa"/>
            <w:tcBorders>
              <w:top w:val="nil"/>
              <w:left w:val="nil"/>
              <w:bottom w:val="single" w:sz="4" w:space="0" w:color="auto"/>
              <w:right w:val="single" w:sz="4" w:space="0" w:color="auto"/>
            </w:tcBorders>
            <w:shd w:val="clear" w:color="auto" w:fill="auto"/>
            <w:vAlign w:val="bottom"/>
            <w:hideMark/>
          </w:tcPr>
          <w:p w14:paraId="612EAA00"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2013</w:t>
            </w:r>
          </w:p>
        </w:tc>
      </w:tr>
      <w:tr w:rsidR="00572724" w:rsidRPr="00572724" w14:paraId="234FBAB9"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22CEAF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Lei Y., Wang J., Yue Y., Yin Y., Sheng Z.,</w:t>
            </w:r>
          </w:p>
        </w:tc>
        <w:tc>
          <w:tcPr>
            <w:tcW w:w="4940" w:type="dxa"/>
            <w:tcBorders>
              <w:top w:val="nil"/>
              <w:left w:val="nil"/>
              <w:bottom w:val="single" w:sz="4" w:space="0" w:color="auto"/>
              <w:right w:val="single" w:sz="4" w:space="0" w:color="auto"/>
            </w:tcBorders>
            <w:shd w:val="clear" w:color="auto" w:fill="auto"/>
            <w:vAlign w:val="bottom"/>
            <w:hideMark/>
          </w:tcPr>
          <w:p w14:paraId="404010F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How adjustments in land use patterns contribute to drought risk adaptation in a changing climate-A case study in China</w:t>
            </w:r>
          </w:p>
        </w:tc>
        <w:tc>
          <w:tcPr>
            <w:tcW w:w="1240" w:type="dxa"/>
            <w:tcBorders>
              <w:top w:val="nil"/>
              <w:left w:val="nil"/>
              <w:bottom w:val="single" w:sz="4" w:space="0" w:color="auto"/>
              <w:right w:val="single" w:sz="4" w:space="0" w:color="auto"/>
            </w:tcBorders>
            <w:shd w:val="clear" w:color="auto" w:fill="auto"/>
            <w:vAlign w:val="bottom"/>
            <w:hideMark/>
          </w:tcPr>
          <w:p w14:paraId="74D826A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2014</w:t>
            </w:r>
          </w:p>
        </w:tc>
      </w:tr>
      <w:tr w:rsidR="00572724" w:rsidRPr="00572724" w14:paraId="03D9D663"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4BB0DF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Lopez-Ridaura S., </w:t>
            </w:r>
            <w:proofErr w:type="spellStart"/>
            <w:r w:rsidRPr="00572724">
              <w:rPr>
                <w:rFonts w:ascii="Times New Roman" w:eastAsia="Times New Roman" w:hAnsi="Times New Roman" w:cs="Times New Roman"/>
                <w:color w:val="000000"/>
                <w:lang w:eastAsia="en-GB"/>
              </w:rPr>
              <w:t>Frelat</w:t>
            </w:r>
            <w:proofErr w:type="spellEnd"/>
            <w:r w:rsidRPr="00572724">
              <w:rPr>
                <w:rFonts w:ascii="Times New Roman" w:eastAsia="Times New Roman" w:hAnsi="Times New Roman" w:cs="Times New Roman"/>
                <w:color w:val="000000"/>
                <w:lang w:eastAsia="en-GB"/>
              </w:rPr>
              <w:t xml:space="preserve"> R., van Wijk M.T., Valbuena D., </w:t>
            </w:r>
            <w:proofErr w:type="spellStart"/>
            <w:r w:rsidRPr="00572724">
              <w:rPr>
                <w:rFonts w:ascii="Times New Roman" w:eastAsia="Times New Roman" w:hAnsi="Times New Roman" w:cs="Times New Roman"/>
                <w:color w:val="000000"/>
                <w:lang w:eastAsia="en-GB"/>
              </w:rPr>
              <w:t>Krupnik</w:t>
            </w:r>
            <w:proofErr w:type="spellEnd"/>
            <w:r w:rsidRPr="00572724">
              <w:rPr>
                <w:rFonts w:ascii="Times New Roman" w:eastAsia="Times New Roman" w:hAnsi="Times New Roman" w:cs="Times New Roman"/>
                <w:color w:val="000000"/>
                <w:lang w:eastAsia="en-GB"/>
              </w:rPr>
              <w:t xml:space="preserve"> T.J., Jat M.L.,</w:t>
            </w:r>
          </w:p>
        </w:tc>
        <w:tc>
          <w:tcPr>
            <w:tcW w:w="4940" w:type="dxa"/>
            <w:tcBorders>
              <w:top w:val="nil"/>
              <w:left w:val="nil"/>
              <w:bottom w:val="single" w:sz="4" w:space="0" w:color="auto"/>
              <w:right w:val="single" w:sz="4" w:space="0" w:color="auto"/>
            </w:tcBorders>
            <w:shd w:val="clear" w:color="auto" w:fill="auto"/>
            <w:vAlign w:val="bottom"/>
            <w:hideMark/>
          </w:tcPr>
          <w:p w14:paraId="5713B6D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smart agriculture, farm household typologies and food security: An ex-ante assessment from Eastern India</w:t>
            </w:r>
          </w:p>
        </w:tc>
        <w:tc>
          <w:tcPr>
            <w:tcW w:w="1240" w:type="dxa"/>
            <w:tcBorders>
              <w:top w:val="nil"/>
              <w:left w:val="nil"/>
              <w:bottom w:val="single" w:sz="4" w:space="0" w:color="auto"/>
              <w:right w:val="single" w:sz="4" w:space="0" w:color="auto"/>
            </w:tcBorders>
            <w:shd w:val="clear" w:color="auto" w:fill="auto"/>
            <w:vAlign w:val="bottom"/>
            <w:hideMark/>
          </w:tcPr>
          <w:p w14:paraId="2A5B18F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60DCDF13"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70243D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Lurette, A; </w:t>
            </w:r>
            <w:proofErr w:type="spellStart"/>
            <w:r w:rsidRPr="00572724">
              <w:rPr>
                <w:rFonts w:ascii="Times New Roman" w:eastAsia="Times New Roman" w:hAnsi="Times New Roman" w:cs="Times New Roman"/>
                <w:color w:val="000000"/>
                <w:lang w:eastAsia="en-GB"/>
              </w:rPr>
              <w:t>Aubron</w:t>
            </w:r>
            <w:proofErr w:type="spellEnd"/>
            <w:r w:rsidRPr="00572724">
              <w:rPr>
                <w:rFonts w:ascii="Times New Roman" w:eastAsia="Times New Roman" w:hAnsi="Times New Roman" w:cs="Times New Roman"/>
                <w:color w:val="000000"/>
                <w:lang w:eastAsia="en-GB"/>
              </w:rPr>
              <w:t>, C; Moulin, CH</w:t>
            </w:r>
          </w:p>
        </w:tc>
        <w:tc>
          <w:tcPr>
            <w:tcW w:w="4940" w:type="dxa"/>
            <w:tcBorders>
              <w:top w:val="nil"/>
              <w:left w:val="nil"/>
              <w:bottom w:val="single" w:sz="4" w:space="0" w:color="auto"/>
              <w:right w:val="single" w:sz="4" w:space="0" w:color="auto"/>
            </w:tcBorders>
            <w:shd w:val="clear" w:color="auto" w:fill="auto"/>
            <w:vAlign w:val="bottom"/>
            <w:hideMark/>
          </w:tcPr>
          <w:p w14:paraId="0CF191E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 simple model to assess the sensitivity of grassland dairy systems to scenarios of seasonal biomass production variability</w:t>
            </w:r>
          </w:p>
        </w:tc>
        <w:tc>
          <w:tcPr>
            <w:tcW w:w="1240" w:type="dxa"/>
            <w:tcBorders>
              <w:top w:val="nil"/>
              <w:left w:val="nil"/>
              <w:bottom w:val="single" w:sz="4" w:space="0" w:color="auto"/>
              <w:right w:val="single" w:sz="4" w:space="0" w:color="auto"/>
            </w:tcBorders>
            <w:shd w:val="clear" w:color="auto" w:fill="auto"/>
            <w:vAlign w:val="bottom"/>
            <w:hideMark/>
          </w:tcPr>
          <w:p w14:paraId="2A7836D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2013</w:t>
            </w:r>
          </w:p>
        </w:tc>
      </w:tr>
      <w:tr w:rsidR="00572724" w:rsidRPr="00572724" w14:paraId="6FBB7C5D"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466B73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Maggio G.; </w:t>
            </w:r>
            <w:proofErr w:type="spellStart"/>
            <w:r w:rsidRPr="00572724">
              <w:rPr>
                <w:rFonts w:ascii="Times New Roman" w:eastAsia="Times New Roman" w:hAnsi="Times New Roman" w:cs="Times New Roman"/>
                <w:color w:val="000000"/>
                <w:lang w:eastAsia="en-GB"/>
              </w:rPr>
              <w:t>Mastrorillo</w:t>
            </w:r>
            <w:proofErr w:type="spellEnd"/>
            <w:r w:rsidRPr="00572724">
              <w:rPr>
                <w:rFonts w:ascii="Times New Roman" w:eastAsia="Times New Roman" w:hAnsi="Times New Roman" w:cs="Times New Roman"/>
                <w:color w:val="000000"/>
                <w:lang w:eastAsia="en-GB"/>
              </w:rPr>
              <w:t xml:space="preserve"> M.; </w:t>
            </w:r>
            <w:proofErr w:type="spellStart"/>
            <w:r w:rsidRPr="00572724">
              <w:rPr>
                <w:rFonts w:ascii="Times New Roman" w:eastAsia="Times New Roman" w:hAnsi="Times New Roman" w:cs="Times New Roman"/>
                <w:color w:val="000000"/>
                <w:lang w:eastAsia="en-GB"/>
              </w:rPr>
              <w:t>Sitko</w:t>
            </w:r>
            <w:proofErr w:type="spellEnd"/>
            <w:r w:rsidRPr="00572724">
              <w:rPr>
                <w:rFonts w:ascii="Times New Roman" w:eastAsia="Times New Roman" w:hAnsi="Times New Roman" w:cs="Times New Roman"/>
                <w:color w:val="000000"/>
                <w:lang w:eastAsia="en-GB"/>
              </w:rPr>
              <w:t xml:space="preserve"> N.J.</w:t>
            </w:r>
          </w:p>
        </w:tc>
        <w:tc>
          <w:tcPr>
            <w:tcW w:w="4940" w:type="dxa"/>
            <w:tcBorders>
              <w:top w:val="nil"/>
              <w:left w:val="nil"/>
              <w:bottom w:val="single" w:sz="4" w:space="0" w:color="auto"/>
              <w:right w:val="single" w:sz="4" w:space="0" w:color="auto"/>
            </w:tcBorders>
            <w:shd w:val="clear" w:color="auto" w:fill="auto"/>
            <w:vAlign w:val="bottom"/>
            <w:hideMark/>
          </w:tcPr>
          <w:p w14:paraId="4390891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Adapting to High Temperatures: Effect of Farm Practices and Their Adoption Duration on Total Value of Crop Production in Uganda</w:t>
            </w:r>
          </w:p>
        </w:tc>
        <w:tc>
          <w:tcPr>
            <w:tcW w:w="1240" w:type="dxa"/>
            <w:tcBorders>
              <w:top w:val="nil"/>
              <w:left w:val="nil"/>
              <w:bottom w:val="single" w:sz="4" w:space="0" w:color="auto"/>
              <w:right w:val="single" w:sz="4" w:space="0" w:color="auto"/>
            </w:tcBorders>
            <w:shd w:val="clear" w:color="auto" w:fill="auto"/>
            <w:noWrap/>
            <w:vAlign w:val="bottom"/>
            <w:hideMark/>
          </w:tcPr>
          <w:p w14:paraId="1AE8CADF"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50F2A458"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69EF43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Mahmood F., </w:t>
            </w:r>
            <w:proofErr w:type="spellStart"/>
            <w:r w:rsidRPr="00572724">
              <w:rPr>
                <w:rFonts w:ascii="Times New Roman" w:eastAsia="Times New Roman" w:hAnsi="Times New Roman" w:cs="Times New Roman"/>
                <w:color w:val="000000"/>
                <w:lang w:eastAsia="en-GB"/>
              </w:rPr>
              <w:t>Belhouchette</w:t>
            </w:r>
            <w:proofErr w:type="spellEnd"/>
            <w:r w:rsidRPr="00572724">
              <w:rPr>
                <w:rFonts w:ascii="Times New Roman" w:eastAsia="Times New Roman" w:hAnsi="Times New Roman" w:cs="Times New Roman"/>
                <w:color w:val="000000"/>
                <w:lang w:eastAsia="en-GB"/>
              </w:rPr>
              <w:t xml:space="preserve"> H., Nasim W., Shahzad T., Hussain S., </w:t>
            </w:r>
            <w:proofErr w:type="spellStart"/>
            <w:r w:rsidRPr="00572724">
              <w:rPr>
                <w:rFonts w:ascii="Times New Roman" w:eastAsia="Times New Roman" w:hAnsi="Times New Roman" w:cs="Times New Roman"/>
                <w:color w:val="000000"/>
                <w:lang w:eastAsia="en-GB"/>
              </w:rPr>
              <w:t>Therond</w:t>
            </w:r>
            <w:proofErr w:type="spellEnd"/>
            <w:r w:rsidRPr="00572724">
              <w:rPr>
                <w:rFonts w:ascii="Times New Roman" w:eastAsia="Times New Roman" w:hAnsi="Times New Roman" w:cs="Times New Roman"/>
                <w:color w:val="000000"/>
                <w:lang w:eastAsia="en-GB"/>
              </w:rPr>
              <w:t xml:space="preserve"> O., Fahad S., </w:t>
            </w:r>
            <w:proofErr w:type="spellStart"/>
            <w:r w:rsidRPr="00572724">
              <w:rPr>
                <w:rFonts w:ascii="Times New Roman" w:eastAsia="Times New Roman" w:hAnsi="Times New Roman" w:cs="Times New Roman"/>
                <w:color w:val="000000"/>
                <w:lang w:eastAsia="en-GB"/>
              </w:rPr>
              <w:t>Refat</w:t>
            </w:r>
            <w:proofErr w:type="spellEnd"/>
            <w:r w:rsidRPr="00572724">
              <w:rPr>
                <w:rFonts w:ascii="Times New Roman" w:eastAsia="Times New Roman" w:hAnsi="Times New Roman" w:cs="Times New Roman"/>
                <w:color w:val="000000"/>
                <w:lang w:eastAsia="en-GB"/>
              </w:rPr>
              <w:t xml:space="preserve"> Sultana S., </w:t>
            </w:r>
            <w:proofErr w:type="spellStart"/>
            <w:r w:rsidRPr="00572724">
              <w:rPr>
                <w:rFonts w:ascii="Times New Roman" w:eastAsia="Times New Roman" w:hAnsi="Times New Roman" w:cs="Times New Roman"/>
                <w:color w:val="000000"/>
                <w:lang w:eastAsia="en-GB"/>
              </w:rPr>
              <w:t>Wery</w:t>
            </w:r>
            <w:proofErr w:type="spellEnd"/>
            <w:r w:rsidRPr="00572724">
              <w:rPr>
                <w:rFonts w:ascii="Times New Roman" w:eastAsia="Times New Roman" w:hAnsi="Times New Roman" w:cs="Times New Roman"/>
                <w:color w:val="000000"/>
                <w:lang w:eastAsia="en-GB"/>
              </w:rPr>
              <w:t xml:space="preserve"> J.,</w:t>
            </w:r>
          </w:p>
        </w:tc>
        <w:tc>
          <w:tcPr>
            <w:tcW w:w="4940" w:type="dxa"/>
            <w:tcBorders>
              <w:top w:val="nil"/>
              <w:left w:val="nil"/>
              <w:bottom w:val="single" w:sz="4" w:space="0" w:color="auto"/>
              <w:right w:val="single" w:sz="4" w:space="0" w:color="auto"/>
            </w:tcBorders>
            <w:shd w:val="clear" w:color="auto" w:fill="auto"/>
            <w:vAlign w:val="bottom"/>
            <w:hideMark/>
          </w:tcPr>
          <w:p w14:paraId="1B0AF81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Economic and environmental impacts of introducing grain legumes in farming systems of Midi-Pyrenees region (France): A simulation approach</w:t>
            </w:r>
          </w:p>
        </w:tc>
        <w:tc>
          <w:tcPr>
            <w:tcW w:w="1240" w:type="dxa"/>
            <w:tcBorders>
              <w:top w:val="nil"/>
              <w:left w:val="nil"/>
              <w:bottom w:val="single" w:sz="4" w:space="0" w:color="auto"/>
              <w:right w:val="single" w:sz="4" w:space="0" w:color="auto"/>
            </w:tcBorders>
            <w:shd w:val="clear" w:color="auto" w:fill="auto"/>
            <w:vAlign w:val="bottom"/>
            <w:hideMark/>
          </w:tcPr>
          <w:p w14:paraId="0EDD0AC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2017</w:t>
            </w:r>
          </w:p>
        </w:tc>
      </w:tr>
      <w:tr w:rsidR="00572724" w:rsidRPr="00572724" w14:paraId="74F46C4F"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797A51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Mangaza</w:t>
            </w:r>
            <w:proofErr w:type="spellEnd"/>
            <w:r w:rsidRPr="00572724">
              <w:rPr>
                <w:rFonts w:ascii="Times New Roman" w:eastAsia="Times New Roman" w:hAnsi="Times New Roman" w:cs="Times New Roman"/>
                <w:color w:val="000000"/>
                <w:lang w:eastAsia="en-GB"/>
              </w:rPr>
              <w:t xml:space="preserve"> L., </w:t>
            </w:r>
            <w:proofErr w:type="spellStart"/>
            <w:r w:rsidRPr="00572724">
              <w:rPr>
                <w:rFonts w:ascii="Times New Roman" w:eastAsia="Times New Roman" w:hAnsi="Times New Roman" w:cs="Times New Roman"/>
                <w:color w:val="000000"/>
                <w:lang w:eastAsia="en-GB"/>
              </w:rPr>
              <w:t>Sonwa</w:t>
            </w:r>
            <w:proofErr w:type="spellEnd"/>
            <w:r w:rsidRPr="00572724">
              <w:rPr>
                <w:rFonts w:ascii="Times New Roman" w:eastAsia="Times New Roman" w:hAnsi="Times New Roman" w:cs="Times New Roman"/>
                <w:color w:val="000000"/>
                <w:lang w:eastAsia="en-GB"/>
              </w:rPr>
              <w:t xml:space="preserve"> D.J., </w:t>
            </w:r>
            <w:proofErr w:type="spellStart"/>
            <w:r w:rsidRPr="00572724">
              <w:rPr>
                <w:rFonts w:ascii="Times New Roman" w:eastAsia="Times New Roman" w:hAnsi="Times New Roman" w:cs="Times New Roman"/>
                <w:color w:val="000000"/>
                <w:lang w:eastAsia="en-GB"/>
              </w:rPr>
              <w:t>Batsi</w:t>
            </w:r>
            <w:proofErr w:type="spellEnd"/>
            <w:r w:rsidRPr="00572724">
              <w:rPr>
                <w:rFonts w:ascii="Times New Roman" w:eastAsia="Times New Roman" w:hAnsi="Times New Roman" w:cs="Times New Roman"/>
                <w:color w:val="000000"/>
                <w:lang w:eastAsia="en-GB"/>
              </w:rPr>
              <w:t xml:space="preserve"> G., </w:t>
            </w:r>
            <w:proofErr w:type="spellStart"/>
            <w:r w:rsidRPr="00572724">
              <w:rPr>
                <w:rFonts w:ascii="Times New Roman" w:eastAsia="Times New Roman" w:hAnsi="Times New Roman" w:cs="Times New Roman"/>
                <w:color w:val="000000"/>
                <w:lang w:eastAsia="en-GB"/>
              </w:rPr>
              <w:t>Ebuy</w:t>
            </w:r>
            <w:proofErr w:type="spellEnd"/>
            <w:r w:rsidRPr="00572724">
              <w:rPr>
                <w:rFonts w:ascii="Times New Roman" w:eastAsia="Times New Roman" w:hAnsi="Times New Roman" w:cs="Times New Roman"/>
                <w:color w:val="000000"/>
                <w:lang w:eastAsia="en-GB"/>
              </w:rPr>
              <w:t xml:space="preserve"> J., </w:t>
            </w:r>
            <w:proofErr w:type="spellStart"/>
            <w:r w:rsidRPr="00572724">
              <w:rPr>
                <w:rFonts w:ascii="Times New Roman" w:eastAsia="Times New Roman" w:hAnsi="Times New Roman" w:cs="Times New Roman"/>
                <w:color w:val="000000"/>
                <w:lang w:eastAsia="en-GB"/>
              </w:rPr>
              <w:t>Kahindo</w:t>
            </w:r>
            <w:proofErr w:type="spellEnd"/>
            <w:r w:rsidRPr="00572724">
              <w:rPr>
                <w:rFonts w:ascii="Times New Roman" w:eastAsia="Times New Roman" w:hAnsi="Times New Roman" w:cs="Times New Roman"/>
                <w:color w:val="000000"/>
                <w:lang w:eastAsia="en-GB"/>
              </w:rPr>
              <w:t xml:space="preserve"> J.-M.,</w:t>
            </w:r>
          </w:p>
        </w:tc>
        <w:tc>
          <w:tcPr>
            <w:tcW w:w="4940" w:type="dxa"/>
            <w:tcBorders>
              <w:top w:val="nil"/>
              <w:left w:val="nil"/>
              <w:bottom w:val="single" w:sz="4" w:space="0" w:color="auto"/>
              <w:right w:val="single" w:sz="4" w:space="0" w:color="auto"/>
            </w:tcBorders>
            <w:shd w:val="clear" w:color="auto" w:fill="auto"/>
            <w:vAlign w:val="bottom"/>
            <w:hideMark/>
          </w:tcPr>
          <w:p w14:paraId="5FA4B35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Building a framework towards climate-smart agriculture in the </w:t>
            </w:r>
            <w:proofErr w:type="spellStart"/>
            <w:r w:rsidRPr="00572724">
              <w:rPr>
                <w:rFonts w:ascii="Times New Roman" w:eastAsia="Times New Roman" w:hAnsi="Times New Roman" w:cs="Times New Roman"/>
                <w:color w:val="000000"/>
                <w:lang w:eastAsia="en-GB"/>
              </w:rPr>
              <w:t>Yangambi</w:t>
            </w:r>
            <w:proofErr w:type="spellEnd"/>
            <w:r w:rsidRPr="00572724">
              <w:rPr>
                <w:rFonts w:ascii="Times New Roman" w:eastAsia="Times New Roman" w:hAnsi="Times New Roman" w:cs="Times New Roman"/>
                <w:color w:val="000000"/>
                <w:lang w:eastAsia="en-GB"/>
              </w:rPr>
              <w:t xml:space="preserve"> landscape, Democratic Republic of Congo (DRC)</w:t>
            </w:r>
          </w:p>
        </w:tc>
        <w:tc>
          <w:tcPr>
            <w:tcW w:w="1240" w:type="dxa"/>
            <w:tcBorders>
              <w:top w:val="nil"/>
              <w:left w:val="nil"/>
              <w:bottom w:val="single" w:sz="4" w:space="0" w:color="auto"/>
              <w:right w:val="single" w:sz="4" w:space="0" w:color="auto"/>
            </w:tcBorders>
            <w:shd w:val="clear" w:color="auto" w:fill="auto"/>
            <w:vAlign w:val="bottom"/>
            <w:hideMark/>
          </w:tcPr>
          <w:p w14:paraId="4C8066C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42838614" w14:textId="77777777" w:rsidTr="00572724">
        <w:trPr>
          <w:trHeight w:val="1152"/>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FEC087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lastRenderedPageBreak/>
              <w:t xml:space="preserve">Marie Chimi P.; Armand Mala W.; </w:t>
            </w:r>
            <w:proofErr w:type="spellStart"/>
            <w:r w:rsidRPr="00572724">
              <w:rPr>
                <w:rFonts w:ascii="Times New Roman" w:eastAsia="Times New Roman" w:hAnsi="Times New Roman" w:cs="Times New Roman"/>
                <w:color w:val="000000"/>
                <w:lang w:eastAsia="en-GB"/>
              </w:rPr>
              <w:t>Ngamsou</w:t>
            </w:r>
            <w:proofErr w:type="spellEnd"/>
            <w:r w:rsidRPr="00572724">
              <w:rPr>
                <w:rFonts w:ascii="Times New Roman" w:eastAsia="Times New Roman" w:hAnsi="Times New Roman" w:cs="Times New Roman"/>
                <w:color w:val="000000"/>
                <w:lang w:eastAsia="en-GB"/>
              </w:rPr>
              <w:t xml:space="preserve"> Abdel K.; Louis </w:t>
            </w:r>
            <w:proofErr w:type="spellStart"/>
            <w:r w:rsidRPr="00572724">
              <w:rPr>
                <w:rFonts w:ascii="Times New Roman" w:eastAsia="Times New Roman" w:hAnsi="Times New Roman" w:cs="Times New Roman"/>
                <w:color w:val="000000"/>
                <w:lang w:eastAsia="en-GB"/>
              </w:rPr>
              <w:t>Fobane</w:t>
            </w:r>
            <w:proofErr w:type="spellEnd"/>
            <w:r w:rsidRPr="00572724">
              <w:rPr>
                <w:rFonts w:ascii="Times New Roman" w:eastAsia="Times New Roman" w:hAnsi="Times New Roman" w:cs="Times New Roman"/>
                <w:color w:val="000000"/>
                <w:lang w:eastAsia="en-GB"/>
              </w:rPr>
              <w:t xml:space="preserve"> J.; Manga </w:t>
            </w:r>
            <w:proofErr w:type="spellStart"/>
            <w:r w:rsidRPr="00572724">
              <w:rPr>
                <w:rFonts w:ascii="Times New Roman" w:eastAsia="Times New Roman" w:hAnsi="Times New Roman" w:cs="Times New Roman"/>
                <w:color w:val="000000"/>
                <w:lang w:eastAsia="en-GB"/>
              </w:rPr>
              <w:t>Essouma</w:t>
            </w:r>
            <w:proofErr w:type="spellEnd"/>
            <w:r w:rsidRPr="00572724">
              <w:rPr>
                <w:rFonts w:ascii="Times New Roman" w:eastAsia="Times New Roman" w:hAnsi="Times New Roman" w:cs="Times New Roman"/>
                <w:color w:val="000000"/>
                <w:lang w:eastAsia="en-GB"/>
              </w:rPr>
              <w:t xml:space="preserve"> F.; Hermann </w:t>
            </w:r>
            <w:proofErr w:type="spellStart"/>
            <w:r w:rsidRPr="00572724">
              <w:rPr>
                <w:rFonts w:ascii="Times New Roman" w:eastAsia="Times New Roman" w:hAnsi="Times New Roman" w:cs="Times New Roman"/>
                <w:color w:val="000000"/>
                <w:lang w:eastAsia="en-GB"/>
              </w:rPr>
              <w:t>Matick</w:t>
            </w:r>
            <w:proofErr w:type="spellEnd"/>
            <w:r w:rsidRPr="00572724">
              <w:rPr>
                <w:rFonts w:ascii="Times New Roman" w:eastAsia="Times New Roman" w:hAnsi="Times New Roman" w:cs="Times New Roman"/>
                <w:color w:val="000000"/>
                <w:lang w:eastAsia="en-GB"/>
              </w:rPr>
              <w:t xml:space="preserve"> J.; </w:t>
            </w:r>
            <w:proofErr w:type="spellStart"/>
            <w:r w:rsidRPr="00572724">
              <w:rPr>
                <w:rFonts w:ascii="Times New Roman" w:eastAsia="Times New Roman" w:hAnsi="Times New Roman" w:cs="Times New Roman"/>
                <w:color w:val="000000"/>
                <w:lang w:eastAsia="en-GB"/>
              </w:rPr>
              <w:t>Yldephonse</w:t>
            </w:r>
            <w:proofErr w:type="spellEnd"/>
            <w:r w:rsidRPr="00572724">
              <w:rPr>
                <w:rFonts w:ascii="Times New Roman" w:eastAsia="Times New Roman" w:hAnsi="Times New Roman" w:cs="Times New Roman"/>
                <w:color w:val="000000"/>
                <w:lang w:eastAsia="en-GB"/>
              </w:rPr>
              <w:t xml:space="preserve"> </w:t>
            </w:r>
            <w:proofErr w:type="spellStart"/>
            <w:r w:rsidRPr="00572724">
              <w:rPr>
                <w:rFonts w:ascii="Times New Roman" w:eastAsia="Times New Roman" w:hAnsi="Times New Roman" w:cs="Times New Roman"/>
                <w:color w:val="000000"/>
                <w:lang w:eastAsia="en-GB"/>
              </w:rPr>
              <w:t>Nyonce</w:t>
            </w:r>
            <w:proofErr w:type="spellEnd"/>
            <w:r w:rsidRPr="00572724">
              <w:rPr>
                <w:rFonts w:ascii="Times New Roman" w:eastAsia="Times New Roman" w:hAnsi="Times New Roman" w:cs="Times New Roman"/>
                <w:color w:val="000000"/>
                <w:lang w:eastAsia="en-GB"/>
              </w:rPr>
              <w:t xml:space="preserve"> </w:t>
            </w:r>
            <w:proofErr w:type="spellStart"/>
            <w:r w:rsidRPr="00572724">
              <w:rPr>
                <w:rFonts w:ascii="Times New Roman" w:eastAsia="Times New Roman" w:hAnsi="Times New Roman" w:cs="Times New Roman"/>
                <w:color w:val="000000"/>
                <w:lang w:eastAsia="en-GB"/>
              </w:rPr>
              <w:t>Pokam</w:t>
            </w:r>
            <w:proofErr w:type="spellEnd"/>
            <w:r w:rsidRPr="00572724">
              <w:rPr>
                <w:rFonts w:ascii="Times New Roman" w:eastAsia="Times New Roman" w:hAnsi="Times New Roman" w:cs="Times New Roman"/>
                <w:color w:val="000000"/>
                <w:lang w:eastAsia="en-GB"/>
              </w:rPr>
              <w:t xml:space="preserve"> E.; </w:t>
            </w:r>
            <w:proofErr w:type="spellStart"/>
            <w:r w:rsidRPr="00572724">
              <w:rPr>
                <w:rFonts w:ascii="Times New Roman" w:eastAsia="Times New Roman" w:hAnsi="Times New Roman" w:cs="Times New Roman"/>
                <w:color w:val="000000"/>
                <w:lang w:eastAsia="en-GB"/>
              </w:rPr>
              <w:t>Tcheferi</w:t>
            </w:r>
            <w:proofErr w:type="spellEnd"/>
            <w:r w:rsidRPr="00572724">
              <w:rPr>
                <w:rFonts w:ascii="Times New Roman" w:eastAsia="Times New Roman" w:hAnsi="Times New Roman" w:cs="Times New Roman"/>
                <w:color w:val="000000"/>
                <w:lang w:eastAsia="en-GB"/>
              </w:rPr>
              <w:t xml:space="preserve"> I.; Martin Bell J.</w:t>
            </w:r>
          </w:p>
        </w:tc>
        <w:tc>
          <w:tcPr>
            <w:tcW w:w="4940" w:type="dxa"/>
            <w:tcBorders>
              <w:top w:val="nil"/>
              <w:left w:val="nil"/>
              <w:bottom w:val="single" w:sz="4" w:space="0" w:color="auto"/>
              <w:right w:val="single" w:sz="4" w:space="0" w:color="auto"/>
            </w:tcBorders>
            <w:shd w:val="clear" w:color="auto" w:fill="auto"/>
            <w:vAlign w:val="bottom"/>
            <w:hideMark/>
          </w:tcPr>
          <w:p w14:paraId="7D0E6B9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Vulnerability of family farming systems to climate change: The case of the forest-savannah transition zone, Centre Region of Cameroon</w:t>
            </w:r>
          </w:p>
        </w:tc>
        <w:tc>
          <w:tcPr>
            <w:tcW w:w="1240" w:type="dxa"/>
            <w:tcBorders>
              <w:top w:val="nil"/>
              <w:left w:val="nil"/>
              <w:bottom w:val="single" w:sz="4" w:space="0" w:color="auto"/>
              <w:right w:val="single" w:sz="4" w:space="0" w:color="auto"/>
            </w:tcBorders>
            <w:shd w:val="clear" w:color="auto" w:fill="auto"/>
            <w:noWrap/>
            <w:vAlign w:val="bottom"/>
            <w:hideMark/>
          </w:tcPr>
          <w:p w14:paraId="2D417072"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5061CDC8"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ABB7DBD"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r w:rsidRPr="00572724">
              <w:rPr>
                <w:rFonts w:ascii="Times New Roman" w:eastAsia="Times New Roman" w:hAnsi="Times New Roman" w:cs="Times New Roman"/>
                <w:color w:val="000000"/>
                <w:lang w:val="fr-FR" w:eastAsia="en-GB"/>
              </w:rPr>
              <w:t>Martin G., Magne M.A.,</w:t>
            </w:r>
          </w:p>
        </w:tc>
        <w:tc>
          <w:tcPr>
            <w:tcW w:w="4940" w:type="dxa"/>
            <w:tcBorders>
              <w:top w:val="nil"/>
              <w:left w:val="nil"/>
              <w:bottom w:val="single" w:sz="4" w:space="0" w:color="auto"/>
              <w:right w:val="single" w:sz="4" w:space="0" w:color="auto"/>
            </w:tcBorders>
            <w:shd w:val="clear" w:color="auto" w:fill="auto"/>
            <w:vAlign w:val="bottom"/>
            <w:hideMark/>
          </w:tcPr>
          <w:p w14:paraId="15D398A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Agricultural diversity to increase adaptive capacity and reduce vulnerability of livestock systems against weather variability - A farm-scale simulation study</w:t>
            </w:r>
          </w:p>
        </w:tc>
        <w:tc>
          <w:tcPr>
            <w:tcW w:w="1240" w:type="dxa"/>
            <w:tcBorders>
              <w:top w:val="nil"/>
              <w:left w:val="nil"/>
              <w:bottom w:val="single" w:sz="4" w:space="0" w:color="auto"/>
              <w:right w:val="single" w:sz="4" w:space="0" w:color="auto"/>
            </w:tcBorders>
            <w:shd w:val="clear" w:color="auto" w:fill="auto"/>
            <w:vAlign w:val="bottom"/>
            <w:hideMark/>
          </w:tcPr>
          <w:p w14:paraId="7193DBBD"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2015</w:t>
            </w:r>
          </w:p>
        </w:tc>
      </w:tr>
      <w:tr w:rsidR="00572724" w:rsidRPr="00572724" w14:paraId="17287870"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3204FB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Mavhura</w:t>
            </w:r>
            <w:proofErr w:type="spellEnd"/>
            <w:r w:rsidRPr="00572724">
              <w:rPr>
                <w:rFonts w:ascii="Times New Roman" w:eastAsia="Times New Roman" w:hAnsi="Times New Roman" w:cs="Times New Roman"/>
                <w:color w:val="000000"/>
                <w:lang w:eastAsia="en-GB"/>
              </w:rPr>
              <w:t xml:space="preserve"> E.; </w:t>
            </w:r>
            <w:proofErr w:type="spellStart"/>
            <w:r w:rsidRPr="00572724">
              <w:rPr>
                <w:rFonts w:ascii="Times New Roman" w:eastAsia="Times New Roman" w:hAnsi="Times New Roman" w:cs="Times New Roman"/>
                <w:color w:val="000000"/>
                <w:lang w:eastAsia="en-GB"/>
              </w:rPr>
              <w:t>Manyangadze</w:t>
            </w:r>
            <w:proofErr w:type="spellEnd"/>
            <w:r w:rsidRPr="00572724">
              <w:rPr>
                <w:rFonts w:ascii="Times New Roman" w:eastAsia="Times New Roman" w:hAnsi="Times New Roman" w:cs="Times New Roman"/>
                <w:color w:val="000000"/>
                <w:lang w:eastAsia="en-GB"/>
              </w:rPr>
              <w:t xml:space="preserve"> T.; </w:t>
            </w:r>
            <w:proofErr w:type="spellStart"/>
            <w:r w:rsidRPr="00572724">
              <w:rPr>
                <w:rFonts w:ascii="Times New Roman" w:eastAsia="Times New Roman" w:hAnsi="Times New Roman" w:cs="Times New Roman"/>
                <w:color w:val="000000"/>
                <w:lang w:eastAsia="en-GB"/>
              </w:rPr>
              <w:t>Aryal</w:t>
            </w:r>
            <w:proofErr w:type="spellEnd"/>
            <w:r w:rsidRPr="00572724">
              <w:rPr>
                <w:rFonts w:ascii="Times New Roman" w:eastAsia="Times New Roman" w:hAnsi="Times New Roman" w:cs="Times New Roman"/>
                <w:color w:val="000000"/>
                <w:lang w:eastAsia="en-GB"/>
              </w:rPr>
              <w:t xml:space="preserve"> K.R.</w:t>
            </w:r>
          </w:p>
        </w:tc>
        <w:tc>
          <w:tcPr>
            <w:tcW w:w="4940" w:type="dxa"/>
            <w:tcBorders>
              <w:top w:val="nil"/>
              <w:left w:val="nil"/>
              <w:bottom w:val="single" w:sz="4" w:space="0" w:color="auto"/>
              <w:right w:val="single" w:sz="4" w:space="0" w:color="auto"/>
            </w:tcBorders>
            <w:shd w:val="clear" w:color="auto" w:fill="auto"/>
            <w:vAlign w:val="bottom"/>
            <w:hideMark/>
          </w:tcPr>
          <w:p w14:paraId="199E119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Perceived impacts of climate variability and change: an exploration of farmers’ adaptation strategies in Zimbabwe’s intensive farming region</w:t>
            </w:r>
          </w:p>
        </w:tc>
        <w:tc>
          <w:tcPr>
            <w:tcW w:w="1240" w:type="dxa"/>
            <w:tcBorders>
              <w:top w:val="nil"/>
              <w:left w:val="nil"/>
              <w:bottom w:val="single" w:sz="4" w:space="0" w:color="auto"/>
              <w:right w:val="single" w:sz="4" w:space="0" w:color="auto"/>
            </w:tcBorders>
            <w:shd w:val="clear" w:color="auto" w:fill="auto"/>
            <w:noWrap/>
            <w:vAlign w:val="bottom"/>
            <w:hideMark/>
          </w:tcPr>
          <w:p w14:paraId="6014C07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24D06398"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6A1270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McKenzie D.K.; Joyce J.; Zander K.K.; </w:t>
            </w:r>
            <w:proofErr w:type="spellStart"/>
            <w:r w:rsidRPr="00572724">
              <w:rPr>
                <w:rFonts w:ascii="Times New Roman" w:eastAsia="Times New Roman" w:hAnsi="Times New Roman" w:cs="Times New Roman"/>
                <w:color w:val="000000"/>
                <w:lang w:eastAsia="en-GB"/>
              </w:rPr>
              <w:t>Wurm</w:t>
            </w:r>
            <w:proofErr w:type="spellEnd"/>
            <w:r w:rsidRPr="00572724">
              <w:rPr>
                <w:rFonts w:ascii="Times New Roman" w:eastAsia="Times New Roman" w:hAnsi="Times New Roman" w:cs="Times New Roman"/>
                <w:color w:val="000000"/>
                <w:lang w:eastAsia="en-GB"/>
              </w:rPr>
              <w:t xml:space="preserve"> P.A.S.; Caudwell K.M.</w:t>
            </w:r>
          </w:p>
        </w:tc>
        <w:tc>
          <w:tcPr>
            <w:tcW w:w="4940" w:type="dxa"/>
            <w:tcBorders>
              <w:top w:val="nil"/>
              <w:left w:val="nil"/>
              <w:bottom w:val="single" w:sz="4" w:space="0" w:color="auto"/>
              <w:right w:val="single" w:sz="4" w:space="0" w:color="auto"/>
            </w:tcBorders>
            <w:shd w:val="clear" w:color="auto" w:fill="auto"/>
            <w:vAlign w:val="bottom"/>
            <w:hideMark/>
          </w:tcPr>
          <w:p w14:paraId="6F63C05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Eastern Australian Farmers Managing and Thinking Differently: Innovative Adaptation Cycles</w:t>
            </w:r>
          </w:p>
        </w:tc>
        <w:tc>
          <w:tcPr>
            <w:tcW w:w="1240" w:type="dxa"/>
            <w:tcBorders>
              <w:top w:val="nil"/>
              <w:left w:val="nil"/>
              <w:bottom w:val="single" w:sz="4" w:space="0" w:color="auto"/>
              <w:right w:val="single" w:sz="4" w:space="0" w:color="auto"/>
            </w:tcBorders>
            <w:shd w:val="clear" w:color="auto" w:fill="auto"/>
            <w:noWrap/>
            <w:vAlign w:val="bottom"/>
            <w:hideMark/>
          </w:tcPr>
          <w:p w14:paraId="60D6A04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536EDAD7"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9898BD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McRae S.M.</w:t>
            </w:r>
          </w:p>
        </w:tc>
        <w:tc>
          <w:tcPr>
            <w:tcW w:w="4940" w:type="dxa"/>
            <w:tcBorders>
              <w:top w:val="nil"/>
              <w:left w:val="nil"/>
              <w:bottom w:val="single" w:sz="4" w:space="0" w:color="auto"/>
              <w:right w:val="single" w:sz="4" w:space="0" w:color="auto"/>
            </w:tcBorders>
            <w:shd w:val="clear" w:color="auto" w:fill="auto"/>
            <w:vAlign w:val="bottom"/>
            <w:hideMark/>
          </w:tcPr>
          <w:p w14:paraId="5CC6BE3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Agroforestry in temperate-climate commercial agriculture: Feedback from agroforestry practitioners in the Mid-Atlantic United States</w:t>
            </w:r>
          </w:p>
        </w:tc>
        <w:tc>
          <w:tcPr>
            <w:tcW w:w="1240" w:type="dxa"/>
            <w:tcBorders>
              <w:top w:val="nil"/>
              <w:left w:val="nil"/>
              <w:bottom w:val="single" w:sz="4" w:space="0" w:color="auto"/>
              <w:right w:val="single" w:sz="4" w:space="0" w:color="auto"/>
            </w:tcBorders>
            <w:shd w:val="clear" w:color="auto" w:fill="auto"/>
            <w:noWrap/>
            <w:vAlign w:val="bottom"/>
            <w:hideMark/>
          </w:tcPr>
          <w:p w14:paraId="4F7B977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1BAB2D2C"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ECE5AC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Melvani</w:t>
            </w:r>
            <w:proofErr w:type="spellEnd"/>
            <w:r w:rsidRPr="00572724">
              <w:rPr>
                <w:rFonts w:ascii="Times New Roman" w:eastAsia="Times New Roman" w:hAnsi="Times New Roman" w:cs="Times New Roman"/>
                <w:color w:val="000000"/>
                <w:lang w:eastAsia="en-GB"/>
              </w:rPr>
              <w:t xml:space="preserve"> K., Bristow M., Moles J., </w:t>
            </w:r>
            <w:proofErr w:type="spellStart"/>
            <w:r w:rsidRPr="00572724">
              <w:rPr>
                <w:rFonts w:ascii="Times New Roman" w:eastAsia="Times New Roman" w:hAnsi="Times New Roman" w:cs="Times New Roman"/>
                <w:color w:val="000000"/>
                <w:lang w:eastAsia="en-GB"/>
              </w:rPr>
              <w:t>Crase</w:t>
            </w:r>
            <w:proofErr w:type="spellEnd"/>
            <w:r w:rsidRPr="00572724">
              <w:rPr>
                <w:rFonts w:ascii="Times New Roman" w:eastAsia="Times New Roman" w:hAnsi="Times New Roman" w:cs="Times New Roman"/>
                <w:color w:val="000000"/>
                <w:lang w:eastAsia="en-GB"/>
              </w:rPr>
              <w:t xml:space="preserve"> B., </w:t>
            </w:r>
            <w:proofErr w:type="spellStart"/>
            <w:r w:rsidRPr="00572724">
              <w:rPr>
                <w:rFonts w:ascii="Times New Roman" w:eastAsia="Times New Roman" w:hAnsi="Times New Roman" w:cs="Times New Roman"/>
                <w:color w:val="000000"/>
                <w:lang w:eastAsia="en-GB"/>
              </w:rPr>
              <w:t>Kaestli</w:t>
            </w:r>
            <w:proofErr w:type="spellEnd"/>
            <w:r w:rsidRPr="00572724">
              <w:rPr>
                <w:rFonts w:ascii="Times New Roman" w:eastAsia="Times New Roman" w:hAnsi="Times New Roman" w:cs="Times New Roman"/>
                <w:color w:val="000000"/>
                <w:lang w:eastAsia="en-GB"/>
              </w:rPr>
              <w:t xml:space="preserve"> M.,</w:t>
            </w:r>
          </w:p>
        </w:tc>
        <w:tc>
          <w:tcPr>
            <w:tcW w:w="4940" w:type="dxa"/>
            <w:tcBorders>
              <w:top w:val="nil"/>
              <w:left w:val="nil"/>
              <w:bottom w:val="single" w:sz="4" w:space="0" w:color="auto"/>
              <w:right w:val="single" w:sz="4" w:space="0" w:color="auto"/>
            </w:tcBorders>
            <w:shd w:val="clear" w:color="auto" w:fill="auto"/>
            <w:vAlign w:val="bottom"/>
            <w:hideMark/>
          </w:tcPr>
          <w:p w14:paraId="2D7E2525"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Multiple livelihood strategies and high floristic diversity increase the adaptive capacity and resilience of Sri Lankan farming enterprises</w:t>
            </w:r>
          </w:p>
        </w:tc>
        <w:tc>
          <w:tcPr>
            <w:tcW w:w="1240" w:type="dxa"/>
            <w:tcBorders>
              <w:top w:val="nil"/>
              <w:left w:val="nil"/>
              <w:bottom w:val="single" w:sz="4" w:space="0" w:color="auto"/>
              <w:right w:val="single" w:sz="4" w:space="0" w:color="auto"/>
            </w:tcBorders>
            <w:shd w:val="clear" w:color="auto" w:fill="auto"/>
            <w:vAlign w:val="bottom"/>
            <w:hideMark/>
          </w:tcPr>
          <w:p w14:paraId="5B63B888"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708073F3"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0F0BCD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Millar G.D., Jones R.E., </w:t>
            </w:r>
            <w:proofErr w:type="spellStart"/>
            <w:r w:rsidRPr="00572724">
              <w:rPr>
                <w:rFonts w:ascii="Times New Roman" w:eastAsia="Times New Roman" w:hAnsi="Times New Roman" w:cs="Times New Roman"/>
                <w:color w:val="000000"/>
                <w:lang w:eastAsia="en-GB"/>
              </w:rPr>
              <w:t>Michalk</w:t>
            </w:r>
            <w:proofErr w:type="spellEnd"/>
            <w:r w:rsidRPr="00572724">
              <w:rPr>
                <w:rFonts w:ascii="Times New Roman" w:eastAsia="Times New Roman" w:hAnsi="Times New Roman" w:cs="Times New Roman"/>
                <w:color w:val="000000"/>
                <w:lang w:eastAsia="en-GB"/>
              </w:rPr>
              <w:t xml:space="preserve"> D.L., Brady S.,</w:t>
            </w:r>
          </w:p>
        </w:tc>
        <w:tc>
          <w:tcPr>
            <w:tcW w:w="4940" w:type="dxa"/>
            <w:tcBorders>
              <w:top w:val="nil"/>
              <w:left w:val="nil"/>
              <w:bottom w:val="single" w:sz="4" w:space="0" w:color="auto"/>
              <w:right w:val="single" w:sz="4" w:space="0" w:color="auto"/>
            </w:tcBorders>
            <w:shd w:val="clear" w:color="auto" w:fill="auto"/>
            <w:vAlign w:val="bottom"/>
            <w:hideMark/>
          </w:tcPr>
          <w:p w14:paraId="7E884A8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An exploratory tool for analysis of forage and livestock production options</w:t>
            </w:r>
          </w:p>
        </w:tc>
        <w:tc>
          <w:tcPr>
            <w:tcW w:w="1240" w:type="dxa"/>
            <w:tcBorders>
              <w:top w:val="nil"/>
              <w:left w:val="nil"/>
              <w:bottom w:val="single" w:sz="4" w:space="0" w:color="auto"/>
              <w:right w:val="single" w:sz="4" w:space="0" w:color="auto"/>
            </w:tcBorders>
            <w:shd w:val="clear" w:color="auto" w:fill="auto"/>
            <w:vAlign w:val="bottom"/>
            <w:hideMark/>
          </w:tcPr>
          <w:p w14:paraId="4D9F39FD"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2009</w:t>
            </w:r>
          </w:p>
        </w:tc>
      </w:tr>
      <w:tr w:rsidR="00572724" w:rsidRPr="00572724" w14:paraId="56231F9D" w14:textId="77777777" w:rsidTr="00572724">
        <w:trPr>
          <w:trHeight w:val="1152"/>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AED37B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Mishra A., </w:t>
            </w:r>
            <w:proofErr w:type="spellStart"/>
            <w:r w:rsidRPr="00572724">
              <w:rPr>
                <w:rFonts w:ascii="Times New Roman" w:eastAsia="Times New Roman" w:hAnsi="Times New Roman" w:cs="Times New Roman"/>
                <w:color w:val="000000"/>
                <w:lang w:eastAsia="en-GB"/>
              </w:rPr>
              <w:t>Ketelaar</w:t>
            </w:r>
            <w:proofErr w:type="spellEnd"/>
            <w:r w:rsidRPr="00572724">
              <w:rPr>
                <w:rFonts w:ascii="Times New Roman" w:eastAsia="Times New Roman" w:hAnsi="Times New Roman" w:cs="Times New Roman"/>
                <w:color w:val="000000"/>
                <w:lang w:eastAsia="en-GB"/>
              </w:rPr>
              <w:t xml:space="preserve"> J.W., </w:t>
            </w:r>
            <w:proofErr w:type="spellStart"/>
            <w:r w:rsidRPr="00572724">
              <w:rPr>
                <w:rFonts w:ascii="Times New Roman" w:eastAsia="Times New Roman" w:hAnsi="Times New Roman" w:cs="Times New Roman"/>
                <w:color w:val="000000"/>
                <w:lang w:eastAsia="en-GB"/>
              </w:rPr>
              <w:t>Uphoff</w:t>
            </w:r>
            <w:proofErr w:type="spellEnd"/>
            <w:r w:rsidRPr="00572724">
              <w:rPr>
                <w:rFonts w:ascii="Times New Roman" w:eastAsia="Times New Roman" w:hAnsi="Times New Roman" w:cs="Times New Roman"/>
                <w:color w:val="000000"/>
                <w:lang w:eastAsia="en-GB"/>
              </w:rPr>
              <w:t xml:space="preserve"> N., Whitten M.,</w:t>
            </w:r>
          </w:p>
        </w:tc>
        <w:tc>
          <w:tcPr>
            <w:tcW w:w="4940" w:type="dxa"/>
            <w:tcBorders>
              <w:top w:val="nil"/>
              <w:left w:val="nil"/>
              <w:bottom w:val="single" w:sz="4" w:space="0" w:color="auto"/>
              <w:right w:val="single" w:sz="4" w:space="0" w:color="auto"/>
            </w:tcBorders>
            <w:shd w:val="clear" w:color="auto" w:fill="auto"/>
            <w:vAlign w:val="bottom"/>
            <w:hideMark/>
          </w:tcPr>
          <w:p w14:paraId="497EA2C5"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Food security and climate-smart agriculture in the lower Mekong basin of Southeast Asia: evaluating impacts of system of rice intensification with special reference to rainfed agriculture</w:t>
            </w:r>
          </w:p>
        </w:tc>
        <w:tc>
          <w:tcPr>
            <w:tcW w:w="1240" w:type="dxa"/>
            <w:tcBorders>
              <w:top w:val="nil"/>
              <w:left w:val="nil"/>
              <w:bottom w:val="single" w:sz="4" w:space="0" w:color="auto"/>
              <w:right w:val="single" w:sz="4" w:space="0" w:color="auto"/>
            </w:tcBorders>
            <w:shd w:val="clear" w:color="auto" w:fill="auto"/>
            <w:vAlign w:val="bottom"/>
            <w:hideMark/>
          </w:tcPr>
          <w:p w14:paraId="1A374A1E"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2E68C26C"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C80A52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Mohammed K., </w:t>
            </w:r>
            <w:proofErr w:type="spellStart"/>
            <w:r w:rsidRPr="00572724">
              <w:rPr>
                <w:rFonts w:ascii="Times New Roman" w:eastAsia="Times New Roman" w:hAnsi="Times New Roman" w:cs="Times New Roman"/>
                <w:color w:val="000000"/>
                <w:lang w:eastAsia="en-GB"/>
              </w:rPr>
              <w:t>Batung</w:t>
            </w:r>
            <w:proofErr w:type="spellEnd"/>
            <w:r w:rsidRPr="00572724">
              <w:rPr>
                <w:rFonts w:ascii="Times New Roman" w:eastAsia="Times New Roman" w:hAnsi="Times New Roman" w:cs="Times New Roman"/>
                <w:color w:val="000000"/>
                <w:lang w:eastAsia="en-GB"/>
              </w:rPr>
              <w:t xml:space="preserve"> E., </w:t>
            </w:r>
            <w:proofErr w:type="spellStart"/>
            <w:r w:rsidRPr="00572724">
              <w:rPr>
                <w:rFonts w:ascii="Times New Roman" w:eastAsia="Times New Roman" w:hAnsi="Times New Roman" w:cs="Times New Roman"/>
                <w:color w:val="000000"/>
                <w:lang w:eastAsia="en-GB"/>
              </w:rPr>
              <w:t>Kansanga</w:t>
            </w:r>
            <w:proofErr w:type="spellEnd"/>
            <w:r w:rsidRPr="00572724">
              <w:rPr>
                <w:rFonts w:ascii="Times New Roman" w:eastAsia="Times New Roman" w:hAnsi="Times New Roman" w:cs="Times New Roman"/>
                <w:color w:val="000000"/>
                <w:lang w:eastAsia="en-GB"/>
              </w:rPr>
              <w:t xml:space="preserve"> M., Nyantakyi-Frimpong H., </w:t>
            </w:r>
            <w:proofErr w:type="spellStart"/>
            <w:r w:rsidRPr="00572724">
              <w:rPr>
                <w:rFonts w:ascii="Times New Roman" w:eastAsia="Times New Roman" w:hAnsi="Times New Roman" w:cs="Times New Roman"/>
                <w:color w:val="000000"/>
                <w:lang w:eastAsia="en-GB"/>
              </w:rPr>
              <w:t>Luginaah</w:t>
            </w:r>
            <w:proofErr w:type="spellEnd"/>
            <w:r w:rsidRPr="00572724">
              <w:rPr>
                <w:rFonts w:ascii="Times New Roman" w:eastAsia="Times New Roman" w:hAnsi="Times New Roman" w:cs="Times New Roman"/>
                <w:color w:val="000000"/>
                <w:lang w:eastAsia="en-GB"/>
              </w:rPr>
              <w:t xml:space="preserve"> I.,</w:t>
            </w:r>
          </w:p>
        </w:tc>
        <w:tc>
          <w:tcPr>
            <w:tcW w:w="4940" w:type="dxa"/>
            <w:tcBorders>
              <w:top w:val="nil"/>
              <w:left w:val="nil"/>
              <w:bottom w:val="single" w:sz="4" w:space="0" w:color="auto"/>
              <w:right w:val="single" w:sz="4" w:space="0" w:color="auto"/>
            </w:tcBorders>
            <w:shd w:val="clear" w:color="auto" w:fill="auto"/>
            <w:vAlign w:val="bottom"/>
            <w:hideMark/>
          </w:tcPr>
          <w:p w14:paraId="0E4C77D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Livelihood diversification strategies and resilience to climate change in semi-arid northern Ghana</w:t>
            </w:r>
          </w:p>
        </w:tc>
        <w:tc>
          <w:tcPr>
            <w:tcW w:w="1240" w:type="dxa"/>
            <w:tcBorders>
              <w:top w:val="nil"/>
              <w:left w:val="nil"/>
              <w:bottom w:val="single" w:sz="4" w:space="0" w:color="auto"/>
              <w:right w:val="single" w:sz="4" w:space="0" w:color="auto"/>
            </w:tcBorders>
            <w:shd w:val="clear" w:color="auto" w:fill="auto"/>
            <w:vAlign w:val="bottom"/>
            <w:hideMark/>
          </w:tcPr>
          <w:p w14:paraId="269E9FE4"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2F1A3A7A"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3F785D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Mokoena O.P.; </w:t>
            </w:r>
            <w:proofErr w:type="spellStart"/>
            <w:r w:rsidRPr="00572724">
              <w:rPr>
                <w:rFonts w:ascii="Times New Roman" w:eastAsia="Times New Roman" w:hAnsi="Times New Roman" w:cs="Times New Roman"/>
                <w:color w:val="000000"/>
                <w:lang w:eastAsia="en-GB"/>
              </w:rPr>
              <w:t>Ntuli</w:t>
            </w:r>
            <w:proofErr w:type="spellEnd"/>
            <w:r w:rsidRPr="00572724">
              <w:rPr>
                <w:rFonts w:ascii="Times New Roman" w:eastAsia="Times New Roman" w:hAnsi="Times New Roman" w:cs="Times New Roman"/>
                <w:color w:val="000000"/>
                <w:lang w:eastAsia="en-GB"/>
              </w:rPr>
              <w:t xml:space="preserve"> T.S.; </w:t>
            </w:r>
            <w:proofErr w:type="spellStart"/>
            <w:r w:rsidRPr="00572724">
              <w:rPr>
                <w:rFonts w:ascii="Times New Roman" w:eastAsia="Times New Roman" w:hAnsi="Times New Roman" w:cs="Times New Roman"/>
                <w:color w:val="000000"/>
                <w:lang w:eastAsia="en-GB"/>
              </w:rPr>
              <w:t>Ramarumo</w:t>
            </w:r>
            <w:proofErr w:type="spellEnd"/>
            <w:r w:rsidRPr="00572724">
              <w:rPr>
                <w:rFonts w:ascii="Times New Roman" w:eastAsia="Times New Roman" w:hAnsi="Times New Roman" w:cs="Times New Roman"/>
                <w:color w:val="000000"/>
                <w:lang w:eastAsia="en-GB"/>
              </w:rPr>
              <w:t xml:space="preserve"> T.; </w:t>
            </w:r>
            <w:proofErr w:type="spellStart"/>
            <w:r w:rsidRPr="00572724">
              <w:rPr>
                <w:rFonts w:ascii="Times New Roman" w:eastAsia="Times New Roman" w:hAnsi="Times New Roman" w:cs="Times New Roman"/>
                <w:color w:val="000000"/>
                <w:lang w:eastAsia="en-GB"/>
              </w:rPr>
              <w:t>Seeletse</w:t>
            </w:r>
            <w:proofErr w:type="spellEnd"/>
            <w:r w:rsidRPr="00572724">
              <w:rPr>
                <w:rFonts w:ascii="Times New Roman" w:eastAsia="Times New Roman" w:hAnsi="Times New Roman" w:cs="Times New Roman"/>
                <w:color w:val="000000"/>
                <w:lang w:eastAsia="en-GB"/>
              </w:rPr>
              <w:t xml:space="preserve"> S.M.</w:t>
            </w:r>
          </w:p>
        </w:tc>
        <w:tc>
          <w:tcPr>
            <w:tcW w:w="4940" w:type="dxa"/>
            <w:tcBorders>
              <w:top w:val="nil"/>
              <w:left w:val="nil"/>
              <w:bottom w:val="single" w:sz="4" w:space="0" w:color="auto"/>
              <w:right w:val="single" w:sz="4" w:space="0" w:color="auto"/>
            </w:tcBorders>
            <w:shd w:val="clear" w:color="auto" w:fill="auto"/>
            <w:vAlign w:val="bottom"/>
            <w:hideMark/>
          </w:tcPr>
          <w:p w14:paraId="49D69CC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Sustainability of Rural Small-Scale Farmers Using a Thematic Content-Fed Analytic Hierarchy Process</w:t>
            </w:r>
          </w:p>
        </w:tc>
        <w:tc>
          <w:tcPr>
            <w:tcW w:w="1240" w:type="dxa"/>
            <w:tcBorders>
              <w:top w:val="nil"/>
              <w:left w:val="nil"/>
              <w:bottom w:val="single" w:sz="4" w:space="0" w:color="auto"/>
              <w:right w:val="single" w:sz="4" w:space="0" w:color="auto"/>
            </w:tcBorders>
            <w:shd w:val="clear" w:color="auto" w:fill="auto"/>
            <w:vAlign w:val="bottom"/>
            <w:hideMark/>
          </w:tcPr>
          <w:p w14:paraId="4949CBBF"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7C74C91E"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C4216D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lastRenderedPageBreak/>
              <w:t xml:space="preserve">Monjardino M., Ridaura S.L., Van Loon J., </w:t>
            </w:r>
            <w:proofErr w:type="spellStart"/>
            <w:r w:rsidRPr="00572724">
              <w:rPr>
                <w:rFonts w:ascii="Times New Roman" w:eastAsia="Times New Roman" w:hAnsi="Times New Roman" w:cs="Times New Roman"/>
                <w:color w:val="000000"/>
                <w:lang w:eastAsia="en-GB"/>
              </w:rPr>
              <w:t>Mottaleb</w:t>
            </w:r>
            <w:proofErr w:type="spellEnd"/>
            <w:r w:rsidRPr="00572724">
              <w:rPr>
                <w:rFonts w:ascii="Times New Roman" w:eastAsia="Times New Roman" w:hAnsi="Times New Roman" w:cs="Times New Roman"/>
                <w:color w:val="000000"/>
                <w:lang w:eastAsia="en-GB"/>
              </w:rPr>
              <w:t xml:space="preserve"> K., </w:t>
            </w:r>
            <w:proofErr w:type="spellStart"/>
            <w:r w:rsidRPr="00572724">
              <w:rPr>
                <w:rFonts w:ascii="Times New Roman" w:eastAsia="Times New Roman" w:hAnsi="Times New Roman" w:cs="Times New Roman"/>
                <w:color w:val="000000"/>
                <w:lang w:eastAsia="en-GB"/>
              </w:rPr>
              <w:t>Kruseman</w:t>
            </w:r>
            <w:proofErr w:type="spellEnd"/>
            <w:r w:rsidRPr="00572724">
              <w:rPr>
                <w:rFonts w:ascii="Times New Roman" w:eastAsia="Times New Roman" w:hAnsi="Times New Roman" w:cs="Times New Roman"/>
                <w:color w:val="000000"/>
                <w:lang w:eastAsia="en-GB"/>
              </w:rPr>
              <w:t xml:space="preserve"> G., Zepeda A., Hernández E.O., </w:t>
            </w:r>
            <w:proofErr w:type="spellStart"/>
            <w:r w:rsidRPr="00572724">
              <w:rPr>
                <w:rFonts w:ascii="Times New Roman" w:eastAsia="Times New Roman" w:hAnsi="Times New Roman" w:cs="Times New Roman"/>
                <w:color w:val="000000"/>
                <w:lang w:eastAsia="en-GB"/>
              </w:rPr>
              <w:t>Burgueño</w:t>
            </w:r>
            <w:proofErr w:type="spellEnd"/>
            <w:r w:rsidRPr="00572724">
              <w:rPr>
                <w:rFonts w:ascii="Times New Roman" w:eastAsia="Times New Roman" w:hAnsi="Times New Roman" w:cs="Times New Roman"/>
                <w:color w:val="000000"/>
                <w:lang w:eastAsia="en-GB"/>
              </w:rPr>
              <w:t xml:space="preserve"> J., Singh R.G., </w:t>
            </w:r>
            <w:proofErr w:type="spellStart"/>
            <w:r w:rsidRPr="00572724">
              <w:rPr>
                <w:rFonts w:ascii="Times New Roman" w:eastAsia="Times New Roman" w:hAnsi="Times New Roman" w:cs="Times New Roman"/>
                <w:color w:val="000000"/>
                <w:lang w:eastAsia="en-GB"/>
              </w:rPr>
              <w:t>Govaerts</w:t>
            </w:r>
            <w:proofErr w:type="spellEnd"/>
            <w:r w:rsidRPr="00572724">
              <w:rPr>
                <w:rFonts w:ascii="Times New Roman" w:eastAsia="Times New Roman" w:hAnsi="Times New Roman" w:cs="Times New Roman"/>
                <w:color w:val="000000"/>
                <w:lang w:eastAsia="en-GB"/>
              </w:rPr>
              <w:t xml:space="preserve"> B., </w:t>
            </w:r>
            <w:proofErr w:type="spellStart"/>
            <w:r w:rsidRPr="00572724">
              <w:rPr>
                <w:rFonts w:ascii="Times New Roman" w:eastAsia="Times New Roman" w:hAnsi="Times New Roman" w:cs="Times New Roman"/>
                <w:color w:val="000000"/>
                <w:lang w:eastAsia="en-GB"/>
              </w:rPr>
              <w:t>Erenstein</w:t>
            </w:r>
            <w:proofErr w:type="spellEnd"/>
            <w:r w:rsidRPr="00572724">
              <w:rPr>
                <w:rFonts w:ascii="Times New Roman" w:eastAsia="Times New Roman" w:hAnsi="Times New Roman" w:cs="Times New Roman"/>
                <w:color w:val="000000"/>
                <w:lang w:eastAsia="en-GB"/>
              </w:rPr>
              <w:t xml:space="preserve"> O.,</w:t>
            </w:r>
          </w:p>
        </w:tc>
        <w:tc>
          <w:tcPr>
            <w:tcW w:w="4940" w:type="dxa"/>
            <w:tcBorders>
              <w:top w:val="nil"/>
              <w:left w:val="nil"/>
              <w:bottom w:val="single" w:sz="4" w:space="0" w:color="auto"/>
              <w:right w:val="single" w:sz="4" w:space="0" w:color="auto"/>
            </w:tcBorders>
            <w:shd w:val="clear" w:color="auto" w:fill="auto"/>
            <w:vAlign w:val="bottom"/>
            <w:hideMark/>
          </w:tcPr>
          <w:p w14:paraId="2E73ED2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Disaggregating the value of conservation agriculture to inform smallholder transition to sustainable farming: A </w:t>
            </w:r>
            <w:proofErr w:type="spellStart"/>
            <w:r w:rsidRPr="00572724">
              <w:rPr>
                <w:rFonts w:ascii="Times New Roman" w:eastAsia="Times New Roman" w:hAnsi="Times New Roman" w:cs="Times New Roman"/>
                <w:color w:val="000000"/>
                <w:lang w:eastAsia="en-GB"/>
              </w:rPr>
              <w:t>mexican</w:t>
            </w:r>
            <w:proofErr w:type="spellEnd"/>
            <w:r w:rsidRPr="00572724">
              <w:rPr>
                <w:rFonts w:ascii="Times New Roman" w:eastAsia="Times New Roman" w:hAnsi="Times New Roman" w:cs="Times New Roman"/>
                <w:color w:val="000000"/>
                <w:lang w:eastAsia="en-GB"/>
              </w:rPr>
              <w:t xml:space="preserve"> case study</w:t>
            </w:r>
          </w:p>
        </w:tc>
        <w:tc>
          <w:tcPr>
            <w:tcW w:w="1240" w:type="dxa"/>
            <w:tcBorders>
              <w:top w:val="nil"/>
              <w:left w:val="nil"/>
              <w:bottom w:val="single" w:sz="4" w:space="0" w:color="auto"/>
              <w:right w:val="single" w:sz="4" w:space="0" w:color="auto"/>
            </w:tcBorders>
            <w:shd w:val="clear" w:color="auto" w:fill="auto"/>
            <w:vAlign w:val="bottom"/>
            <w:hideMark/>
          </w:tcPr>
          <w:p w14:paraId="305D0AD1"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1A05FEFD"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75471E5"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Monjardino M.; </w:t>
            </w:r>
            <w:proofErr w:type="spellStart"/>
            <w:r w:rsidRPr="00572724">
              <w:rPr>
                <w:rFonts w:ascii="Times New Roman" w:eastAsia="Times New Roman" w:hAnsi="Times New Roman" w:cs="Times New Roman"/>
                <w:color w:val="000000"/>
                <w:lang w:eastAsia="en-GB"/>
              </w:rPr>
              <w:t>Loi</w:t>
            </w:r>
            <w:proofErr w:type="spellEnd"/>
            <w:r w:rsidRPr="00572724">
              <w:rPr>
                <w:rFonts w:ascii="Times New Roman" w:eastAsia="Times New Roman" w:hAnsi="Times New Roman" w:cs="Times New Roman"/>
                <w:color w:val="000000"/>
                <w:lang w:eastAsia="en-GB"/>
              </w:rPr>
              <w:t xml:space="preserve"> A.; Thomas D.T.; Revell C.K.; </w:t>
            </w:r>
            <w:proofErr w:type="spellStart"/>
            <w:r w:rsidRPr="00572724">
              <w:rPr>
                <w:rFonts w:ascii="Times New Roman" w:eastAsia="Times New Roman" w:hAnsi="Times New Roman" w:cs="Times New Roman"/>
                <w:color w:val="000000"/>
                <w:lang w:eastAsia="en-GB"/>
              </w:rPr>
              <w:t>Flohr</w:t>
            </w:r>
            <w:proofErr w:type="spellEnd"/>
            <w:r w:rsidRPr="00572724">
              <w:rPr>
                <w:rFonts w:ascii="Times New Roman" w:eastAsia="Times New Roman" w:hAnsi="Times New Roman" w:cs="Times New Roman"/>
                <w:color w:val="000000"/>
                <w:lang w:eastAsia="en-GB"/>
              </w:rPr>
              <w:t xml:space="preserve"> B.M.; Llewellyn R.S.; Norman H.C.</w:t>
            </w:r>
          </w:p>
        </w:tc>
        <w:tc>
          <w:tcPr>
            <w:tcW w:w="4940" w:type="dxa"/>
            <w:tcBorders>
              <w:top w:val="nil"/>
              <w:left w:val="nil"/>
              <w:bottom w:val="single" w:sz="4" w:space="0" w:color="auto"/>
              <w:right w:val="single" w:sz="4" w:space="0" w:color="auto"/>
            </w:tcBorders>
            <w:shd w:val="clear" w:color="auto" w:fill="auto"/>
            <w:vAlign w:val="bottom"/>
            <w:hideMark/>
          </w:tcPr>
          <w:p w14:paraId="6DA22A8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Improved legume pastures increase economic value, resilience and sustainability of crop-livestock systems</w:t>
            </w:r>
          </w:p>
        </w:tc>
        <w:tc>
          <w:tcPr>
            <w:tcW w:w="1240" w:type="dxa"/>
            <w:tcBorders>
              <w:top w:val="nil"/>
              <w:left w:val="nil"/>
              <w:bottom w:val="single" w:sz="4" w:space="0" w:color="auto"/>
              <w:right w:val="single" w:sz="4" w:space="0" w:color="auto"/>
            </w:tcBorders>
            <w:shd w:val="clear" w:color="auto" w:fill="auto"/>
            <w:noWrap/>
            <w:vAlign w:val="bottom"/>
            <w:hideMark/>
          </w:tcPr>
          <w:p w14:paraId="0146F3D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4C4061FC"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313EF0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Morel K.; </w:t>
            </w:r>
            <w:proofErr w:type="spellStart"/>
            <w:r w:rsidRPr="00572724">
              <w:rPr>
                <w:rFonts w:ascii="Times New Roman" w:eastAsia="Times New Roman" w:hAnsi="Times New Roman" w:cs="Times New Roman"/>
                <w:color w:val="000000"/>
                <w:lang w:eastAsia="en-GB"/>
              </w:rPr>
              <w:t>Cartau</w:t>
            </w:r>
            <w:proofErr w:type="spellEnd"/>
            <w:r w:rsidRPr="00572724">
              <w:rPr>
                <w:rFonts w:ascii="Times New Roman" w:eastAsia="Times New Roman" w:hAnsi="Times New Roman" w:cs="Times New Roman"/>
                <w:color w:val="000000"/>
                <w:lang w:eastAsia="en-GB"/>
              </w:rPr>
              <w:t xml:space="preserve"> K.</w:t>
            </w:r>
          </w:p>
        </w:tc>
        <w:tc>
          <w:tcPr>
            <w:tcW w:w="4940" w:type="dxa"/>
            <w:tcBorders>
              <w:top w:val="nil"/>
              <w:left w:val="nil"/>
              <w:bottom w:val="single" w:sz="4" w:space="0" w:color="auto"/>
              <w:right w:val="single" w:sz="4" w:space="0" w:color="auto"/>
            </w:tcBorders>
            <w:shd w:val="clear" w:color="auto" w:fill="auto"/>
            <w:vAlign w:val="bottom"/>
            <w:hideMark/>
          </w:tcPr>
          <w:p w14:paraId="5EC4B61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Adaptation of organic vegetable farmers to climate change: An exploratory study in the Paris region</w:t>
            </w:r>
          </w:p>
        </w:tc>
        <w:tc>
          <w:tcPr>
            <w:tcW w:w="1240" w:type="dxa"/>
            <w:tcBorders>
              <w:top w:val="nil"/>
              <w:left w:val="nil"/>
              <w:bottom w:val="single" w:sz="4" w:space="0" w:color="auto"/>
              <w:right w:val="single" w:sz="4" w:space="0" w:color="auto"/>
            </w:tcBorders>
            <w:shd w:val="clear" w:color="auto" w:fill="auto"/>
            <w:noWrap/>
            <w:vAlign w:val="bottom"/>
            <w:hideMark/>
          </w:tcPr>
          <w:p w14:paraId="3B8A85EB"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2645B0AE"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CFBE3A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Morton L.W., </w:t>
            </w:r>
            <w:proofErr w:type="spellStart"/>
            <w:r w:rsidRPr="00572724">
              <w:rPr>
                <w:rFonts w:ascii="Times New Roman" w:eastAsia="Times New Roman" w:hAnsi="Times New Roman" w:cs="Times New Roman"/>
                <w:color w:val="000000"/>
                <w:lang w:eastAsia="en-GB"/>
              </w:rPr>
              <w:t>Roesch</w:t>
            </w:r>
            <w:proofErr w:type="spellEnd"/>
            <w:r w:rsidRPr="00572724">
              <w:rPr>
                <w:rFonts w:ascii="Times New Roman" w:eastAsia="Times New Roman" w:hAnsi="Times New Roman" w:cs="Times New Roman"/>
                <w:color w:val="000000"/>
                <w:lang w:eastAsia="en-GB"/>
              </w:rPr>
              <w:t>-McNally G., Wilke A.K.,</w:t>
            </w:r>
          </w:p>
        </w:tc>
        <w:tc>
          <w:tcPr>
            <w:tcW w:w="4940" w:type="dxa"/>
            <w:tcBorders>
              <w:top w:val="nil"/>
              <w:left w:val="nil"/>
              <w:bottom w:val="single" w:sz="4" w:space="0" w:color="auto"/>
              <w:right w:val="single" w:sz="4" w:space="0" w:color="auto"/>
            </w:tcBorders>
            <w:shd w:val="clear" w:color="auto" w:fill="auto"/>
            <w:vAlign w:val="bottom"/>
            <w:hideMark/>
          </w:tcPr>
          <w:p w14:paraId="465A499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Upper </w:t>
            </w:r>
            <w:proofErr w:type="spellStart"/>
            <w:r w:rsidRPr="00572724">
              <w:rPr>
                <w:rFonts w:ascii="Times New Roman" w:eastAsia="Times New Roman" w:hAnsi="Times New Roman" w:cs="Times New Roman"/>
                <w:color w:val="000000"/>
                <w:lang w:eastAsia="en-GB"/>
              </w:rPr>
              <w:t>midwest</w:t>
            </w:r>
            <w:proofErr w:type="spellEnd"/>
            <w:r w:rsidRPr="00572724">
              <w:rPr>
                <w:rFonts w:ascii="Times New Roman" w:eastAsia="Times New Roman" w:hAnsi="Times New Roman" w:cs="Times New Roman"/>
                <w:color w:val="000000"/>
                <w:lang w:eastAsia="en-GB"/>
              </w:rPr>
              <w:t xml:space="preserve"> farmer perceptions: Too much uncertainty about impacts of climate change to justify changing current agricultural practices</w:t>
            </w:r>
          </w:p>
        </w:tc>
        <w:tc>
          <w:tcPr>
            <w:tcW w:w="1240" w:type="dxa"/>
            <w:tcBorders>
              <w:top w:val="nil"/>
              <w:left w:val="nil"/>
              <w:bottom w:val="single" w:sz="4" w:space="0" w:color="auto"/>
              <w:right w:val="single" w:sz="4" w:space="0" w:color="auto"/>
            </w:tcBorders>
            <w:shd w:val="clear" w:color="auto" w:fill="auto"/>
            <w:vAlign w:val="bottom"/>
            <w:hideMark/>
          </w:tcPr>
          <w:p w14:paraId="10C6660D"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2017</w:t>
            </w:r>
          </w:p>
        </w:tc>
      </w:tr>
      <w:tr w:rsidR="00572724" w:rsidRPr="00572724" w14:paraId="1B1566FF"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A97C04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Mubiru D.N., </w:t>
            </w:r>
            <w:proofErr w:type="spellStart"/>
            <w:r w:rsidRPr="00572724">
              <w:rPr>
                <w:rFonts w:ascii="Times New Roman" w:eastAsia="Times New Roman" w:hAnsi="Times New Roman" w:cs="Times New Roman"/>
                <w:color w:val="000000"/>
                <w:lang w:eastAsia="en-GB"/>
              </w:rPr>
              <w:t>Radeny</w:t>
            </w:r>
            <w:proofErr w:type="spellEnd"/>
            <w:r w:rsidRPr="00572724">
              <w:rPr>
                <w:rFonts w:ascii="Times New Roman" w:eastAsia="Times New Roman" w:hAnsi="Times New Roman" w:cs="Times New Roman"/>
                <w:color w:val="000000"/>
                <w:lang w:eastAsia="en-GB"/>
              </w:rPr>
              <w:t xml:space="preserve"> M., </w:t>
            </w:r>
            <w:proofErr w:type="spellStart"/>
            <w:r w:rsidRPr="00572724">
              <w:rPr>
                <w:rFonts w:ascii="Times New Roman" w:eastAsia="Times New Roman" w:hAnsi="Times New Roman" w:cs="Times New Roman"/>
                <w:color w:val="000000"/>
                <w:lang w:eastAsia="en-GB"/>
              </w:rPr>
              <w:t>Kyazze</w:t>
            </w:r>
            <w:proofErr w:type="spellEnd"/>
            <w:r w:rsidRPr="00572724">
              <w:rPr>
                <w:rFonts w:ascii="Times New Roman" w:eastAsia="Times New Roman" w:hAnsi="Times New Roman" w:cs="Times New Roman"/>
                <w:color w:val="000000"/>
                <w:lang w:eastAsia="en-GB"/>
              </w:rPr>
              <w:t xml:space="preserve"> F.B., </w:t>
            </w:r>
            <w:proofErr w:type="spellStart"/>
            <w:r w:rsidRPr="00572724">
              <w:rPr>
                <w:rFonts w:ascii="Times New Roman" w:eastAsia="Times New Roman" w:hAnsi="Times New Roman" w:cs="Times New Roman"/>
                <w:color w:val="000000"/>
                <w:lang w:eastAsia="en-GB"/>
              </w:rPr>
              <w:t>Zziwa</w:t>
            </w:r>
            <w:proofErr w:type="spellEnd"/>
            <w:r w:rsidRPr="00572724">
              <w:rPr>
                <w:rFonts w:ascii="Times New Roman" w:eastAsia="Times New Roman" w:hAnsi="Times New Roman" w:cs="Times New Roman"/>
                <w:color w:val="000000"/>
                <w:lang w:eastAsia="en-GB"/>
              </w:rPr>
              <w:t xml:space="preserve"> A., </w:t>
            </w:r>
            <w:proofErr w:type="spellStart"/>
            <w:r w:rsidRPr="00572724">
              <w:rPr>
                <w:rFonts w:ascii="Times New Roman" w:eastAsia="Times New Roman" w:hAnsi="Times New Roman" w:cs="Times New Roman"/>
                <w:color w:val="000000"/>
                <w:lang w:eastAsia="en-GB"/>
              </w:rPr>
              <w:t>Lwasa</w:t>
            </w:r>
            <w:proofErr w:type="spellEnd"/>
            <w:r w:rsidRPr="00572724">
              <w:rPr>
                <w:rFonts w:ascii="Times New Roman" w:eastAsia="Times New Roman" w:hAnsi="Times New Roman" w:cs="Times New Roman"/>
                <w:color w:val="000000"/>
                <w:lang w:eastAsia="en-GB"/>
              </w:rPr>
              <w:t xml:space="preserve"> J., </w:t>
            </w:r>
            <w:proofErr w:type="spellStart"/>
            <w:r w:rsidRPr="00572724">
              <w:rPr>
                <w:rFonts w:ascii="Times New Roman" w:eastAsia="Times New Roman" w:hAnsi="Times New Roman" w:cs="Times New Roman"/>
                <w:color w:val="000000"/>
                <w:lang w:eastAsia="en-GB"/>
              </w:rPr>
              <w:t>Kinyangi</w:t>
            </w:r>
            <w:proofErr w:type="spellEnd"/>
            <w:r w:rsidRPr="00572724">
              <w:rPr>
                <w:rFonts w:ascii="Times New Roman" w:eastAsia="Times New Roman" w:hAnsi="Times New Roman" w:cs="Times New Roman"/>
                <w:color w:val="000000"/>
                <w:lang w:eastAsia="en-GB"/>
              </w:rPr>
              <w:t xml:space="preserve"> J., Mungai C.,</w:t>
            </w:r>
          </w:p>
        </w:tc>
        <w:tc>
          <w:tcPr>
            <w:tcW w:w="4940" w:type="dxa"/>
            <w:tcBorders>
              <w:top w:val="nil"/>
              <w:left w:val="nil"/>
              <w:bottom w:val="single" w:sz="4" w:space="0" w:color="auto"/>
              <w:right w:val="single" w:sz="4" w:space="0" w:color="auto"/>
            </w:tcBorders>
            <w:shd w:val="clear" w:color="auto" w:fill="auto"/>
            <w:vAlign w:val="bottom"/>
            <w:hideMark/>
          </w:tcPr>
          <w:p w14:paraId="0AB83F0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trends, risks and coping strategies in smallholder farming systems in Uganda</w:t>
            </w:r>
          </w:p>
        </w:tc>
        <w:tc>
          <w:tcPr>
            <w:tcW w:w="1240" w:type="dxa"/>
            <w:tcBorders>
              <w:top w:val="nil"/>
              <w:left w:val="nil"/>
              <w:bottom w:val="single" w:sz="4" w:space="0" w:color="auto"/>
              <w:right w:val="single" w:sz="4" w:space="0" w:color="auto"/>
            </w:tcBorders>
            <w:shd w:val="clear" w:color="auto" w:fill="auto"/>
            <w:vAlign w:val="bottom"/>
            <w:hideMark/>
          </w:tcPr>
          <w:p w14:paraId="5957DF11"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2998F001" w14:textId="77777777" w:rsidTr="00572724">
        <w:trPr>
          <w:trHeight w:val="1152"/>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F1CF39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Mugandani</w:t>
            </w:r>
            <w:proofErr w:type="spellEnd"/>
            <w:r w:rsidRPr="00572724">
              <w:rPr>
                <w:rFonts w:ascii="Times New Roman" w:eastAsia="Times New Roman" w:hAnsi="Times New Roman" w:cs="Times New Roman"/>
                <w:color w:val="000000"/>
                <w:lang w:eastAsia="en-GB"/>
              </w:rPr>
              <w:t xml:space="preserve"> R.; </w:t>
            </w:r>
            <w:proofErr w:type="spellStart"/>
            <w:r w:rsidRPr="00572724">
              <w:rPr>
                <w:rFonts w:ascii="Times New Roman" w:eastAsia="Times New Roman" w:hAnsi="Times New Roman" w:cs="Times New Roman"/>
                <w:color w:val="000000"/>
                <w:lang w:eastAsia="en-GB"/>
              </w:rPr>
              <w:t>Muziri</w:t>
            </w:r>
            <w:proofErr w:type="spellEnd"/>
            <w:r w:rsidRPr="00572724">
              <w:rPr>
                <w:rFonts w:ascii="Times New Roman" w:eastAsia="Times New Roman" w:hAnsi="Times New Roman" w:cs="Times New Roman"/>
                <w:color w:val="000000"/>
                <w:lang w:eastAsia="en-GB"/>
              </w:rPr>
              <w:t xml:space="preserve"> T.; </w:t>
            </w:r>
            <w:proofErr w:type="spellStart"/>
            <w:r w:rsidRPr="00572724">
              <w:rPr>
                <w:rFonts w:ascii="Times New Roman" w:eastAsia="Times New Roman" w:hAnsi="Times New Roman" w:cs="Times New Roman"/>
                <w:color w:val="000000"/>
                <w:lang w:eastAsia="en-GB"/>
              </w:rPr>
              <w:t>Murewi</w:t>
            </w:r>
            <w:proofErr w:type="spellEnd"/>
            <w:r w:rsidRPr="00572724">
              <w:rPr>
                <w:rFonts w:ascii="Times New Roman" w:eastAsia="Times New Roman" w:hAnsi="Times New Roman" w:cs="Times New Roman"/>
                <w:color w:val="000000"/>
                <w:lang w:eastAsia="en-GB"/>
              </w:rPr>
              <w:t xml:space="preserve"> C.T.F.; </w:t>
            </w:r>
            <w:proofErr w:type="spellStart"/>
            <w:r w:rsidRPr="00572724">
              <w:rPr>
                <w:rFonts w:ascii="Times New Roman" w:eastAsia="Times New Roman" w:hAnsi="Times New Roman" w:cs="Times New Roman"/>
                <w:color w:val="000000"/>
                <w:lang w:eastAsia="en-GB"/>
              </w:rPr>
              <w:t>Mugadza</w:t>
            </w:r>
            <w:proofErr w:type="spellEnd"/>
            <w:r w:rsidRPr="00572724">
              <w:rPr>
                <w:rFonts w:ascii="Times New Roman" w:eastAsia="Times New Roman" w:hAnsi="Times New Roman" w:cs="Times New Roman"/>
                <w:color w:val="000000"/>
                <w:lang w:eastAsia="en-GB"/>
              </w:rPr>
              <w:t xml:space="preserve"> A.; </w:t>
            </w:r>
            <w:proofErr w:type="spellStart"/>
            <w:r w:rsidRPr="00572724">
              <w:rPr>
                <w:rFonts w:ascii="Times New Roman" w:eastAsia="Times New Roman" w:hAnsi="Times New Roman" w:cs="Times New Roman"/>
                <w:color w:val="000000"/>
                <w:lang w:eastAsia="en-GB"/>
              </w:rPr>
              <w:t>Chitata</w:t>
            </w:r>
            <w:proofErr w:type="spellEnd"/>
            <w:r w:rsidRPr="00572724">
              <w:rPr>
                <w:rFonts w:ascii="Times New Roman" w:eastAsia="Times New Roman" w:hAnsi="Times New Roman" w:cs="Times New Roman"/>
                <w:color w:val="000000"/>
                <w:lang w:eastAsia="en-GB"/>
              </w:rPr>
              <w:t xml:space="preserve"> T.; </w:t>
            </w:r>
            <w:proofErr w:type="spellStart"/>
            <w:r w:rsidRPr="00572724">
              <w:rPr>
                <w:rFonts w:ascii="Times New Roman" w:eastAsia="Times New Roman" w:hAnsi="Times New Roman" w:cs="Times New Roman"/>
                <w:color w:val="000000"/>
                <w:lang w:eastAsia="en-GB"/>
              </w:rPr>
              <w:t>Sungirai</w:t>
            </w:r>
            <w:proofErr w:type="spellEnd"/>
            <w:r w:rsidRPr="00572724">
              <w:rPr>
                <w:rFonts w:ascii="Times New Roman" w:eastAsia="Times New Roman" w:hAnsi="Times New Roman" w:cs="Times New Roman"/>
                <w:color w:val="000000"/>
                <w:lang w:eastAsia="en-GB"/>
              </w:rPr>
              <w:t xml:space="preserve"> M.; </w:t>
            </w:r>
            <w:proofErr w:type="spellStart"/>
            <w:r w:rsidRPr="00572724">
              <w:rPr>
                <w:rFonts w:ascii="Times New Roman" w:eastAsia="Times New Roman" w:hAnsi="Times New Roman" w:cs="Times New Roman"/>
                <w:color w:val="000000"/>
                <w:lang w:eastAsia="en-GB"/>
              </w:rPr>
              <w:t>Zirebwa</w:t>
            </w:r>
            <w:proofErr w:type="spellEnd"/>
            <w:r w:rsidRPr="00572724">
              <w:rPr>
                <w:rFonts w:ascii="Times New Roman" w:eastAsia="Times New Roman" w:hAnsi="Times New Roman" w:cs="Times New Roman"/>
                <w:color w:val="000000"/>
                <w:lang w:eastAsia="en-GB"/>
              </w:rPr>
              <w:t xml:space="preserve"> F.S.; </w:t>
            </w:r>
            <w:proofErr w:type="spellStart"/>
            <w:r w:rsidRPr="00572724">
              <w:rPr>
                <w:rFonts w:ascii="Times New Roman" w:eastAsia="Times New Roman" w:hAnsi="Times New Roman" w:cs="Times New Roman"/>
                <w:color w:val="000000"/>
                <w:lang w:eastAsia="en-GB"/>
              </w:rPr>
              <w:t>Manhondo</w:t>
            </w:r>
            <w:proofErr w:type="spellEnd"/>
            <w:r w:rsidRPr="00572724">
              <w:rPr>
                <w:rFonts w:ascii="Times New Roman" w:eastAsia="Times New Roman" w:hAnsi="Times New Roman" w:cs="Times New Roman"/>
                <w:color w:val="000000"/>
                <w:lang w:eastAsia="en-GB"/>
              </w:rPr>
              <w:t xml:space="preserve"> P.; </w:t>
            </w:r>
            <w:proofErr w:type="spellStart"/>
            <w:r w:rsidRPr="00572724">
              <w:rPr>
                <w:rFonts w:ascii="Times New Roman" w:eastAsia="Times New Roman" w:hAnsi="Times New Roman" w:cs="Times New Roman"/>
                <w:color w:val="000000"/>
                <w:lang w:eastAsia="en-GB"/>
              </w:rPr>
              <w:t>Mupfiga</w:t>
            </w:r>
            <w:proofErr w:type="spellEnd"/>
            <w:r w:rsidRPr="00572724">
              <w:rPr>
                <w:rFonts w:ascii="Times New Roman" w:eastAsia="Times New Roman" w:hAnsi="Times New Roman" w:cs="Times New Roman"/>
                <w:color w:val="000000"/>
                <w:lang w:eastAsia="en-GB"/>
              </w:rPr>
              <w:t xml:space="preserve"> E.T.; </w:t>
            </w:r>
            <w:proofErr w:type="spellStart"/>
            <w:r w:rsidRPr="00572724">
              <w:rPr>
                <w:rFonts w:ascii="Times New Roman" w:eastAsia="Times New Roman" w:hAnsi="Times New Roman" w:cs="Times New Roman"/>
                <w:color w:val="000000"/>
                <w:lang w:eastAsia="en-GB"/>
              </w:rPr>
              <w:t>Nyamutowa</w:t>
            </w:r>
            <w:proofErr w:type="spellEnd"/>
            <w:r w:rsidRPr="00572724">
              <w:rPr>
                <w:rFonts w:ascii="Times New Roman" w:eastAsia="Times New Roman" w:hAnsi="Times New Roman" w:cs="Times New Roman"/>
                <w:color w:val="000000"/>
                <w:lang w:eastAsia="en-GB"/>
              </w:rPr>
              <w:t xml:space="preserve"> C.; </w:t>
            </w:r>
            <w:proofErr w:type="spellStart"/>
            <w:r w:rsidRPr="00572724">
              <w:rPr>
                <w:rFonts w:ascii="Times New Roman" w:eastAsia="Times New Roman" w:hAnsi="Times New Roman" w:cs="Times New Roman"/>
                <w:color w:val="000000"/>
                <w:lang w:eastAsia="en-GB"/>
              </w:rPr>
              <w:t>Mudereri</w:t>
            </w:r>
            <w:proofErr w:type="spellEnd"/>
            <w:r w:rsidRPr="00572724">
              <w:rPr>
                <w:rFonts w:ascii="Times New Roman" w:eastAsia="Times New Roman" w:hAnsi="Times New Roman" w:cs="Times New Roman"/>
                <w:color w:val="000000"/>
                <w:lang w:eastAsia="en-GB"/>
              </w:rPr>
              <w:t xml:space="preserve"> B.T.; </w:t>
            </w:r>
            <w:proofErr w:type="spellStart"/>
            <w:r w:rsidRPr="00572724">
              <w:rPr>
                <w:rFonts w:ascii="Times New Roman" w:eastAsia="Times New Roman" w:hAnsi="Times New Roman" w:cs="Times New Roman"/>
                <w:color w:val="000000"/>
                <w:lang w:eastAsia="en-GB"/>
              </w:rPr>
              <w:t>Mugari</w:t>
            </w:r>
            <w:proofErr w:type="spellEnd"/>
            <w:r w:rsidRPr="00572724">
              <w:rPr>
                <w:rFonts w:ascii="Times New Roman" w:eastAsia="Times New Roman" w:hAnsi="Times New Roman" w:cs="Times New Roman"/>
                <w:color w:val="000000"/>
                <w:lang w:eastAsia="en-GB"/>
              </w:rPr>
              <w:t xml:space="preserve"> Z.E.; </w:t>
            </w:r>
            <w:proofErr w:type="spellStart"/>
            <w:r w:rsidRPr="00572724">
              <w:rPr>
                <w:rFonts w:ascii="Times New Roman" w:eastAsia="Times New Roman" w:hAnsi="Times New Roman" w:cs="Times New Roman"/>
                <w:color w:val="000000"/>
                <w:lang w:eastAsia="en-GB"/>
              </w:rPr>
              <w:t>Mwadzingeni</w:t>
            </w:r>
            <w:proofErr w:type="spellEnd"/>
            <w:r w:rsidRPr="00572724">
              <w:rPr>
                <w:rFonts w:ascii="Times New Roman" w:eastAsia="Times New Roman" w:hAnsi="Times New Roman" w:cs="Times New Roman"/>
                <w:color w:val="000000"/>
                <w:lang w:eastAsia="en-GB"/>
              </w:rPr>
              <w:t xml:space="preserve"> L.; </w:t>
            </w:r>
            <w:proofErr w:type="spellStart"/>
            <w:r w:rsidRPr="00572724">
              <w:rPr>
                <w:rFonts w:ascii="Times New Roman" w:eastAsia="Times New Roman" w:hAnsi="Times New Roman" w:cs="Times New Roman"/>
                <w:color w:val="000000"/>
                <w:lang w:eastAsia="en-GB"/>
              </w:rPr>
              <w:t>Mafongoya</w:t>
            </w:r>
            <w:proofErr w:type="spellEnd"/>
            <w:r w:rsidRPr="00572724">
              <w:rPr>
                <w:rFonts w:ascii="Times New Roman" w:eastAsia="Times New Roman" w:hAnsi="Times New Roman" w:cs="Times New Roman"/>
                <w:color w:val="000000"/>
                <w:lang w:eastAsia="en-GB"/>
              </w:rPr>
              <w:t xml:space="preserve"> P.</w:t>
            </w:r>
          </w:p>
        </w:tc>
        <w:tc>
          <w:tcPr>
            <w:tcW w:w="4940" w:type="dxa"/>
            <w:tcBorders>
              <w:top w:val="nil"/>
              <w:left w:val="nil"/>
              <w:bottom w:val="single" w:sz="4" w:space="0" w:color="auto"/>
              <w:right w:val="single" w:sz="4" w:space="0" w:color="auto"/>
            </w:tcBorders>
            <w:shd w:val="clear" w:color="auto" w:fill="auto"/>
            <w:vAlign w:val="bottom"/>
            <w:hideMark/>
          </w:tcPr>
          <w:p w14:paraId="34BAC9F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Mapping and Managing Livelihoods Vulnerability to Drought: A Case Study of Chivi District in Zimbabwe</w:t>
            </w:r>
          </w:p>
        </w:tc>
        <w:tc>
          <w:tcPr>
            <w:tcW w:w="1240" w:type="dxa"/>
            <w:tcBorders>
              <w:top w:val="nil"/>
              <w:left w:val="nil"/>
              <w:bottom w:val="single" w:sz="4" w:space="0" w:color="auto"/>
              <w:right w:val="single" w:sz="4" w:space="0" w:color="auto"/>
            </w:tcBorders>
            <w:shd w:val="clear" w:color="auto" w:fill="auto"/>
            <w:noWrap/>
            <w:vAlign w:val="bottom"/>
            <w:hideMark/>
          </w:tcPr>
          <w:p w14:paraId="7CE2F33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73BAB336"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B3C0F3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Mulinde</w:t>
            </w:r>
            <w:proofErr w:type="spellEnd"/>
            <w:r w:rsidRPr="00572724">
              <w:rPr>
                <w:rFonts w:ascii="Times New Roman" w:eastAsia="Times New Roman" w:hAnsi="Times New Roman" w:cs="Times New Roman"/>
                <w:color w:val="000000"/>
                <w:lang w:eastAsia="en-GB"/>
              </w:rPr>
              <w:t xml:space="preserve"> C., </w:t>
            </w:r>
            <w:proofErr w:type="spellStart"/>
            <w:r w:rsidRPr="00572724">
              <w:rPr>
                <w:rFonts w:ascii="Times New Roman" w:eastAsia="Times New Roman" w:hAnsi="Times New Roman" w:cs="Times New Roman"/>
                <w:color w:val="000000"/>
                <w:lang w:eastAsia="en-GB"/>
              </w:rPr>
              <w:t>Majaliwa</w:t>
            </w:r>
            <w:proofErr w:type="spellEnd"/>
            <w:r w:rsidRPr="00572724">
              <w:rPr>
                <w:rFonts w:ascii="Times New Roman" w:eastAsia="Times New Roman" w:hAnsi="Times New Roman" w:cs="Times New Roman"/>
                <w:color w:val="000000"/>
                <w:lang w:eastAsia="en-GB"/>
              </w:rPr>
              <w:t xml:space="preserve"> J.G.M., </w:t>
            </w:r>
            <w:proofErr w:type="spellStart"/>
            <w:r w:rsidRPr="00572724">
              <w:rPr>
                <w:rFonts w:ascii="Times New Roman" w:eastAsia="Times New Roman" w:hAnsi="Times New Roman" w:cs="Times New Roman"/>
                <w:color w:val="000000"/>
                <w:lang w:eastAsia="en-GB"/>
              </w:rPr>
              <w:t>Twinomuhangi</w:t>
            </w:r>
            <w:proofErr w:type="spellEnd"/>
            <w:r w:rsidRPr="00572724">
              <w:rPr>
                <w:rFonts w:ascii="Times New Roman" w:eastAsia="Times New Roman" w:hAnsi="Times New Roman" w:cs="Times New Roman"/>
                <w:color w:val="000000"/>
                <w:lang w:eastAsia="en-GB"/>
              </w:rPr>
              <w:t xml:space="preserve"> R., </w:t>
            </w:r>
            <w:proofErr w:type="spellStart"/>
            <w:r w:rsidRPr="00572724">
              <w:rPr>
                <w:rFonts w:ascii="Times New Roman" w:eastAsia="Times New Roman" w:hAnsi="Times New Roman" w:cs="Times New Roman"/>
                <w:color w:val="000000"/>
                <w:lang w:eastAsia="en-GB"/>
              </w:rPr>
              <w:t>Mfitumukiza</w:t>
            </w:r>
            <w:proofErr w:type="spellEnd"/>
            <w:r w:rsidRPr="00572724">
              <w:rPr>
                <w:rFonts w:ascii="Times New Roman" w:eastAsia="Times New Roman" w:hAnsi="Times New Roman" w:cs="Times New Roman"/>
                <w:color w:val="000000"/>
                <w:lang w:eastAsia="en-GB"/>
              </w:rPr>
              <w:t xml:space="preserve"> D., </w:t>
            </w:r>
            <w:proofErr w:type="spellStart"/>
            <w:r w:rsidRPr="00572724">
              <w:rPr>
                <w:rFonts w:ascii="Times New Roman" w:eastAsia="Times New Roman" w:hAnsi="Times New Roman" w:cs="Times New Roman"/>
                <w:color w:val="000000"/>
                <w:lang w:eastAsia="en-GB"/>
              </w:rPr>
              <w:t>Komutunga</w:t>
            </w:r>
            <w:proofErr w:type="spellEnd"/>
            <w:r w:rsidRPr="00572724">
              <w:rPr>
                <w:rFonts w:ascii="Times New Roman" w:eastAsia="Times New Roman" w:hAnsi="Times New Roman" w:cs="Times New Roman"/>
                <w:color w:val="000000"/>
                <w:lang w:eastAsia="en-GB"/>
              </w:rPr>
              <w:t xml:space="preserve"> E., </w:t>
            </w:r>
            <w:proofErr w:type="spellStart"/>
            <w:r w:rsidRPr="00572724">
              <w:rPr>
                <w:rFonts w:ascii="Times New Roman" w:eastAsia="Times New Roman" w:hAnsi="Times New Roman" w:cs="Times New Roman"/>
                <w:color w:val="000000"/>
                <w:lang w:eastAsia="en-GB"/>
              </w:rPr>
              <w:t>Ampaire</w:t>
            </w:r>
            <w:proofErr w:type="spellEnd"/>
            <w:r w:rsidRPr="00572724">
              <w:rPr>
                <w:rFonts w:ascii="Times New Roman" w:eastAsia="Times New Roman" w:hAnsi="Times New Roman" w:cs="Times New Roman"/>
                <w:color w:val="000000"/>
                <w:lang w:eastAsia="en-GB"/>
              </w:rPr>
              <w:t xml:space="preserve"> E., Asiimwe J., Van Asten P., </w:t>
            </w:r>
            <w:proofErr w:type="spellStart"/>
            <w:r w:rsidRPr="00572724">
              <w:rPr>
                <w:rFonts w:ascii="Times New Roman" w:eastAsia="Times New Roman" w:hAnsi="Times New Roman" w:cs="Times New Roman"/>
                <w:color w:val="000000"/>
                <w:lang w:eastAsia="en-GB"/>
              </w:rPr>
              <w:t>Jassogne</w:t>
            </w:r>
            <w:proofErr w:type="spellEnd"/>
            <w:r w:rsidRPr="00572724">
              <w:rPr>
                <w:rFonts w:ascii="Times New Roman" w:eastAsia="Times New Roman" w:hAnsi="Times New Roman" w:cs="Times New Roman"/>
                <w:color w:val="000000"/>
                <w:lang w:eastAsia="en-GB"/>
              </w:rPr>
              <w:t xml:space="preserve"> L.,</w:t>
            </w:r>
          </w:p>
        </w:tc>
        <w:tc>
          <w:tcPr>
            <w:tcW w:w="4940" w:type="dxa"/>
            <w:tcBorders>
              <w:top w:val="nil"/>
              <w:left w:val="nil"/>
              <w:bottom w:val="single" w:sz="4" w:space="0" w:color="auto"/>
              <w:right w:val="single" w:sz="4" w:space="0" w:color="auto"/>
            </w:tcBorders>
            <w:shd w:val="clear" w:color="auto" w:fill="auto"/>
            <w:vAlign w:val="bottom"/>
            <w:hideMark/>
          </w:tcPr>
          <w:p w14:paraId="7A21457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Perceived climate risks and adaptation drivers in diverse coffee landscapes of Uganda</w:t>
            </w:r>
          </w:p>
        </w:tc>
        <w:tc>
          <w:tcPr>
            <w:tcW w:w="1240" w:type="dxa"/>
            <w:tcBorders>
              <w:top w:val="nil"/>
              <w:left w:val="nil"/>
              <w:bottom w:val="single" w:sz="4" w:space="0" w:color="auto"/>
              <w:right w:val="single" w:sz="4" w:space="0" w:color="auto"/>
            </w:tcBorders>
            <w:shd w:val="clear" w:color="auto" w:fill="auto"/>
            <w:vAlign w:val="bottom"/>
            <w:hideMark/>
          </w:tcPr>
          <w:p w14:paraId="6972C9F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2019</w:t>
            </w:r>
          </w:p>
        </w:tc>
      </w:tr>
      <w:tr w:rsidR="00572724" w:rsidRPr="00572724" w14:paraId="17C92879"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C7A1E7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Murungweni</w:t>
            </w:r>
            <w:proofErr w:type="spellEnd"/>
            <w:r w:rsidRPr="00572724">
              <w:rPr>
                <w:rFonts w:ascii="Times New Roman" w:eastAsia="Times New Roman" w:hAnsi="Times New Roman" w:cs="Times New Roman"/>
                <w:color w:val="000000"/>
                <w:lang w:eastAsia="en-GB"/>
              </w:rPr>
              <w:t xml:space="preserve"> C., van Wijk M.T., Giller K.E., Andersson J.A., </w:t>
            </w:r>
            <w:proofErr w:type="spellStart"/>
            <w:r w:rsidRPr="00572724">
              <w:rPr>
                <w:rFonts w:ascii="Times New Roman" w:eastAsia="Times New Roman" w:hAnsi="Times New Roman" w:cs="Times New Roman"/>
                <w:color w:val="000000"/>
                <w:lang w:eastAsia="en-GB"/>
              </w:rPr>
              <w:t>Smaling</w:t>
            </w:r>
            <w:proofErr w:type="spellEnd"/>
            <w:r w:rsidRPr="00572724">
              <w:rPr>
                <w:rFonts w:ascii="Times New Roman" w:eastAsia="Times New Roman" w:hAnsi="Times New Roman" w:cs="Times New Roman"/>
                <w:color w:val="000000"/>
                <w:lang w:eastAsia="en-GB"/>
              </w:rPr>
              <w:t xml:space="preserve"> E.M.A.,</w:t>
            </w:r>
          </w:p>
        </w:tc>
        <w:tc>
          <w:tcPr>
            <w:tcW w:w="4940" w:type="dxa"/>
            <w:tcBorders>
              <w:top w:val="nil"/>
              <w:left w:val="nil"/>
              <w:bottom w:val="single" w:sz="4" w:space="0" w:color="auto"/>
              <w:right w:val="single" w:sz="4" w:space="0" w:color="auto"/>
            </w:tcBorders>
            <w:shd w:val="clear" w:color="auto" w:fill="auto"/>
            <w:vAlign w:val="bottom"/>
            <w:hideMark/>
          </w:tcPr>
          <w:p w14:paraId="53EED0C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Adaptive livelihood strategies employed by farmers to close the food gap in semi-arid south eastern Zimbabwe</w:t>
            </w:r>
          </w:p>
        </w:tc>
        <w:tc>
          <w:tcPr>
            <w:tcW w:w="1240" w:type="dxa"/>
            <w:tcBorders>
              <w:top w:val="nil"/>
              <w:left w:val="nil"/>
              <w:bottom w:val="single" w:sz="4" w:space="0" w:color="auto"/>
              <w:right w:val="single" w:sz="4" w:space="0" w:color="auto"/>
            </w:tcBorders>
            <w:shd w:val="clear" w:color="auto" w:fill="auto"/>
            <w:vAlign w:val="bottom"/>
            <w:hideMark/>
          </w:tcPr>
          <w:p w14:paraId="0BCB780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2014</w:t>
            </w:r>
          </w:p>
        </w:tc>
      </w:tr>
      <w:tr w:rsidR="00572724" w:rsidRPr="00572724" w14:paraId="2952A254" w14:textId="77777777" w:rsidTr="00572724">
        <w:trPr>
          <w:trHeight w:val="1152"/>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B2261B5"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Mutabazi</w:t>
            </w:r>
            <w:proofErr w:type="spellEnd"/>
            <w:r w:rsidRPr="00572724">
              <w:rPr>
                <w:rFonts w:ascii="Times New Roman" w:eastAsia="Times New Roman" w:hAnsi="Times New Roman" w:cs="Times New Roman"/>
                <w:color w:val="000000"/>
                <w:lang w:eastAsia="en-GB"/>
              </w:rPr>
              <w:t xml:space="preserve"> K.D., </w:t>
            </w:r>
            <w:proofErr w:type="spellStart"/>
            <w:r w:rsidRPr="00572724">
              <w:rPr>
                <w:rFonts w:ascii="Times New Roman" w:eastAsia="Times New Roman" w:hAnsi="Times New Roman" w:cs="Times New Roman"/>
                <w:color w:val="000000"/>
                <w:lang w:eastAsia="en-GB"/>
              </w:rPr>
              <w:t>Amjath</w:t>
            </w:r>
            <w:proofErr w:type="spellEnd"/>
            <w:r w:rsidRPr="00572724">
              <w:rPr>
                <w:rFonts w:ascii="Times New Roman" w:eastAsia="Times New Roman" w:hAnsi="Times New Roman" w:cs="Times New Roman"/>
                <w:color w:val="000000"/>
                <w:lang w:eastAsia="en-GB"/>
              </w:rPr>
              <w:t xml:space="preserve">-Babu T.S., </w:t>
            </w:r>
            <w:proofErr w:type="spellStart"/>
            <w:r w:rsidRPr="00572724">
              <w:rPr>
                <w:rFonts w:ascii="Times New Roman" w:eastAsia="Times New Roman" w:hAnsi="Times New Roman" w:cs="Times New Roman"/>
                <w:color w:val="000000"/>
                <w:lang w:eastAsia="en-GB"/>
              </w:rPr>
              <w:t>Sieber</w:t>
            </w:r>
            <w:proofErr w:type="spellEnd"/>
            <w:r w:rsidRPr="00572724">
              <w:rPr>
                <w:rFonts w:ascii="Times New Roman" w:eastAsia="Times New Roman" w:hAnsi="Times New Roman" w:cs="Times New Roman"/>
                <w:color w:val="000000"/>
                <w:lang w:eastAsia="en-GB"/>
              </w:rPr>
              <w:t xml:space="preserve"> S.,</w:t>
            </w:r>
          </w:p>
        </w:tc>
        <w:tc>
          <w:tcPr>
            <w:tcW w:w="4940" w:type="dxa"/>
            <w:tcBorders>
              <w:top w:val="nil"/>
              <w:left w:val="nil"/>
              <w:bottom w:val="single" w:sz="4" w:space="0" w:color="auto"/>
              <w:right w:val="single" w:sz="4" w:space="0" w:color="auto"/>
            </w:tcBorders>
            <w:shd w:val="clear" w:color="auto" w:fill="auto"/>
            <w:vAlign w:val="bottom"/>
            <w:hideMark/>
          </w:tcPr>
          <w:p w14:paraId="110B15A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Influence of livelihood resources on adaptive strategies to enhance climatic resilience of farm households in Morogoro, Tanzania: an indicator-based analysis</w:t>
            </w:r>
          </w:p>
        </w:tc>
        <w:tc>
          <w:tcPr>
            <w:tcW w:w="1240" w:type="dxa"/>
            <w:tcBorders>
              <w:top w:val="nil"/>
              <w:left w:val="nil"/>
              <w:bottom w:val="single" w:sz="4" w:space="0" w:color="auto"/>
              <w:right w:val="single" w:sz="4" w:space="0" w:color="auto"/>
            </w:tcBorders>
            <w:shd w:val="clear" w:color="auto" w:fill="auto"/>
            <w:vAlign w:val="bottom"/>
            <w:hideMark/>
          </w:tcPr>
          <w:p w14:paraId="71496FCB"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2015</w:t>
            </w:r>
          </w:p>
        </w:tc>
      </w:tr>
      <w:tr w:rsidR="00572724" w:rsidRPr="00572724" w14:paraId="66E0E954"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22A336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Mutenje M.J., Farnworth C.R., Stirling C., </w:t>
            </w:r>
            <w:proofErr w:type="spellStart"/>
            <w:r w:rsidRPr="00572724">
              <w:rPr>
                <w:rFonts w:ascii="Times New Roman" w:eastAsia="Times New Roman" w:hAnsi="Times New Roman" w:cs="Times New Roman"/>
                <w:color w:val="000000"/>
                <w:lang w:eastAsia="en-GB"/>
              </w:rPr>
              <w:t>Thierfelder</w:t>
            </w:r>
            <w:proofErr w:type="spellEnd"/>
            <w:r w:rsidRPr="00572724">
              <w:rPr>
                <w:rFonts w:ascii="Times New Roman" w:eastAsia="Times New Roman" w:hAnsi="Times New Roman" w:cs="Times New Roman"/>
                <w:color w:val="000000"/>
                <w:lang w:eastAsia="en-GB"/>
              </w:rPr>
              <w:t xml:space="preserve"> C., </w:t>
            </w:r>
            <w:proofErr w:type="spellStart"/>
            <w:r w:rsidRPr="00572724">
              <w:rPr>
                <w:rFonts w:ascii="Times New Roman" w:eastAsia="Times New Roman" w:hAnsi="Times New Roman" w:cs="Times New Roman"/>
                <w:color w:val="000000"/>
                <w:lang w:eastAsia="en-GB"/>
              </w:rPr>
              <w:t>Mupangwa</w:t>
            </w:r>
            <w:proofErr w:type="spellEnd"/>
            <w:r w:rsidRPr="00572724">
              <w:rPr>
                <w:rFonts w:ascii="Times New Roman" w:eastAsia="Times New Roman" w:hAnsi="Times New Roman" w:cs="Times New Roman"/>
                <w:color w:val="000000"/>
                <w:lang w:eastAsia="en-GB"/>
              </w:rPr>
              <w:t xml:space="preserve"> W., </w:t>
            </w:r>
            <w:proofErr w:type="spellStart"/>
            <w:r w:rsidRPr="00572724">
              <w:rPr>
                <w:rFonts w:ascii="Times New Roman" w:eastAsia="Times New Roman" w:hAnsi="Times New Roman" w:cs="Times New Roman"/>
                <w:color w:val="000000"/>
                <w:lang w:eastAsia="en-GB"/>
              </w:rPr>
              <w:t>Nyagumbo</w:t>
            </w:r>
            <w:proofErr w:type="spellEnd"/>
            <w:r w:rsidRPr="00572724">
              <w:rPr>
                <w:rFonts w:ascii="Times New Roman" w:eastAsia="Times New Roman" w:hAnsi="Times New Roman" w:cs="Times New Roman"/>
                <w:color w:val="000000"/>
                <w:lang w:eastAsia="en-GB"/>
              </w:rPr>
              <w:t xml:space="preserve"> I.,</w:t>
            </w:r>
          </w:p>
        </w:tc>
        <w:tc>
          <w:tcPr>
            <w:tcW w:w="4940" w:type="dxa"/>
            <w:tcBorders>
              <w:top w:val="nil"/>
              <w:left w:val="nil"/>
              <w:bottom w:val="single" w:sz="4" w:space="0" w:color="auto"/>
              <w:right w:val="single" w:sz="4" w:space="0" w:color="auto"/>
            </w:tcBorders>
            <w:shd w:val="clear" w:color="auto" w:fill="auto"/>
            <w:vAlign w:val="bottom"/>
            <w:hideMark/>
          </w:tcPr>
          <w:p w14:paraId="0803BE4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 cost-benefit analysis of climate-smart agriculture options in Southern Africa: Balancing gender and technology</w:t>
            </w:r>
          </w:p>
        </w:tc>
        <w:tc>
          <w:tcPr>
            <w:tcW w:w="1240" w:type="dxa"/>
            <w:tcBorders>
              <w:top w:val="nil"/>
              <w:left w:val="nil"/>
              <w:bottom w:val="single" w:sz="4" w:space="0" w:color="auto"/>
              <w:right w:val="single" w:sz="4" w:space="0" w:color="auto"/>
            </w:tcBorders>
            <w:shd w:val="clear" w:color="auto" w:fill="auto"/>
            <w:vAlign w:val="bottom"/>
            <w:hideMark/>
          </w:tcPr>
          <w:p w14:paraId="12A88AC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2019</w:t>
            </w:r>
          </w:p>
        </w:tc>
      </w:tr>
      <w:tr w:rsidR="00572724" w:rsidRPr="00572724" w14:paraId="7C1DA966"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D64311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lastRenderedPageBreak/>
              <w:t>Mwadzingeni</w:t>
            </w:r>
            <w:proofErr w:type="spellEnd"/>
            <w:r w:rsidRPr="00572724">
              <w:rPr>
                <w:rFonts w:ascii="Times New Roman" w:eastAsia="Times New Roman" w:hAnsi="Times New Roman" w:cs="Times New Roman"/>
                <w:color w:val="000000"/>
                <w:lang w:eastAsia="en-GB"/>
              </w:rPr>
              <w:t xml:space="preserve"> L.; </w:t>
            </w:r>
            <w:proofErr w:type="spellStart"/>
            <w:r w:rsidRPr="00572724">
              <w:rPr>
                <w:rFonts w:ascii="Times New Roman" w:eastAsia="Times New Roman" w:hAnsi="Times New Roman" w:cs="Times New Roman"/>
                <w:color w:val="000000"/>
                <w:lang w:eastAsia="en-GB"/>
              </w:rPr>
              <w:t>Mugandani</w:t>
            </w:r>
            <w:proofErr w:type="spellEnd"/>
            <w:r w:rsidRPr="00572724">
              <w:rPr>
                <w:rFonts w:ascii="Times New Roman" w:eastAsia="Times New Roman" w:hAnsi="Times New Roman" w:cs="Times New Roman"/>
                <w:color w:val="000000"/>
                <w:lang w:eastAsia="en-GB"/>
              </w:rPr>
              <w:t xml:space="preserve"> R.; </w:t>
            </w:r>
            <w:proofErr w:type="spellStart"/>
            <w:r w:rsidRPr="00572724">
              <w:rPr>
                <w:rFonts w:ascii="Times New Roman" w:eastAsia="Times New Roman" w:hAnsi="Times New Roman" w:cs="Times New Roman"/>
                <w:color w:val="000000"/>
                <w:lang w:eastAsia="en-GB"/>
              </w:rPr>
              <w:t>Mafongoya</w:t>
            </w:r>
            <w:proofErr w:type="spellEnd"/>
            <w:r w:rsidRPr="00572724">
              <w:rPr>
                <w:rFonts w:ascii="Times New Roman" w:eastAsia="Times New Roman" w:hAnsi="Times New Roman" w:cs="Times New Roman"/>
                <w:color w:val="000000"/>
                <w:lang w:eastAsia="en-GB"/>
              </w:rPr>
              <w:t xml:space="preserve"> P.L.</w:t>
            </w:r>
          </w:p>
        </w:tc>
        <w:tc>
          <w:tcPr>
            <w:tcW w:w="4940" w:type="dxa"/>
            <w:tcBorders>
              <w:top w:val="nil"/>
              <w:left w:val="nil"/>
              <w:bottom w:val="single" w:sz="4" w:space="0" w:color="auto"/>
              <w:right w:val="single" w:sz="4" w:space="0" w:color="auto"/>
            </w:tcBorders>
            <w:shd w:val="clear" w:color="auto" w:fill="auto"/>
            <w:vAlign w:val="bottom"/>
            <w:hideMark/>
          </w:tcPr>
          <w:p w14:paraId="67BBA5E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Perception of climate change and coping strategies among smallholder irrigators in Zimbabwe</w:t>
            </w:r>
          </w:p>
        </w:tc>
        <w:tc>
          <w:tcPr>
            <w:tcW w:w="1240" w:type="dxa"/>
            <w:tcBorders>
              <w:top w:val="nil"/>
              <w:left w:val="nil"/>
              <w:bottom w:val="single" w:sz="4" w:space="0" w:color="auto"/>
              <w:right w:val="single" w:sz="4" w:space="0" w:color="auto"/>
            </w:tcBorders>
            <w:shd w:val="clear" w:color="auto" w:fill="auto"/>
            <w:noWrap/>
            <w:vAlign w:val="bottom"/>
            <w:hideMark/>
          </w:tcPr>
          <w:p w14:paraId="24D78BDF"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112B5A50"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8F8A18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Mwinuka, L; </w:t>
            </w:r>
            <w:proofErr w:type="spellStart"/>
            <w:r w:rsidRPr="00572724">
              <w:rPr>
                <w:rFonts w:ascii="Times New Roman" w:eastAsia="Times New Roman" w:hAnsi="Times New Roman" w:cs="Times New Roman"/>
                <w:color w:val="000000"/>
                <w:lang w:eastAsia="en-GB"/>
              </w:rPr>
              <w:t>Mutabazi</w:t>
            </w:r>
            <w:proofErr w:type="spellEnd"/>
            <w:r w:rsidRPr="00572724">
              <w:rPr>
                <w:rFonts w:ascii="Times New Roman" w:eastAsia="Times New Roman" w:hAnsi="Times New Roman" w:cs="Times New Roman"/>
                <w:color w:val="000000"/>
                <w:lang w:eastAsia="en-GB"/>
              </w:rPr>
              <w:t xml:space="preserve">, KD; </w:t>
            </w:r>
            <w:proofErr w:type="spellStart"/>
            <w:r w:rsidRPr="00572724">
              <w:rPr>
                <w:rFonts w:ascii="Times New Roman" w:eastAsia="Times New Roman" w:hAnsi="Times New Roman" w:cs="Times New Roman"/>
                <w:color w:val="000000"/>
                <w:lang w:eastAsia="en-GB"/>
              </w:rPr>
              <w:t>Makindara</w:t>
            </w:r>
            <w:proofErr w:type="spellEnd"/>
            <w:r w:rsidRPr="00572724">
              <w:rPr>
                <w:rFonts w:ascii="Times New Roman" w:eastAsia="Times New Roman" w:hAnsi="Times New Roman" w:cs="Times New Roman"/>
                <w:color w:val="000000"/>
                <w:lang w:eastAsia="en-GB"/>
              </w:rPr>
              <w:t xml:space="preserve">, J; </w:t>
            </w:r>
            <w:proofErr w:type="spellStart"/>
            <w:r w:rsidRPr="00572724">
              <w:rPr>
                <w:rFonts w:ascii="Times New Roman" w:eastAsia="Times New Roman" w:hAnsi="Times New Roman" w:cs="Times New Roman"/>
                <w:color w:val="000000"/>
                <w:lang w:eastAsia="en-GB"/>
              </w:rPr>
              <w:t>Sieber</w:t>
            </w:r>
            <w:proofErr w:type="spellEnd"/>
            <w:r w:rsidRPr="00572724">
              <w:rPr>
                <w:rFonts w:ascii="Times New Roman" w:eastAsia="Times New Roman" w:hAnsi="Times New Roman" w:cs="Times New Roman"/>
                <w:color w:val="000000"/>
                <w:lang w:eastAsia="en-GB"/>
              </w:rPr>
              <w:t>, S</w:t>
            </w:r>
          </w:p>
        </w:tc>
        <w:tc>
          <w:tcPr>
            <w:tcW w:w="4940" w:type="dxa"/>
            <w:tcBorders>
              <w:top w:val="nil"/>
              <w:left w:val="nil"/>
              <w:bottom w:val="single" w:sz="4" w:space="0" w:color="auto"/>
              <w:right w:val="single" w:sz="4" w:space="0" w:color="auto"/>
            </w:tcBorders>
            <w:shd w:val="clear" w:color="auto" w:fill="auto"/>
            <w:vAlign w:val="bottom"/>
            <w:hideMark/>
          </w:tcPr>
          <w:p w14:paraId="155941B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Reckoning the risks and rewards of fertilizer micro-dosing in a sub-humid farming system in Tanzania</w:t>
            </w:r>
          </w:p>
        </w:tc>
        <w:tc>
          <w:tcPr>
            <w:tcW w:w="1240" w:type="dxa"/>
            <w:tcBorders>
              <w:top w:val="nil"/>
              <w:left w:val="nil"/>
              <w:bottom w:val="single" w:sz="4" w:space="0" w:color="auto"/>
              <w:right w:val="single" w:sz="4" w:space="0" w:color="auto"/>
            </w:tcBorders>
            <w:shd w:val="clear" w:color="auto" w:fill="auto"/>
            <w:vAlign w:val="bottom"/>
            <w:hideMark/>
          </w:tcPr>
          <w:p w14:paraId="1C3AA728"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2016</w:t>
            </w:r>
          </w:p>
        </w:tc>
      </w:tr>
      <w:tr w:rsidR="00572724" w:rsidRPr="00572724" w14:paraId="79C8C20B"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7346C0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Mzyece</w:t>
            </w:r>
            <w:proofErr w:type="spellEnd"/>
            <w:r w:rsidRPr="00572724">
              <w:rPr>
                <w:rFonts w:ascii="Times New Roman" w:eastAsia="Times New Roman" w:hAnsi="Times New Roman" w:cs="Times New Roman"/>
                <w:color w:val="000000"/>
                <w:lang w:eastAsia="en-GB"/>
              </w:rPr>
              <w:t xml:space="preserve">, A; </w:t>
            </w:r>
            <w:proofErr w:type="spellStart"/>
            <w:r w:rsidRPr="00572724">
              <w:rPr>
                <w:rFonts w:ascii="Times New Roman" w:eastAsia="Times New Roman" w:hAnsi="Times New Roman" w:cs="Times New Roman"/>
                <w:color w:val="000000"/>
                <w:lang w:eastAsia="en-GB"/>
              </w:rPr>
              <w:t>Ng'ombe</w:t>
            </w:r>
            <w:proofErr w:type="spellEnd"/>
            <w:r w:rsidRPr="00572724">
              <w:rPr>
                <w:rFonts w:ascii="Times New Roman" w:eastAsia="Times New Roman" w:hAnsi="Times New Roman" w:cs="Times New Roman"/>
                <w:color w:val="000000"/>
                <w:lang w:eastAsia="en-GB"/>
              </w:rPr>
              <w:t>, JN</w:t>
            </w:r>
          </w:p>
        </w:tc>
        <w:tc>
          <w:tcPr>
            <w:tcW w:w="4940" w:type="dxa"/>
            <w:tcBorders>
              <w:top w:val="nil"/>
              <w:left w:val="nil"/>
              <w:bottom w:val="single" w:sz="4" w:space="0" w:color="auto"/>
              <w:right w:val="single" w:sz="4" w:space="0" w:color="auto"/>
            </w:tcBorders>
            <w:shd w:val="clear" w:color="auto" w:fill="auto"/>
            <w:vAlign w:val="bottom"/>
            <w:hideMark/>
          </w:tcPr>
          <w:p w14:paraId="4122296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Does Crop Diversification Involve a Trade-Off Between Technical Efficiency and Income Stability for Rural Farmers? Evidence from Zambia</w:t>
            </w:r>
          </w:p>
        </w:tc>
        <w:tc>
          <w:tcPr>
            <w:tcW w:w="1240" w:type="dxa"/>
            <w:tcBorders>
              <w:top w:val="nil"/>
              <w:left w:val="nil"/>
              <w:bottom w:val="single" w:sz="4" w:space="0" w:color="auto"/>
              <w:right w:val="single" w:sz="4" w:space="0" w:color="auto"/>
            </w:tcBorders>
            <w:shd w:val="clear" w:color="auto" w:fill="auto"/>
            <w:vAlign w:val="bottom"/>
            <w:hideMark/>
          </w:tcPr>
          <w:p w14:paraId="569A555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53F875BE"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5C91F3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Nand M.M.; </w:t>
            </w:r>
            <w:proofErr w:type="spellStart"/>
            <w:r w:rsidRPr="00572724">
              <w:rPr>
                <w:rFonts w:ascii="Times New Roman" w:eastAsia="Times New Roman" w:hAnsi="Times New Roman" w:cs="Times New Roman"/>
                <w:color w:val="000000"/>
                <w:lang w:eastAsia="en-GB"/>
              </w:rPr>
              <w:t>Bardsley</w:t>
            </w:r>
            <w:proofErr w:type="spellEnd"/>
            <w:r w:rsidRPr="00572724">
              <w:rPr>
                <w:rFonts w:ascii="Times New Roman" w:eastAsia="Times New Roman" w:hAnsi="Times New Roman" w:cs="Times New Roman"/>
                <w:color w:val="000000"/>
                <w:lang w:eastAsia="en-GB"/>
              </w:rPr>
              <w:t xml:space="preserve"> D.K.; Suh J.</w:t>
            </w:r>
          </w:p>
        </w:tc>
        <w:tc>
          <w:tcPr>
            <w:tcW w:w="4940" w:type="dxa"/>
            <w:tcBorders>
              <w:top w:val="nil"/>
              <w:left w:val="nil"/>
              <w:bottom w:val="single" w:sz="4" w:space="0" w:color="auto"/>
              <w:right w:val="single" w:sz="4" w:space="0" w:color="auto"/>
            </w:tcBorders>
            <w:shd w:val="clear" w:color="auto" w:fill="auto"/>
            <w:vAlign w:val="bottom"/>
            <w:hideMark/>
          </w:tcPr>
          <w:p w14:paraId="2FBFB80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Addressing unavoidable climate change loss and damage: A case study from Fiji’s sugar industry</w:t>
            </w:r>
          </w:p>
        </w:tc>
        <w:tc>
          <w:tcPr>
            <w:tcW w:w="1240" w:type="dxa"/>
            <w:tcBorders>
              <w:top w:val="nil"/>
              <w:left w:val="nil"/>
              <w:bottom w:val="single" w:sz="4" w:space="0" w:color="auto"/>
              <w:right w:val="single" w:sz="4" w:space="0" w:color="auto"/>
            </w:tcBorders>
            <w:shd w:val="clear" w:color="auto" w:fill="auto"/>
            <w:noWrap/>
            <w:vAlign w:val="bottom"/>
            <w:hideMark/>
          </w:tcPr>
          <w:p w14:paraId="6903DB14"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6F4026C4"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DC9CDF1"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r w:rsidRPr="00572724">
              <w:rPr>
                <w:rFonts w:ascii="Times New Roman" w:eastAsia="Times New Roman" w:hAnsi="Times New Roman" w:cs="Times New Roman"/>
                <w:color w:val="000000"/>
                <w:lang w:val="fr-FR" w:eastAsia="en-GB"/>
              </w:rPr>
              <w:t xml:space="preserve">Naz F., </w:t>
            </w:r>
            <w:proofErr w:type="spellStart"/>
            <w:r w:rsidRPr="00572724">
              <w:rPr>
                <w:rFonts w:ascii="Times New Roman" w:eastAsia="Times New Roman" w:hAnsi="Times New Roman" w:cs="Times New Roman"/>
                <w:color w:val="000000"/>
                <w:lang w:val="fr-FR" w:eastAsia="en-GB"/>
              </w:rPr>
              <w:t>Saqib</w:t>
            </w:r>
            <w:proofErr w:type="spellEnd"/>
            <w:r w:rsidRPr="00572724">
              <w:rPr>
                <w:rFonts w:ascii="Times New Roman" w:eastAsia="Times New Roman" w:hAnsi="Times New Roman" w:cs="Times New Roman"/>
                <w:color w:val="000000"/>
                <w:lang w:val="fr-FR" w:eastAsia="en-GB"/>
              </w:rPr>
              <w:t xml:space="preserve"> S.E.,</w:t>
            </w:r>
          </w:p>
        </w:tc>
        <w:tc>
          <w:tcPr>
            <w:tcW w:w="4940" w:type="dxa"/>
            <w:tcBorders>
              <w:top w:val="nil"/>
              <w:left w:val="nil"/>
              <w:bottom w:val="single" w:sz="4" w:space="0" w:color="auto"/>
              <w:right w:val="single" w:sz="4" w:space="0" w:color="auto"/>
            </w:tcBorders>
            <w:shd w:val="clear" w:color="auto" w:fill="auto"/>
            <w:vAlign w:val="bottom"/>
            <w:hideMark/>
          </w:tcPr>
          <w:p w14:paraId="41EE812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Gender-based differences in flood vulnerability among men and women in the char farming households of Bangladesh</w:t>
            </w:r>
          </w:p>
        </w:tc>
        <w:tc>
          <w:tcPr>
            <w:tcW w:w="1240" w:type="dxa"/>
            <w:tcBorders>
              <w:top w:val="nil"/>
              <w:left w:val="nil"/>
              <w:bottom w:val="single" w:sz="4" w:space="0" w:color="auto"/>
              <w:right w:val="single" w:sz="4" w:space="0" w:color="auto"/>
            </w:tcBorders>
            <w:shd w:val="clear" w:color="auto" w:fill="auto"/>
            <w:vAlign w:val="bottom"/>
            <w:hideMark/>
          </w:tcPr>
          <w:p w14:paraId="75DE611A"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5ACEB1D0"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B1C250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Nchu</w:t>
            </w:r>
            <w:proofErr w:type="spellEnd"/>
            <w:r w:rsidRPr="00572724">
              <w:rPr>
                <w:rFonts w:ascii="Times New Roman" w:eastAsia="Times New Roman" w:hAnsi="Times New Roman" w:cs="Times New Roman"/>
                <w:color w:val="000000"/>
                <w:lang w:eastAsia="en-GB"/>
              </w:rPr>
              <w:t xml:space="preserve"> I.N., </w:t>
            </w:r>
            <w:proofErr w:type="spellStart"/>
            <w:r w:rsidRPr="00572724">
              <w:rPr>
                <w:rFonts w:ascii="Times New Roman" w:eastAsia="Times New Roman" w:hAnsi="Times New Roman" w:cs="Times New Roman"/>
                <w:color w:val="000000"/>
                <w:lang w:eastAsia="en-GB"/>
              </w:rPr>
              <w:t>Kimengsi</w:t>
            </w:r>
            <w:proofErr w:type="spellEnd"/>
            <w:r w:rsidRPr="00572724">
              <w:rPr>
                <w:rFonts w:ascii="Times New Roman" w:eastAsia="Times New Roman" w:hAnsi="Times New Roman" w:cs="Times New Roman"/>
                <w:color w:val="000000"/>
                <w:lang w:eastAsia="en-GB"/>
              </w:rPr>
              <w:t xml:space="preserve"> J.N., Kapp G.,</w:t>
            </w:r>
          </w:p>
        </w:tc>
        <w:tc>
          <w:tcPr>
            <w:tcW w:w="4940" w:type="dxa"/>
            <w:tcBorders>
              <w:top w:val="nil"/>
              <w:left w:val="nil"/>
              <w:bottom w:val="single" w:sz="4" w:space="0" w:color="auto"/>
              <w:right w:val="single" w:sz="4" w:space="0" w:color="auto"/>
            </w:tcBorders>
            <w:shd w:val="clear" w:color="auto" w:fill="auto"/>
            <w:vAlign w:val="bottom"/>
            <w:hideMark/>
          </w:tcPr>
          <w:p w14:paraId="51C4CF0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Diagnosing climate adaptation constraints in rural subsistence farming systems in Cameroon: Gender and institutional perspectives</w:t>
            </w:r>
          </w:p>
        </w:tc>
        <w:tc>
          <w:tcPr>
            <w:tcW w:w="1240" w:type="dxa"/>
            <w:tcBorders>
              <w:top w:val="nil"/>
              <w:left w:val="nil"/>
              <w:bottom w:val="single" w:sz="4" w:space="0" w:color="auto"/>
              <w:right w:val="single" w:sz="4" w:space="0" w:color="auto"/>
            </w:tcBorders>
            <w:shd w:val="clear" w:color="auto" w:fill="auto"/>
            <w:vAlign w:val="bottom"/>
            <w:hideMark/>
          </w:tcPr>
          <w:p w14:paraId="064687A6"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2019</w:t>
            </w:r>
          </w:p>
        </w:tc>
      </w:tr>
      <w:tr w:rsidR="00572724" w:rsidRPr="00572724" w14:paraId="757C17DA"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6884F7B"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proofErr w:type="spellStart"/>
            <w:r w:rsidRPr="00572724">
              <w:rPr>
                <w:rFonts w:ascii="Times New Roman" w:eastAsia="Times New Roman" w:hAnsi="Times New Roman" w:cs="Times New Roman"/>
                <w:color w:val="000000"/>
                <w:lang w:val="fr-FR" w:eastAsia="en-GB"/>
              </w:rPr>
              <w:t>Ndlovu</w:t>
            </w:r>
            <w:proofErr w:type="spellEnd"/>
            <w:r w:rsidRPr="00572724">
              <w:rPr>
                <w:rFonts w:ascii="Times New Roman" w:eastAsia="Times New Roman" w:hAnsi="Times New Roman" w:cs="Times New Roman"/>
                <w:color w:val="000000"/>
                <w:lang w:val="fr-FR" w:eastAsia="en-GB"/>
              </w:rPr>
              <w:t xml:space="preserve"> E., </w:t>
            </w:r>
            <w:proofErr w:type="spellStart"/>
            <w:r w:rsidRPr="00572724">
              <w:rPr>
                <w:rFonts w:ascii="Times New Roman" w:eastAsia="Times New Roman" w:hAnsi="Times New Roman" w:cs="Times New Roman"/>
                <w:color w:val="000000"/>
                <w:lang w:val="fr-FR" w:eastAsia="en-GB"/>
              </w:rPr>
              <w:t>Prinsloo</w:t>
            </w:r>
            <w:proofErr w:type="spellEnd"/>
            <w:r w:rsidRPr="00572724">
              <w:rPr>
                <w:rFonts w:ascii="Times New Roman" w:eastAsia="Times New Roman" w:hAnsi="Times New Roman" w:cs="Times New Roman"/>
                <w:color w:val="000000"/>
                <w:lang w:val="fr-FR" w:eastAsia="en-GB"/>
              </w:rPr>
              <w:t xml:space="preserve"> B., le Roux T.,</w:t>
            </w:r>
          </w:p>
        </w:tc>
        <w:tc>
          <w:tcPr>
            <w:tcW w:w="4940" w:type="dxa"/>
            <w:tcBorders>
              <w:top w:val="nil"/>
              <w:left w:val="nil"/>
              <w:bottom w:val="single" w:sz="4" w:space="0" w:color="auto"/>
              <w:right w:val="single" w:sz="4" w:space="0" w:color="auto"/>
            </w:tcBorders>
            <w:shd w:val="clear" w:color="auto" w:fill="auto"/>
            <w:vAlign w:val="bottom"/>
            <w:hideMark/>
          </w:tcPr>
          <w:p w14:paraId="765DF02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Impact of climate change and variability on traditional farming systems: Farmers' perceptions from South-West, semi-arid Zimbabwe</w:t>
            </w:r>
          </w:p>
        </w:tc>
        <w:tc>
          <w:tcPr>
            <w:tcW w:w="1240" w:type="dxa"/>
            <w:tcBorders>
              <w:top w:val="nil"/>
              <w:left w:val="nil"/>
              <w:bottom w:val="single" w:sz="4" w:space="0" w:color="auto"/>
              <w:right w:val="single" w:sz="4" w:space="0" w:color="auto"/>
            </w:tcBorders>
            <w:shd w:val="clear" w:color="auto" w:fill="auto"/>
            <w:vAlign w:val="bottom"/>
            <w:hideMark/>
          </w:tcPr>
          <w:p w14:paraId="0CD2290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6177E35F"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4ABF62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Nera, E; Paas, W; </w:t>
            </w:r>
            <w:proofErr w:type="spellStart"/>
            <w:r w:rsidRPr="00572724">
              <w:rPr>
                <w:rFonts w:ascii="Times New Roman" w:eastAsia="Times New Roman" w:hAnsi="Times New Roman" w:cs="Times New Roman"/>
                <w:color w:val="000000"/>
                <w:lang w:eastAsia="en-GB"/>
              </w:rPr>
              <w:t>Reidsma</w:t>
            </w:r>
            <w:proofErr w:type="spellEnd"/>
            <w:r w:rsidRPr="00572724">
              <w:rPr>
                <w:rFonts w:ascii="Times New Roman" w:eastAsia="Times New Roman" w:hAnsi="Times New Roman" w:cs="Times New Roman"/>
                <w:color w:val="000000"/>
                <w:lang w:eastAsia="en-GB"/>
              </w:rPr>
              <w:t xml:space="preserve">, P; </w:t>
            </w:r>
            <w:proofErr w:type="spellStart"/>
            <w:r w:rsidRPr="00572724">
              <w:rPr>
                <w:rFonts w:ascii="Times New Roman" w:eastAsia="Times New Roman" w:hAnsi="Times New Roman" w:cs="Times New Roman"/>
                <w:color w:val="000000"/>
                <w:lang w:eastAsia="en-GB"/>
              </w:rPr>
              <w:t>Paolini</w:t>
            </w:r>
            <w:proofErr w:type="spellEnd"/>
            <w:r w:rsidRPr="00572724">
              <w:rPr>
                <w:rFonts w:ascii="Times New Roman" w:eastAsia="Times New Roman" w:hAnsi="Times New Roman" w:cs="Times New Roman"/>
                <w:color w:val="000000"/>
                <w:lang w:eastAsia="en-GB"/>
              </w:rPr>
              <w:t xml:space="preserve">, G; </w:t>
            </w:r>
            <w:proofErr w:type="spellStart"/>
            <w:r w:rsidRPr="00572724">
              <w:rPr>
                <w:rFonts w:ascii="Times New Roman" w:eastAsia="Times New Roman" w:hAnsi="Times New Roman" w:cs="Times New Roman"/>
                <w:color w:val="000000"/>
                <w:lang w:eastAsia="en-GB"/>
              </w:rPr>
              <w:t>Antonioli</w:t>
            </w:r>
            <w:proofErr w:type="spellEnd"/>
            <w:r w:rsidRPr="00572724">
              <w:rPr>
                <w:rFonts w:ascii="Times New Roman" w:eastAsia="Times New Roman" w:hAnsi="Times New Roman" w:cs="Times New Roman"/>
                <w:color w:val="000000"/>
                <w:lang w:eastAsia="en-GB"/>
              </w:rPr>
              <w:t xml:space="preserve">, F; </w:t>
            </w:r>
            <w:proofErr w:type="spellStart"/>
            <w:r w:rsidRPr="00572724">
              <w:rPr>
                <w:rFonts w:ascii="Times New Roman" w:eastAsia="Times New Roman" w:hAnsi="Times New Roman" w:cs="Times New Roman"/>
                <w:color w:val="000000"/>
                <w:lang w:eastAsia="en-GB"/>
              </w:rPr>
              <w:t>Severini</w:t>
            </w:r>
            <w:proofErr w:type="spellEnd"/>
            <w:r w:rsidRPr="00572724">
              <w:rPr>
                <w:rFonts w:ascii="Times New Roman" w:eastAsia="Times New Roman" w:hAnsi="Times New Roman" w:cs="Times New Roman"/>
                <w:color w:val="000000"/>
                <w:lang w:eastAsia="en-GB"/>
              </w:rPr>
              <w:t>, S</w:t>
            </w:r>
          </w:p>
        </w:tc>
        <w:tc>
          <w:tcPr>
            <w:tcW w:w="4940" w:type="dxa"/>
            <w:tcBorders>
              <w:top w:val="nil"/>
              <w:left w:val="nil"/>
              <w:bottom w:val="single" w:sz="4" w:space="0" w:color="auto"/>
              <w:right w:val="single" w:sz="4" w:space="0" w:color="auto"/>
            </w:tcBorders>
            <w:shd w:val="clear" w:color="auto" w:fill="auto"/>
            <w:vAlign w:val="bottom"/>
            <w:hideMark/>
          </w:tcPr>
          <w:p w14:paraId="440E84F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Assessing the Resilience and Sustainability of a Hazelnut Farming System in Central Italy with a Participatory Approach</w:t>
            </w:r>
          </w:p>
        </w:tc>
        <w:tc>
          <w:tcPr>
            <w:tcW w:w="1240" w:type="dxa"/>
            <w:tcBorders>
              <w:top w:val="nil"/>
              <w:left w:val="nil"/>
              <w:bottom w:val="single" w:sz="4" w:space="0" w:color="auto"/>
              <w:right w:val="single" w:sz="4" w:space="0" w:color="auto"/>
            </w:tcBorders>
            <w:shd w:val="clear" w:color="auto" w:fill="auto"/>
            <w:vAlign w:val="bottom"/>
            <w:hideMark/>
          </w:tcPr>
          <w:p w14:paraId="7C0EDE6D"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243269F9"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F5AA361"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proofErr w:type="spellStart"/>
            <w:r w:rsidRPr="00572724">
              <w:rPr>
                <w:rFonts w:ascii="Times New Roman" w:eastAsia="Times New Roman" w:hAnsi="Times New Roman" w:cs="Times New Roman"/>
                <w:color w:val="000000"/>
                <w:lang w:val="fr-FR" w:eastAsia="en-GB"/>
              </w:rPr>
              <w:t>Nettier</w:t>
            </w:r>
            <w:proofErr w:type="spellEnd"/>
            <w:r w:rsidRPr="00572724">
              <w:rPr>
                <w:rFonts w:ascii="Times New Roman" w:eastAsia="Times New Roman" w:hAnsi="Times New Roman" w:cs="Times New Roman"/>
                <w:color w:val="000000"/>
                <w:lang w:val="fr-FR" w:eastAsia="en-GB"/>
              </w:rPr>
              <w:t xml:space="preserve"> B., </w:t>
            </w:r>
            <w:proofErr w:type="spellStart"/>
            <w:r w:rsidRPr="00572724">
              <w:rPr>
                <w:rFonts w:ascii="Times New Roman" w:eastAsia="Times New Roman" w:hAnsi="Times New Roman" w:cs="Times New Roman"/>
                <w:color w:val="000000"/>
                <w:lang w:val="fr-FR" w:eastAsia="en-GB"/>
              </w:rPr>
              <w:t>Dobremez</w:t>
            </w:r>
            <w:proofErr w:type="spellEnd"/>
            <w:r w:rsidRPr="00572724">
              <w:rPr>
                <w:rFonts w:ascii="Times New Roman" w:eastAsia="Times New Roman" w:hAnsi="Times New Roman" w:cs="Times New Roman"/>
                <w:color w:val="000000"/>
                <w:lang w:val="fr-FR" w:eastAsia="en-GB"/>
              </w:rPr>
              <w:t xml:space="preserve"> L., </w:t>
            </w:r>
            <w:proofErr w:type="spellStart"/>
            <w:r w:rsidRPr="00572724">
              <w:rPr>
                <w:rFonts w:ascii="Times New Roman" w:eastAsia="Times New Roman" w:hAnsi="Times New Roman" w:cs="Times New Roman"/>
                <w:color w:val="000000"/>
                <w:lang w:val="fr-FR" w:eastAsia="en-GB"/>
              </w:rPr>
              <w:t>Coussy</w:t>
            </w:r>
            <w:proofErr w:type="spellEnd"/>
            <w:r w:rsidRPr="00572724">
              <w:rPr>
                <w:rFonts w:ascii="Times New Roman" w:eastAsia="Times New Roman" w:hAnsi="Times New Roman" w:cs="Times New Roman"/>
                <w:color w:val="000000"/>
                <w:lang w:val="fr-FR" w:eastAsia="en-GB"/>
              </w:rPr>
              <w:t xml:space="preserve"> J.-L., Romagny T.,</w:t>
            </w:r>
          </w:p>
        </w:tc>
        <w:tc>
          <w:tcPr>
            <w:tcW w:w="4940" w:type="dxa"/>
            <w:tcBorders>
              <w:top w:val="nil"/>
              <w:left w:val="nil"/>
              <w:bottom w:val="single" w:sz="4" w:space="0" w:color="auto"/>
              <w:right w:val="single" w:sz="4" w:space="0" w:color="auto"/>
            </w:tcBorders>
            <w:shd w:val="clear" w:color="auto" w:fill="auto"/>
            <w:vAlign w:val="bottom"/>
            <w:hideMark/>
          </w:tcPr>
          <w:p w14:paraId="633AA15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Attitudes of livestock farmers and sensitivity of livestock farming systems to drought conditions in the French Alps</w:t>
            </w:r>
          </w:p>
        </w:tc>
        <w:tc>
          <w:tcPr>
            <w:tcW w:w="1240" w:type="dxa"/>
            <w:tcBorders>
              <w:top w:val="nil"/>
              <w:left w:val="nil"/>
              <w:bottom w:val="single" w:sz="4" w:space="0" w:color="auto"/>
              <w:right w:val="single" w:sz="4" w:space="0" w:color="auto"/>
            </w:tcBorders>
            <w:shd w:val="clear" w:color="auto" w:fill="auto"/>
            <w:vAlign w:val="bottom"/>
            <w:hideMark/>
          </w:tcPr>
          <w:p w14:paraId="5B4C9664"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2010</w:t>
            </w:r>
          </w:p>
        </w:tc>
      </w:tr>
      <w:tr w:rsidR="00572724" w:rsidRPr="00572724" w14:paraId="18FD232F" w14:textId="77777777" w:rsidTr="00572724">
        <w:trPr>
          <w:trHeight w:val="1152"/>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D1841A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Nguyen H.Q., Tran D.D., Luan P.D.M.H., Ho L.H., Loan V.T.K., Anh Ngoc P.T., Quang N.D., Wyatt A., Sea W.,</w:t>
            </w:r>
          </w:p>
        </w:tc>
        <w:tc>
          <w:tcPr>
            <w:tcW w:w="4940" w:type="dxa"/>
            <w:tcBorders>
              <w:top w:val="nil"/>
              <w:left w:val="nil"/>
              <w:bottom w:val="single" w:sz="4" w:space="0" w:color="auto"/>
              <w:right w:val="single" w:sz="4" w:space="0" w:color="auto"/>
            </w:tcBorders>
            <w:shd w:val="clear" w:color="auto" w:fill="auto"/>
            <w:vAlign w:val="bottom"/>
            <w:hideMark/>
          </w:tcPr>
          <w:p w14:paraId="669BBFD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Socio-ecological resilience of mangrove-shrimp models under various threats exacerbated from salinity intrusion in coastal area of the Vietnamese Mekong Delta</w:t>
            </w:r>
          </w:p>
        </w:tc>
        <w:tc>
          <w:tcPr>
            <w:tcW w:w="1240" w:type="dxa"/>
            <w:tcBorders>
              <w:top w:val="nil"/>
              <w:left w:val="nil"/>
              <w:bottom w:val="single" w:sz="4" w:space="0" w:color="auto"/>
              <w:right w:val="single" w:sz="4" w:space="0" w:color="auto"/>
            </w:tcBorders>
            <w:shd w:val="clear" w:color="auto" w:fill="auto"/>
            <w:vAlign w:val="bottom"/>
            <w:hideMark/>
          </w:tcPr>
          <w:p w14:paraId="001AA37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6B80BB23"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23B829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lastRenderedPageBreak/>
              <w:t xml:space="preserve">Nyong A.P., </w:t>
            </w:r>
            <w:proofErr w:type="spellStart"/>
            <w:r w:rsidRPr="00572724">
              <w:rPr>
                <w:rFonts w:ascii="Times New Roman" w:eastAsia="Times New Roman" w:hAnsi="Times New Roman" w:cs="Times New Roman"/>
                <w:color w:val="000000"/>
                <w:lang w:eastAsia="en-GB"/>
              </w:rPr>
              <w:t>Ngankam</w:t>
            </w:r>
            <w:proofErr w:type="spellEnd"/>
            <w:r w:rsidRPr="00572724">
              <w:rPr>
                <w:rFonts w:ascii="Times New Roman" w:eastAsia="Times New Roman" w:hAnsi="Times New Roman" w:cs="Times New Roman"/>
                <w:color w:val="000000"/>
                <w:lang w:eastAsia="en-GB"/>
              </w:rPr>
              <w:t xml:space="preserve"> T.M., </w:t>
            </w:r>
            <w:proofErr w:type="spellStart"/>
            <w:r w:rsidRPr="00572724">
              <w:rPr>
                <w:rFonts w:ascii="Times New Roman" w:eastAsia="Times New Roman" w:hAnsi="Times New Roman" w:cs="Times New Roman"/>
                <w:color w:val="000000"/>
                <w:lang w:eastAsia="en-GB"/>
              </w:rPr>
              <w:t>Felicite</w:t>
            </w:r>
            <w:proofErr w:type="spellEnd"/>
            <w:r w:rsidRPr="00572724">
              <w:rPr>
                <w:rFonts w:ascii="Times New Roman" w:eastAsia="Times New Roman" w:hAnsi="Times New Roman" w:cs="Times New Roman"/>
                <w:color w:val="000000"/>
                <w:lang w:eastAsia="en-GB"/>
              </w:rPr>
              <w:t xml:space="preserve"> T.L.,</w:t>
            </w:r>
          </w:p>
        </w:tc>
        <w:tc>
          <w:tcPr>
            <w:tcW w:w="4940" w:type="dxa"/>
            <w:tcBorders>
              <w:top w:val="nil"/>
              <w:left w:val="nil"/>
              <w:bottom w:val="single" w:sz="4" w:space="0" w:color="auto"/>
              <w:right w:val="single" w:sz="4" w:space="0" w:color="auto"/>
            </w:tcBorders>
            <w:shd w:val="clear" w:color="auto" w:fill="auto"/>
            <w:vAlign w:val="bottom"/>
            <w:hideMark/>
          </w:tcPr>
          <w:p w14:paraId="000DABC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Enhancement of resilience to climate variability and change through agroforestry practices in smallholder farming systems in Cameroon</w:t>
            </w:r>
          </w:p>
        </w:tc>
        <w:tc>
          <w:tcPr>
            <w:tcW w:w="1240" w:type="dxa"/>
            <w:tcBorders>
              <w:top w:val="nil"/>
              <w:left w:val="nil"/>
              <w:bottom w:val="single" w:sz="4" w:space="0" w:color="auto"/>
              <w:right w:val="single" w:sz="4" w:space="0" w:color="auto"/>
            </w:tcBorders>
            <w:shd w:val="clear" w:color="auto" w:fill="auto"/>
            <w:vAlign w:val="bottom"/>
            <w:hideMark/>
          </w:tcPr>
          <w:p w14:paraId="278319C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5D6460D7"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4981F0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Ocak</w:t>
            </w:r>
            <w:proofErr w:type="spellEnd"/>
            <w:r w:rsidRPr="00572724">
              <w:rPr>
                <w:rFonts w:ascii="Times New Roman" w:eastAsia="Times New Roman" w:hAnsi="Times New Roman" w:cs="Times New Roman"/>
                <w:color w:val="000000"/>
                <w:lang w:eastAsia="en-GB"/>
              </w:rPr>
              <w:t xml:space="preserve"> </w:t>
            </w:r>
            <w:proofErr w:type="spellStart"/>
            <w:r w:rsidRPr="00572724">
              <w:rPr>
                <w:rFonts w:ascii="Times New Roman" w:eastAsia="Times New Roman" w:hAnsi="Times New Roman" w:cs="Times New Roman"/>
                <w:color w:val="000000"/>
                <w:lang w:eastAsia="en-GB"/>
              </w:rPr>
              <w:t>Yetisgin</w:t>
            </w:r>
            <w:proofErr w:type="spellEnd"/>
            <w:r w:rsidRPr="00572724">
              <w:rPr>
                <w:rFonts w:ascii="Times New Roman" w:eastAsia="Times New Roman" w:hAnsi="Times New Roman" w:cs="Times New Roman"/>
                <w:color w:val="000000"/>
                <w:lang w:eastAsia="en-GB"/>
              </w:rPr>
              <w:t xml:space="preserve"> S.; </w:t>
            </w:r>
            <w:proofErr w:type="spellStart"/>
            <w:r w:rsidRPr="00572724">
              <w:rPr>
                <w:rFonts w:ascii="Times New Roman" w:eastAsia="Times New Roman" w:hAnsi="Times New Roman" w:cs="Times New Roman"/>
                <w:color w:val="000000"/>
                <w:lang w:eastAsia="en-GB"/>
              </w:rPr>
              <w:t>Önder</w:t>
            </w:r>
            <w:proofErr w:type="spellEnd"/>
            <w:r w:rsidRPr="00572724">
              <w:rPr>
                <w:rFonts w:ascii="Times New Roman" w:eastAsia="Times New Roman" w:hAnsi="Times New Roman" w:cs="Times New Roman"/>
                <w:color w:val="000000"/>
                <w:lang w:eastAsia="en-GB"/>
              </w:rPr>
              <w:t xml:space="preserve"> H.; </w:t>
            </w:r>
            <w:proofErr w:type="spellStart"/>
            <w:r w:rsidRPr="00572724">
              <w:rPr>
                <w:rFonts w:ascii="Times New Roman" w:eastAsia="Times New Roman" w:hAnsi="Times New Roman" w:cs="Times New Roman"/>
                <w:color w:val="000000"/>
                <w:lang w:eastAsia="en-GB"/>
              </w:rPr>
              <w:t>Şen</w:t>
            </w:r>
            <w:proofErr w:type="spellEnd"/>
            <w:r w:rsidRPr="00572724">
              <w:rPr>
                <w:rFonts w:ascii="Times New Roman" w:eastAsia="Times New Roman" w:hAnsi="Times New Roman" w:cs="Times New Roman"/>
                <w:color w:val="000000"/>
                <w:lang w:eastAsia="en-GB"/>
              </w:rPr>
              <w:t xml:space="preserve"> U.; </w:t>
            </w:r>
            <w:proofErr w:type="spellStart"/>
            <w:r w:rsidRPr="00572724">
              <w:rPr>
                <w:rFonts w:ascii="Times New Roman" w:eastAsia="Times New Roman" w:hAnsi="Times New Roman" w:cs="Times New Roman"/>
                <w:color w:val="000000"/>
                <w:lang w:eastAsia="en-GB"/>
              </w:rPr>
              <w:t>Piwczyński</w:t>
            </w:r>
            <w:proofErr w:type="spellEnd"/>
            <w:r w:rsidRPr="00572724">
              <w:rPr>
                <w:rFonts w:ascii="Times New Roman" w:eastAsia="Times New Roman" w:hAnsi="Times New Roman" w:cs="Times New Roman"/>
                <w:color w:val="000000"/>
                <w:lang w:eastAsia="en-GB"/>
              </w:rPr>
              <w:t xml:space="preserve"> D.; </w:t>
            </w:r>
            <w:proofErr w:type="spellStart"/>
            <w:r w:rsidRPr="00572724">
              <w:rPr>
                <w:rFonts w:ascii="Times New Roman" w:eastAsia="Times New Roman" w:hAnsi="Times New Roman" w:cs="Times New Roman"/>
                <w:color w:val="000000"/>
                <w:lang w:eastAsia="en-GB"/>
              </w:rPr>
              <w:t>Kolenda</w:t>
            </w:r>
            <w:proofErr w:type="spellEnd"/>
            <w:r w:rsidRPr="00572724">
              <w:rPr>
                <w:rFonts w:ascii="Times New Roman" w:eastAsia="Times New Roman" w:hAnsi="Times New Roman" w:cs="Times New Roman"/>
                <w:color w:val="000000"/>
                <w:lang w:eastAsia="en-GB"/>
              </w:rPr>
              <w:t xml:space="preserve"> M.; </w:t>
            </w:r>
            <w:proofErr w:type="spellStart"/>
            <w:r w:rsidRPr="00572724">
              <w:rPr>
                <w:rFonts w:ascii="Times New Roman" w:eastAsia="Times New Roman" w:hAnsi="Times New Roman" w:cs="Times New Roman"/>
                <w:color w:val="000000"/>
                <w:lang w:eastAsia="en-GB"/>
              </w:rPr>
              <w:t>Sitkowska</w:t>
            </w:r>
            <w:proofErr w:type="spellEnd"/>
            <w:r w:rsidRPr="00572724">
              <w:rPr>
                <w:rFonts w:ascii="Times New Roman" w:eastAsia="Times New Roman" w:hAnsi="Times New Roman" w:cs="Times New Roman"/>
                <w:color w:val="000000"/>
                <w:lang w:eastAsia="en-GB"/>
              </w:rPr>
              <w:t xml:space="preserve"> B.; </w:t>
            </w:r>
            <w:proofErr w:type="spellStart"/>
            <w:r w:rsidRPr="00572724">
              <w:rPr>
                <w:rFonts w:ascii="Times New Roman" w:eastAsia="Times New Roman" w:hAnsi="Times New Roman" w:cs="Times New Roman"/>
                <w:color w:val="000000"/>
                <w:lang w:eastAsia="en-GB"/>
              </w:rPr>
              <w:t>Yucel</w:t>
            </w:r>
            <w:proofErr w:type="spellEnd"/>
            <w:r w:rsidRPr="00572724">
              <w:rPr>
                <w:rFonts w:ascii="Times New Roman" w:eastAsia="Times New Roman" w:hAnsi="Times New Roman" w:cs="Times New Roman"/>
                <w:color w:val="000000"/>
                <w:lang w:eastAsia="en-GB"/>
              </w:rPr>
              <w:t xml:space="preserve"> C.</w:t>
            </w:r>
          </w:p>
        </w:tc>
        <w:tc>
          <w:tcPr>
            <w:tcW w:w="4940" w:type="dxa"/>
            <w:tcBorders>
              <w:top w:val="nil"/>
              <w:left w:val="nil"/>
              <w:bottom w:val="single" w:sz="4" w:space="0" w:color="auto"/>
              <w:right w:val="single" w:sz="4" w:space="0" w:color="auto"/>
            </w:tcBorders>
            <w:shd w:val="clear" w:color="auto" w:fill="auto"/>
            <w:vAlign w:val="bottom"/>
            <w:hideMark/>
          </w:tcPr>
          <w:p w14:paraId="1AEA5BC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Farmers’ Risk Perception on Climate Change: Transhumance vs. Semi-Intensive Sheep Production Systems in Türkiye</w:t>
            </w:r>
          </w:p>
        </w:tc>
        <w:tc>
          <w:tcPr>
            <w:tcW w:w="1240" w:type="dxa"/>
            <w:tcBorders>
              <w:top w:val="nil"/>
              <w:left w:val="nil"/>
              <w:bottom w:val="single" w:sz="4" w:space="0" w:color="auto"/>
              <w:right w:val="single" w:sz="4" w:space="0" w:color="auto"/>
            </w:tcBorders>
            <w:shd w:val="clear" w:color="auto" w:fill="auto"/>
            <w:noWrap/>
            <w:vAlign w:val="bottom"/>
            <w:hideMark/>
          </w:tcPr>
          <w:p w14:paraId="2BCFC92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2FEAEADC"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EE3EE1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Olumba</w:t>
            </w:r>
            <w:proofErr w:type="spellEnd"/>
            <w:r w:rsidRPr="00572724">
              <w:rPr>
                <w:rFonts w:ascii="Times New Roman" w:eastAsia="Times New Roman" w:hAnsi="Times New Roman" w:cs="Times New Roman"/>
                <w:color w:val="000000"/>
                <w:lang w:eastAsia="en-GB"/>
              </w:rPr>
              <w:t xml:space="preserve"> C.N.; </w:t>
            </w:r>
            <w:proofErr w:type="spellStart"/>
            <w:r w:rsidRPr="00572724">
              <w:rPr>
                <w:rFonts w:ascii="Times New Roman" w:eastAsia="Times New Roman" w:hAnsi="Times New Roman" w:cs="Times New Roman"/>
                <w:color w:val="000000"/>
                <w:lang w:eastAsia="en-GB"/>
              </w:rPr>
              <w:t>Ihemezie</w:t>
            </w:r>
            <w:proofErr w:type="spellEnd"/>
            <w:r w:rsidRPr="00572724">
              <w:rPr>
                <w:rFonts w:ascii="Times New Roman" w:eastAsia="Times New Roman" w:hAnsi="Times New Roman" w:cs="Times New Roman"/>
                <w:color w:val="000000"/>
                <w:lang w:eastAsia="en-GB"/>
              </w:rPr>
              <w:t xml:space="preserve"> E.J.; </w:t>
            </w:r>
            <w:proofErr w:type="spellStart"/>
            <w:r w:rsidRPr="00572724">
              <w:rPr>
                <w:rFonts w:ascii="Times New Roman" w:eastAsia="Times New Roman" w:hAnsi="Times New Roman" w:cs="Times New Roman"/>
                <w:color w:val="000000"/>
                <w:lang w:eastAsia="en-GB"/>
              </w:rPr>
              <w:t>Olumba</w:t>
            </w:r>
            <w:proofErr w:type="spellEnd"/>
            <w:r w:rsidRPr="00572724">
              <w:rPr>
                <w:rFonts w:ascii="Times New Roman" w:eastAsia="Times New Roman" w:hAnsi="Times New Roman" w:cs="Times New Roman"/>
                <w:color w:val="000000"/>
                <w:lang w:eastAsia="en-GB"/>
              </w:rPr>
              <w:t xml:space="preserve"> C.C.</w:t>
            </w:r>
          </w:p>
        </w:tc>
        <w:tc>
          <w:tcPr>
            <w:tcW w:w="4940" w:type="dxa"/>
            <w:tcBorders>
              <w:top w:val="nil"/>
              <w:left w:val="nil"/>
              <w:bottom w:val="single" w:sz="4" w:space="0" w:color="auto"/>
              <w:right w:val="single" w:sz="4" w:space="0" w:color="auto"/>
            </w:tcBorders>
            <w:shd w:val="clear" w:color="auto" w:fill="auto"/>
            <w:vAlign w:val="bottom"/>
            <w:hideMark/>
          </w:tcPr>
          <w:p w14:paraId="3933092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 perception, adaptation strategies, and constraints amongst urban farmers in Anambra Metropolis, Nigeria</w:t>
            </w:r>
          </w:p>
        </w:tc>
        <w:tc>
          <w:tcPr>
            <w:tcW w:w="1240" w:type="dxa"/>
            <w:tcBorders>
              <w:top w:val="nil"/>
              <w:left w:val="nil"/>
              <w:bottom w:val="single" w:sz="4" w:space="0" w:color="auto"/>
              <w:right w:val="single" w:sz="4" w:space="0" w:color="auto"/>
            </w:tcBorders>
            <w:shd w:val="clear" w:color="auto" w:fill="auto"/>
            <w:vAlign w:val="bottom"/>
            <w:hideMark/>
          </w:tcPr>
          <w:p w14:paraId="75F41588"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602C247D"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240B57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Omerkhil</w:t>
            </w:r>
            <w:proofErr w:type="spellEnd"/>
            <w:r w:rsidRPr="00572724">
              <w:rPr>
                <w:rFonts w:ascii="Times New Roman" w:eastAsia="Times New Roman" w:hAnsi="Times New Roman" w:cs="Times New Roman"/>
                <w:color w:val="000000"/>
                <w:lang w:eastAsia="en-GB"/>
              </w:rPr>
              <w:t xml:space="preserve"> N., Chand T., Valente D., </w:t>
            </w:r>
            <w:proofErr w:type="spellStart"/>
            <w:r w:rsidRPr="00572724">
              <w:rPr>
                <w:rFonts w:ascii="Times New Roman" w:eastAsia="Times New Roman" w:hAnsi="Times New Roman" w:cs="Times New Roman"/>
                <w:color w:val="000000"/>
                <w:lang w:eastAsia="en-GB"/>
              </w:rPr>
              <w:t>Alatalo</w:t>
            </w:r>
            <w:proofErr w:type="spellEnd"/>
            <w:r w:rsidRPr="00572724">
              <w:rPr>
                <w:rFonts w:ascii="Times New Roman" w:eastAsia="Times New Roman" w:hAnsi="Times New Roman" w:cs="Times New Roman"/>
                <w:color w:val="000000"/>
                <w:lang w:eastAsia="en-GB"/>
              </w:rPr>
              <w:t xml:space="preserve"> J.M., Pandey R.,</w:t>
            </w:r>
          </w:p>
        </w:tc>
        <w:tc>
          <w:tcPr>
            <w:tcW w:w="4940" w:type="dxa"/>
            <w:tcBorders>
              <w:top w:val="nil"/>
              <w:left w:val="nil"/>
              <w:bottom w:val="single" w:sz="4" w:space="0" w:color="auto"/>
              <w:right w:val="single" w:sz="4" w:space="0" w:color="auto"/>
            </w:tcBorders>
            <w:shd w:val="clear" w:color="auto" w:fill="auto"/>
            <w:vAlign w:val="bottom"/>
            <w:hideMark/>
          </w:tcPr>
          <w:p w14:paraId="677F65C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Climate change vulnerability and adaptation strategies for smallholder farmers in </w:t>
            </w:r>
            <w:proofErr w:type="spellStart"/>
            <w:r w:rsidRPr="00572724">
              <w:rPr>
                <w:rFonts w:ascii="Times New Roman" w:eastAsia="Times New Roman" w:hAnsi="Times New Roman" w:cs="Times New Roman"/>
                <w:color w:val="000000"/>
                <w:lang w:eastAsia="en-GB"/>
              </w:rPr>
              <w:t>Yangi</w:t>
            </w:r>
            <w:proofErr w:type="spellEnd"/>
            <w:r w:rsidRPr="00572724">
              <w:rPr>
                <w:rFonts w:ascii="Times New Roman" w:eastAsia="Times New Roman" w:hAnsi="Times New Roman" w:cs="Times New Roman"/>
                <w:color w:val="000000"/>
                <w:lang w:eastAsia="en-GB"/>
              </w:rPr>
              <w:t xml:space="preserve"> Qala District, Takhar, Afghanistan</w:t>
            </w:r>
          </w:p>
        </w:tc>
        <w:tc>
          <w:tcPr>
            <w:tcW w:w="1240" w:type="dxa"/>
            <w:tcBorders>
              <w:top w:val="nil"/>
              <w:left w:val="nil"/>
              <w:bottom w:val="single" w:sz="4" w:space="0" w:color="auto"/>
              <w:right w:val="single" w:sz="4" w:space="0" w:color="auto"/>
            </w:tcBorders>
            <w:shd w:val="clear" w:color="auto" w:fill="auto"/>
            <w:vAlign w:val="bottom"/>
            <w:hideMark/>
          </w:tcPr>
          <w:p w14:paraId="1D6FAC2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125DD479"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880C4D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Onyeneke</w:t>
            </w:r>
            <w:proofErr w:type="spellEnd"/>
            <w:r w:rsidRPr="00572724">
              <w:rPr>
                <w:rFonts w:ascii="Times New Roman" w:eastAsia="Times New Roman" w:hAnsi="Times New Roman" w:cs="Times New Roman"/>
                <w:color w:val="000000"/>
                <w:lang w:eastAsia="en-GB"/>
              </w:rPr>
              <w:t xml:space="preserve"> R.U.; </w:t>
            </w:r>
            <w:proofErr w:type="spellStart"/>
            <w:r w:rsidRPr="00572724">
              <w:rPr>
                <w:rFonts w:ascii="Times New Roman" w:eastAsia="Times New Roman" w:hAnsi="Times New Roman" w:cs="Times New Roman"/>
                <w:color w:val="000000"/>
                <w:lang w:eastAsia="en-GB"/>
              </w:rPr>
              <w:t>Amadi</w:t>
            </w:r>
            <w:proofErr w:type="spellEnd"/>
            <w:r w:rsidRPr="00572724">
              <w:rPr>
                <w:rFonts w:ascii="Times New Roman" w:eastAsia="Times New Roman" w:hAnsi="Times New Roman" w:cs="Times New Roman"/>
                <w:color w:val="000000"/>
                <w:lang w:eastAsia="en-GB"/>
              </w:rPr>
              <w:t xml:space="preserve"> M.U.; Njoku C.L.; Osuji E.E.</w:t>
            </w:r>
          </w:p>
        </w:tc>
        <w:tc>
          <w:tcPr>
            <w:tcW w:w="4940" w:type="dxa"/>
            <w:tcBorders>
              <w:top w:val="nil"/>
              <w:left w:val="nil"/>
              <w:bottom w:val="single" w:sz="4" w:space="0" w:color="auto"/>
              <w:right w:val="single" w:sz="4" w:space="0" w:color="auto"/>
            </w:tcBorders>
            <w:shd w:val="clear" w:color="auto" w:fill="auto"/>
            <w:vAlign w:val="bottom"/>
            <w:hideMark/>
          </w:tcPr>
          <w:p w14:paraId="1F0B9E55"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Climate change perception and uptake of climate-smart agriculture in rice production in </w:t>
            </w:r>
            <w:proofErr w:type="spellStart"/>
            <w:r w:rsidRPr="00572724">
              <w:rPr>
                <w:rFonts w:ascii="Times New Roman" w:eastAsia="Times New Roman" w:hAnsi="Times New Roman" w:cs="Times New Roman"/>
                <w:color w:val="000000"/>
                <w:lang w:eastAsia="en-GB"/>
              </w:rPr>
              <w:t>ebonyi</w:t>
            </w:r>
            <w:proofErr w:type="spellEnd"/>
            <w:r w:rsidRPr="00572724">
              <w:rPr>
                <w:rFonts w:ascii="Times New Roman" w:eastAsia="Times New Roman" w:hAnsi="Times New Roman" w:cs="Times New Roman"/>
                <w:color w:val="000000"/>
                <w:lang w:eastAsia="en-GB"/>
              </w:rPr>
              <w:t xml:space="preserve"> state, </w:t>
            </w:r>
            <w:proofErr w:type="spellStart"/>
            <w:r w:rsidRPr="00572724">
              <w:rPr>
                <w:rFonts w:ascii="Times New Roman" w:eastAsia="Times New Roman" w:hAnsi="Times New Roman" w:cs="Times New Roman"/>
                <w:color w:val="000000"/>
                <w:lang w:eastAsia="en-GB"/>
              </w:rPr>
              <w:t>nigeria</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14:paraId="1BC5E7E4"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5741635B"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4ACD3BD"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proofErr w:type="spellStart"/>
            <w:r w:rsidRPr="00572724">
              <w:rPr>
                <w:rFonts w:ascii="Times New Roman" w:eastAsia="Times New Roman" w:hAnsi="Times New Roman" w:cs="Times New Roman"/>
                <w:color w:val="000000"/>
                <w:lang w:val="fr-FR" w:eastAsia="en-GB"/>
              </w:rPr>
              <w:t>Panta</w:t>
            </w:r>
            <w:proofErr w:type="spellEnd"/>
            <w:r w:rsidRPr="00572724">
              <w:rPr>
                <w:rFonts w:ascii="Times New Roman" w:eastAsia="Times New Roman" w:hAnsi="Times New Roman" w:cs="Times New Roman"/>
                <w:color w:val="000000"/>
                <w:lang w:val="fr-FR" w:eastAsia="en-GB"/>
              </w:rPr>
              <w:t xml:space="preserve">, B; </w:t>
            </w:r>
            <w:proofErr w:type="spellStart"/>
            <w:r w:rsidRPr="00572724">
              <w:rPr>
                <w:rFonts w:ascii="Times New Roman" w:eastAsia="Times New Roman" w:hAnsi="Times New Roman" w:cs="Times New Roman"/>
                <w:color w:val="000000"/>
                <w:lang w:val="fr-FR" w:eastAsia="en-GB"/>
              </w:rPr>
              <w:t>Bhandari</w:t>
            </w:r>
            <w:proofErr w:type="spellEnd"/>
            <w:r w:rsidRPr="00572724">
              <w:rPr>
                <w:rFonts w:ascii="Times New Roman" w:eastAsia="Times New Roman" w:hAnsi="Times New Roman" w:cs="Times New Roman"/>
                <w:color w:val="000000"/>
                <w:lang w:val="fr-FR" w:eastAsia="en-GB"/>
              </w:rPr>
              <w:t xml:space="preserve">, T; </w:t>
            </w:r>
            <w:proofErr w:type="spellStart"/>
            <w:r w:rsidRPr="00572724">
              <w:rPr>
                <w:rFonts w:ascii="Times New Roman" w:eastAsia="Times New Roman" w:hAnsi="Times New Roman" w:cs="Times New Roman"/>
                <w:color w:val="000000"/>
                <w:lang w:val="fr-FR" w:eastAsia="en-GB"/>
              </w:rPr>
              <w:t>Paudel</w:t>
            </w:r>
            <w:proofErr w:type="spellEnd"/>
            <w:r w:rsidRPr="00572724">
              <w:rPr>
                <w:rFonts w:ascii="Times New Roman" w:eastAsia="Times New Roman" w:hAnsi="Times New Roman" w:cs="Times New Roman"/>
                <w:color w:val="000000"/>
                <w:lang w:val="fr-FR" w:eastAsia="en-GB"/>
              </w:rPr>
              <w:t>, B</w:t>
            </w:r>
          </w:p>
        </w:tc>
        <w:tc>
          <w:tcPr>
            <w:tcW w:w="4940" w:type="dxa"/>
            <w:tcBorders>
              <w:top w:val="nil"/>
              <w:left w:val="nil"/>
              <w:bottom w:val="single" w:sz="4" w:space="0" w:color="auto"/>
              <w:right w:val="single" w:sz="4" w:space="0" w:color="auto"/>
            </w:tcBorders>
            <w:shd w:val="clear" w:color="auto" w:fill="auto"/>
            <w:vAlign w:val="bottom"/>
            <w:hideMark/>
          </w:tcPr>
          <w:p w14:paraId="6543D2D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Soil erosion vulnerability and adaptation strategies in maize field of </w:t>
            </w:r>
            <w:proofErr w:type="spellStart"/>
            <w:r w:rsidRPr="00572724">
              <w:rPr>
                <w:rFonts w:ascii="Times New Roman" w:eastAsia="Times New Roman" w:hAnsi="Times New Roman" w:cs="Times New Roman"/>
                <w:color w:val="000000"/>
                <w:lang w:eastAsia="en-GB"/>
              </w:rPr>
              <w:t>Sindhukhola</w:t>
            </w:r>
            <w:proofErr w:type="spellEnd"/>
            <w:r w:rsidRPr="00572724">
              <w:rPr>
                <w:rFonts w:ascii="Times New Roman" w:eastAsia="Times New Roman" w:hAnsi="Times New Roman" w:cs="Times New Roman"/>
                <w:color w:val="000000"/>
                <w:lang w:eastAsia="en-GB"/>
              </w:rPr>
              <w:t xml:space="preserve"> sub-watershed region, Nepal</w:t>
            </w:r>
          </w:p>
        </w:tc>
        <w:tc>
          <w:tcPr>
            <w:tcW w:w="1240" w:type="dxa"/>
            <w:tcBorders>
              <w:top w:val="nil"/>
              <w:left w:val="nil"/>
              <w:bottom w:val="single" w:sz="4" w:space="0" w:color="auto"/>
              <w:right w:val="single" w:sz="4" w:space="0" w:color="auto"/>
            </w:tcBorders>
            <w:shd w:val="clear" w:color="auto" w:fill="auto"/>
            <w:vAlign w:val="bottom"/>
            <w:hideMark/>
          </w:tcPr>
          <w:p w14:paraId="75FBC85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3910055A"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28D8B4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Paul C., Weber M., </w:t>
            </w:r>
            <w:proofErr w:type="spellStart"/>
            <w:r w:rsidRPr="00572724">
              <w:rPr>
                <w:rFonts w:ascii="Times New Roman" w:eastAsia="Times New Roman" w:hAnsi="Times New Roman" w:cs="Times New Roman"/>
                <w:color w:val="000000"/>
                <w:lang w:eastAsia="en-GB"/>
              </w:rPr>
              <w:t>Knoke</w:t>
            </w:r>
            <w:proofErr w:type="spellEnd"/>
            <w:r w:rsidRPr="00572724">
              <w:rPr>
                <w:rFonts w:ascii="Times New Roman" w:eastAsia="Times New Roman" w:hAnsi="Times New Roman" w:cs="Times New Roman"/>
                <w:color w:val="000000"/>
                <w:lang w:eastAsia="en-GB"/>
              </w:rPr>
              <w:t xml:space="preserve"> T.,</w:t>
            </w:r>
          </w:p>
        </w:tc>
        <w:tc>
          <w:tcPr>
            <w:tcW w:w="4940" w:type="dxa"/>
            <w:tcBorders>
              <w:top w:val="nil"/>
              <w:left w:val="nil"/>
              <w:bottom w:val="single" w:sz="4" w:space="0" w:color="auto"/>
              <w:right w:val="single" w:sz="4" w:space="0" w:color="auto"/>
            </w:tcBorders>
            <w:shd w:val="clear" w:color="auto" w:fill="auto"/>
            <w:vAlign w:val="bottom"/>
            <w:hideMark/>
          </w:tcPr>
          <w:p w14:paraId="0B24E7E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Agroforestry versus farm mosaic systems – Comparing land-use efficiency, economic returns and risks under climate change effects</w:t>
            </w:r>
          </w:p>
        </w:tc>
        <w:tc>
          <w:tcPr>
            <w:tcW w:w="1240" w:type="dxa"/>
            <w:tcBorders>
              <w:top w:val="nil"/>
              <w:left w:val="nil"/>
              <w:bottom w:val="single" w:sz="4" w:space="0" w:color="auto"/>
              <w:right w:val="single" w:sz="4" w:space="0" w:color="auto"/>
            </w:tcBorders>
            <w:shd w:val="clear" w:color="auto" w:fill="auto"/>
            <w:vAlign w:val="bottom"/>
            <w:hideMark/>
          </w:tcPr>
          <w:p w14:paraId="21E0685A"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2017</w:t>
            </w:r>
          </w:p>
        </w:tc>
      </w:tr>
      <w:tr w:rsidR="00572724" w:rsidRPr="00572724" w14:paraId="1404539E"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6AA0EE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Pearson L.J.; Dare M.</w:t>
            </w:r>
          </w:p>
        </w:tc>
        <w:tc>
          <w:tcPr>
            <w:tcW w:w="4940" w:type="dxa"/>
            <w:tcBorders>
              <w:top w:val="nil"/>
              <w:left w:val="nil"/>
              <w:bottom w:val="single" w:sz="4" w:space="0" w:color="auto"/>
              <w:right w:val="single" w:sz="4" w:space="0" w:color="auto"/>
            </w:tcBorders>
            <w:shd w:val="clear" w:color="auto" w:fill="auto"/>
            <w:vAlign w:val="bottom"/>
            <w:hideMark/>
          </w:tcPr>
          <w:p w14:paraId="350B3EF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Farmer pathways to sustainability in the face of water scarcity</w:t>
            </w:r>
          </w:p>
        </w:tc>
        <w:tc>
          <w:tcPr>
            <w:tcW w:w="1240" w:type="dxa"/>
            <w:tcBorders>
              <w:top w:val="nil"/>
              <w:left w:val="nil"/>
              <w:bottom w:val="single" w:sz="4" w:space="0" w:color="auto"/>
              <w:right w:val="single" w:sz="4" w:space="0" w:color="auto"/>
            </w:tcBorders>
            <w:shd w:val="clear" w:color="auto" w:fill="auto"/>
            <w:noWrap/>
            <w:vAlign w:val="bottom"/>
            <w:hideMark/>
          </w:tcPr>
          <w:p w14:paraId="0B7B4B4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3985AD7C"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5087FF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Perin</w:t>
            </w:r>
            <w:proofErr w:type="spellEnd"/>
            <w:r w:rsidRPr="00572724">
              <w:rPr>
                <w:rFonts w:ascii="Times New Roman" w:eastAsia="Times New Roman" w:hAnsi="Times New Roman" w:cs="Times New Roman"/>
                <w:color w:val="000000"/>
                <w:lang w:eastAsia="en-GB"/>
              </w:rPr>
              <w:t xml:space="preserve"> L.; </w:t>
            </w:r>
            <w:proofErr w:type="spellStart"/>
            <w:r w:rsidRPr="00572724">
              <w:rPr>
                <w:rFonts w:ascii="Times New Roman" w:eastAsia="Times New Roman" w:hAnsi="Times New Roman" w:cs="Times New Roman"/>
                <w:color w:val="000000"/>
                <w:lang w:eastAsia="en-GB"/>
              </w:rPr>
              <w:t>Enahoro</w:t>
            </w:r>
            <w:proofErr w:type="spellEnd"/>
            <w:r w:rsidRPr="00572724">
              <w:rPr>
                <w:rFonts w:ascii="Times New Roman" w:eastAsia="Times New Roman" w:hAnsi="Times New Roman" w:cs="Times New Roman"/>
                <w:color w:val="000000"/>
                <w:lang w:eastAsia="en-GB"/>
              </w:rPr>
              <w:t xml:space="preserve"> D.</w:t>
            </w:r>
          </w:p>
        </w:tc>
        <w:tc>
          <w:tcPr>
            <w:tcW w:w="4940" w:type="dxa"/>
            <w:tcBorders>
              <w:top w:val="nil"/>
              <w:left w:val="nil"/>
              <w:bottom w:val="single" w:sz="4" w:space="0" w:color="auto"/>
              <w:right w:val="single" w:sz="4" w:space="0" w:color="auto"/>
            </w:tcBorders>
            <w:shd w:val="clear" w:color="auto" w:fill="auto"/>
            <w:vAlign w:val="bottom"/>
            <w:hideMark/>
          </w:tcPr>
          <w:p w14:paraId="3220BBC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Foresight study on dairy farming systems in Central Kenya and north of Senegal</w:t>
            </w:r>
          </w:p>
        </w:tc>
        <w:tc>
          <w:tcPr>
            <w:tcW w:w="1240" w:type="dxa"/>
            <w:tcBorders>
              <w:top w:val="nil"/>
              <w:left w:val="nil"/>
              <w:bottom w:val="single" w:sz="4" w:space="0" w:color="auto"/>
              <w:right w:val="single" w:sz="4" w:space="0" w:color="auto"/>
            </w:tcBorders>
            <w:shd w:val="clear" w:color="auto" w:fill="auto"/>
            <w:noWrap/>
            <w:vAlign w:val="bottom"/>
            <w:hideMark/>
          </w:tcPr>
          <w:p w14:paraId="2CCFC35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2113D8EF"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85D2F75"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Phelan D.C., Harrison M.T., Kemmerer E.P., Parsons D.,</w:t>
            </w:r>
          </w:p>
        </w:tc>
        <w:tc>
          <w:tcPr>
            <w:tcW w:w="4940" w:type="dxa"/>
            <w:tcBorders>
              <w:top w:val="nil"/>
              <w:left w:val="nil"/>
              <w:bottom w:val="single" w:sz="4" w:space="0" w:color="auto"/>
              <w:right w:val="single" w:sz="4" w:space="0" w:color="auto"/>
            </w:tcBorders>
            <w:shd w:val="clear" w:color="auto" w:fill="auto"/>
            <w:vAlign w:val="bottom"/>
            <w:hideMark/>
          </w:tcPr>
          <w:p w14:paraId="09F28B4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Management opportunities for boosting productivity of cool-temperate dairy farms under climate change</w:t>
            </w:r>
          </w:p>
        </w:tc>
        <w:tc>
          <w:tcPr>
            <w:tcW w:w="1240" w:type="dxa"/>
            <w:tcBorders>
              <w:top w:val="nil"/>
              <w:left w:val="nil"/>
              <w:bottom w:val="single" w:sz="4" w:space="0" w:color="auto"/>
              <w:right w:val="single" w:sz="4" w:space="0" w:color="auto"/>
            </w:tcBorders>
            <w:shd w:val="clear" w:color="auto" w:fill="auto"/>
            <w:vAlign w:val="bottom"/>
            <w:hideMark/>
          </w:tcPr>
          <w:p w14:paraId="38D6BCC0"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2015</w:t>
            </w:r>
          </w:p>
        </w:tc>
      </w:tr>
      <w:tr w:rsidR="00572724" w:rsidRPr="00572724" w14:paraId="194FEB2C"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17611BC"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proofErr w:type="spellStart"/>
            <w:r w:rsidRPr="00572724">
              <w:rPr>
                <w:rFonts w:ascii="Times New Roman" w:eastAsia="Times New Roman" w:hAnsi="Times New Roman" w:cs="Times New Roman"/>
                <w:color w:val="000000"/>
                <w:lang w:val="fr-FR" w:eastAsia="en-GB"/>
              </w:rPr>
              <w:t>Pinsard</w:t>
            </w:r>
            <w:proofErr w:type="spellEnd"/>
            <w:r w:rsidRPr="00572724">
              <w:rPr>
                <w:rFonts w:ascii="Times New Roman" w:eastAsia="Times New Roman" w:hAnsi="Times New Roman" w:cs="Times New Roman"/>
                <w:color w:val="000000"/>
                <w:lang w:val="fr-FR" w:eastAsia="en-GB"/>
              </w:rPr>
              <w:t xml:space="preserve">, C; Morais, TG; Domingos, T; </w:t>
            </w:r>
            <w:proofErr w:type="spellStart"/>
            <w:r w:rsidRPr="00572724">
              <w:rPr>
                <w:rFonts w:ascii="Times New Roman" w:eastAsia="Times New Roman" w:hAnsi="Times New Roman" w:cs="Times New Roman"/>
                <w:color w:val="000000"/>
                <w:lang w:val="fr-FR" w:eastAsia="en-GB"/>
              </w:rPr>
              <w:t>Accatino</w:t>
            </w:r>
            <w:proofErr w:type="spellEnd"/>
            <w:r w:rsidRPr="00572724">
              <w:rPr>
                <w:rFonts w:ascii="Times New Roman" w:eastAsia="Times New Roman" w:hAnsi="Times New Roman" w:cs="Times New Roman"/>
                <w:color w:val="000000"/>
                <w:lang w:val="fr-FR" w:eastAsia="en-GB"/>
              </w:rPr>
              <w:t>, F; Teixeira, RFM</w:t>
            </w:r>
          </w:p>
        </w:tc>
        <w:tc>
          <w:tcPr>
            <w:tcW w:w="4940" w:type="dxa"/>
            <w:tcBorders>
              <w:top w:val="nil"/>
              <w:left w:val="nil"/>
              <w:bottom w:val="single" w:sz="4" w:space="0" w:color="auto"/>
              <w:right w:val="single" w:sz="4" w:space="0" w:color="auto"/>
            </w:tcBorders>
            <w:shd w:val="clear" w:color="auto" w:fill="auto"/>
            <w:vAlign w:val="bottom"/>
            <w:hideMark/>
          </w:tcPr>
          <w:p w14:paraId="799302A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Strategies for future robust meat production and climate change mitigation under imported input constraints in </w:t>
            </w:r>
            <w:proofErr w:type="spellStart"/>
            <w:r w:rsidRPr="00572724">
              <w:rPr>
                <w:rFonts w:ascii="Times New Roman" w:eastAsia="Times New Roman" w:hAnsi="Times New Roman" w:cs="Times New Roman"/>
                <w:color w:val="000000"/>
                <w:lang w:eastAsia="en-GB"/>
              </w:rPr>
              <w:t>Alentejo</w:t>
            </w:r>
            <w:proofErr w:type="spellEnd"/>
            <w:r w:rsidRPr="00572724">
              <w:rPr>
                <w:rFonts w:ascii="Times New Roman" w:eastAsia="Times New Roman" w:hAnsi="Times New Roman" w:cs="Times New Roman"/>
                <w:color w:val="000000"/>
                <w:lang w:eastAsia="en-GB"/>
              </w:rPr>
              <w:t>, Portugal</w:t>
            </w:r>
          </w:p>
        </w:tc>
        <w:tc>
          <w:tcPr>
            <w:tcW w:w="1240" w:type="dxa"/>
            <w:tcBorders>
              <w:top w:val="nil"/>
              <w:left w:val="nil"/>
              <w:bottom w:val="single" w:sz="4" w:space="0" w:color="auto"/>
              <w:right w:val="single" w:sz="4" w:space="0" w:color="auto"/>
            </w:tcBorders>
            <w:shd w:val="clear" w:color="auto" w:fill="auto"/>
            <w:vAlign w:val="bottom"/>
            <w:hideMark/>
          </w:tcPr>
          <w:p w14:paraId="17D9CB10"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0F1DAA1A"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9FDBFF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lastRenderedPageBreak/>
              <w:t xml:space="preserve">Poelma T., </w:t>
            </w:r>
            <w:proofErr w:type="spellStart"/>
            <w:r w:rsidRPr="00572724">
              <w:rPr>
                <w:rFonts w:ascii="Times New Roman" w:eastAsia="Times New Roman" w:hAnsi="Times New Roman" w:cs="Times New Roman"/>
                <w:color w:val="000000"/>
                <w:lang w:eastAsia="en-GB"/>
              </w:rPr>
              <w:t>Bayrak</w:t>
            </w:r>
            <w:proofErr w:type="spellEnd"/>
            <w:r w:rsidRPr="00572724">
              <w:rPr>
                <w:rFonts w:ascii="Times New Roman" w:eastAsia="Times New Roman" w:hAnsi="Times New Roman" w:cs="Times New Roman"/>
                <w:color w:val="000000"/>
                <w:lang w:eastAsia="en-GB"/>
              </w:rPr>
              <w:t xml:space="preserve"> M.M., Van </w:t>
            </w:r>
            <w:proofErr w:type="spellStart"/>
            <w:r w:rsidRPr="00572724">
              <w:rPr>
                <w:rFonts w:ascii="Times New Roman" w:eastAsia="Times New Roman" w:hAnsi="Times New Roman" w:cs="Times New Roman"/>
                <w:color w:val="000000"/>
                <w:lang w:eastAsia="en-GB"/>
              </w:rPr>
              <w:t>Nha</w:t>
            </w:r>
            <w:proofErr w:type="spellEnd"/>
            <w:r w:rsidRPr="00572724">
              <w:rPr>
                <w:rFonts w:ascii="Times New Roman" w:eastAsia="Times New Roman" w:hAnsi="Times New Roman" w:cs="Times New Roman"/>
                <w:color w:val="000000"/>
                <w:lang w:eastAsia="en-GB"/>
              </w:rPr>
              <w:t xml:space="preserve"> D., Tran T.A.,</w:t>
            </w:r>
          </w:p>
        </w:tc>
        <w:tc>
          <w:tcPr>
            <w:tcW w:w="4940" w:type="dxa"/>
            <w:tcBorders>
              <w:top w:val="nil"/>
              <w:left w:val="nil"/>
              <w:bottom w:val="single" w:sz="4" w:space="0" w:color="auto"/>
              <w:right w:val="single" w:sz="4" w:space="0" w:color="auto"/>
            </w:tcBorders>
            <w:shd w:val="clear" w:color="auto" w:fill="auto"/>
            <w:vAlign w:val="bottom"/>
            <w:hideMark/>
          </w:tcPr>
          <w:p w14:paraId="06BA3D6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 and livelihood resilience capacities in the Mekong Delta: a case study on the transition to rice–shrimp farming in Vietnam’s Kien Giang Province</w:t>
            </w:r>
          </w:p>
        </w:tc>
        <w:tc>
          <w:tcPr>
            <w:tcW w:w="1240" w:type="dxa"/>
            <w:tcBorders>
              <w:top w:val="nil"/>
              <w:left w:val="nil"/>
              <w:bottom w:val="single" w:sz="4" w:space="0" w:color="auto"/>
              <w:right w:val="single" w:sz="4" w:space="0" w:color="auto"/>
            </w:tcBorders>
            <w:shd w:val="clear" w:color="auto" w:fill="auto"/>
            <w:vAlign w:val="bottom"/>
            <w:hideMark/>
          </w:tcPr>
          <w:p w14:paraId="31D3382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5AEC7DAC"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01365F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Postigo</w:t>
            </w:r>
            <w:proofErr w:type="spellEnd"/>
            <w:r w:rsidRPr="00572724">
              <w:rPr>
                <w:rFonts w:ascii="Times New Roman" w:eastAsia="Times New Roman" w:hAnsi="Times New Roman" w:cs="Times New Roman"/>
                <w:color w:val="000000"/>
                <w:lang w:eastAsia="en-GB"/>
              </w:rPr>
              <w:t xml:space="preserve"> J.C.; </w:t>
            </w:r>
            <w:proofErr w:type="spellStart"/>
            <w:r w:rsidRPr="00572724">
              <w:rPr>
                <w:rFonts w:ascii="Times New Roman" w:eastAsia="Times New Roman" w:hAnsi="Times New Roman" w:cs="Times New Roman"/>
                <w:color w:val="000000"/>
                <w:lang w:eastAsia="en-GB"/>
              </w:rPr>
              <w:t>Guáqueta</w:t>
            </w:r>
            <w:proofErr w:type="spellEnd"/>
            <w:r w:rsidRPr="00572724">
              <w:rPr>
                <w:rFonts w:ascii="Times New Roman" w:eastAsia="Times New Roman" w:hAnsi="Times New Roman" w:cs="Times New Roman"/>
                <w:color w:val="000000"/>
                <w:lang w:eastAsia="en-GB"/>
              </w:rPr>
              <w:t xml:space="preserve">-Solórzano V.-E.; </w:t>
            </w:r>
            <w:proofErr w:type="spellStart"/>
            <w:r w:rsidRPr="00572724">
              <w:rPr>
                <w:rFonts w:ascii="Times New Roman" w:eastAsia="Times New Roman" w:hAnsi="Times New Roman" w:cs="Times New Roman"/>
                <w:color w:val="000000"/>
                <w:lang w:eastAsia="en-GB"/>
              </w:rPr>
              <w:t>Castañeda</w:t>
            </w:r>
            <w:proofErr w:type="spellEnd"/>
            <w:r w:rsidRPr="00572724">
              <w:rPr>
                <w:rFonts w:ascii="Times New Roman" w:eastAsia="Times New Roman" w:hAnsi="Times New Roman" w:cs="Times New Roman"/>
                <w:color w:val="000000"/>
                <w:lang w:eastAsia="en-GB"/>
              </w:rPr>
              <w:t xml:space="preserve"> E.; Ortiz-Guerrero C.E.</w:t>
            </w:r>
          </w:p>
        </w:tc>
        <w:tc>
          <w:tcPr>
            <w:tcW w:w="4940" w:type="dxa"/>
            <w:tcBorders>
              <w:top w:val="nil"/>
              <w:left w:val="nil"/>
              <w:bottom w:val="single" w:sz="4" w:space="0" w:color="auto"/>
              <w:right w:val="single" w:sz="4" w:space="0" w:color="auto"/>
            </w:tcBorders>
            <w:shd w:val="clear" w:color="auto" w:fill="auto"/>
            <w:vAlign w:val="bottom"/>
            <w:hideMark/>
          </w:tcPr>
          <w:p w14:paraId="033A6E6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Adaptive Responses and Resilience of Small Livestock Producers to Climate Variability in the Cruz Verde-</w:t>
            </w:r>
            <w:proofErr w:type="spellStart"/>
            <w:r w:rsidRPr="00572724">
              <w:rPr>
                <w:rFonts w:ascii="Times New Roman" w:eastAsia="Times New Roman" w:hAnsi="Times New Roman" w:cs="Times New Roman"/>
                <w:color w:val="000000"/>
                <w:lang w:eastAsia="en-GB"/>
              </w:rPr>
              <w:t>Sumapaz</w:t>
            </w:r>
            <w:proofErr w:type="spellEnd"/>
            <w:r w:rsidRPr="00572724">
              <w:rPr>
                <w:rFonts w:ascii="Times New Roman" w:eastAsia="Times New Roman" w:hAnsi="Times New Roman" w:cs="Times New Roman"/>
                <w:color w:val="000000"/>
                <w:lang w:eastAsia="en-GB"/>
              </w:rPr>
              <w:t xml:space="preserve"> </w:t>
            </w:r>
            <w:proofErr w:type="spellStart"/>
            <w:r w:rsidRPr="00572724">
              <w:rPr>
                <w:rFonts w:ascii="Times New Roman" w:eastAsia="Times New Roman" w:hAnsi="Times New Roman" w:cs="Times New Roman"/>
                <w:color w:val="000000"/>
                <w:lang w:eastAsia="en-GB"/>
              </w:rPr>
              <w:t>Páramo</w:t>
            </w:r>
            <w:proofErr w:type="spellEnd"/>
            <w:r w:rsidRPr="00572724">
              <w:rPr>
                <w:rFonts w:ascii="Times New Roman" w:eastAsia="Times New Roman" w:hAnsi="Times New Roman" w:cs="Times New Roman"/>
                <w:color w:val="000000"/>
                <w:lang w:eastAsia="en-GB"/>
              </w:rPr>
              <w:t>, Colombia</w:t>
            </w:r>
          </w:p>
        </w:tc>
        <w:tc>
          <w:tcPr>
            <w:tcW w:w="1240" w:type="dxa"/>
            <w:tcBorders>
              <w:top w:val="nil"/>
              <w:left w:val="nil"/>
              <w:bottom w:val="single" w:sz="4" w:space="0" w:color="auto"/>
              <w:right w:val="single" w:sz="4" w:space="0" w:color="auto"/>
            </w:tcBorders>
            <w:shd w:val="clear" w:color="auto" w:fill="auto"/>
            <w:noWrap/>
            <w:vAlign w:val="bottom"/>
            <w:hideMark/>
          </w:tcPr>
          <w:p w14:paraId="73A9FA1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0E5CA1E5"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D9E092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Poulton P.L., Dalgliesh N.P., Vang S., Roth C.H.,</w:t>
            </w:r>
          </w:p>
        </w:tc>
        <w:tc>
          <w:tcPr>
            <w:tcW w:w="4940" w:type="dxa"/>
            <w:tcBorders>
              <w:top w:val="nil"/>
              <w:left w:val="nil"/>
              <w:bottom w:val="single" w:sz="4" w:space="0" w:color="auto"/>
              <w:right w:val="single" w:sz="4" w:space="0" w:color="auto"/>
            </w:tcBorders>
            <w:shd w:val="clear" w:color="auto" w:fill="auto"/>
            <w:vAlign w:val="bottom"/>
            <w:hideMark/>
          </w:tcPr>
          <w:p w14:paraId="72D2C71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Resilience of Cambodian lowland rice farming systems to future climate uncertainty</w:t>
            </w:r>
          </w:p>
        </w:tc>
        <w:tc>
          <w:tcPr>
            <w:tcW w:w="1240" w:type="dxa"/>
            <w:tcBorders>
              <w:top w:val="nil"/>
              <w:left w:val="nil"/>
              <w:bottom w:val="single" w:sz="4" w:space="0" w:color="auto"/>
              <w:right w:val="single" w:sz="4" w:space="0" w:color="auto"/>
            </w:tcBorders>
            <w:shd w:val="clear" w:color="auto" w:fill="auto"/>
            <w:vAlign w:val="bottom"/>
            <w:hideMark/>
          </w:tcPr>
          <w:p w14:paraId="1B2C524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2016</w:t>
            </w:r>
          </w:p>
        </w:tc>
      </w:tr>
      <w:tr w:rsidR="00572724" w:rsidRPr="00572724" w14:paraId="11C90BBE"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2BB819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Quach, AV; Murray, F; Morrison-Saunders, A</w:t>
            </w:r>
          </w:p>
        </w:tc>
        <w:tc>
          <w:tcPr>
            <w:tcW w:w="4940" w:type="dxa"/>
            <w:tcBorders>
              <w:top w:val="nil"/>
              <w:left w:val="nil"/>
              <w:bottom w:val="single" w:sz="4" w:space="0" w:color="auto"/>
              <w:right w:val="single" w:sz="4" w:space="0" w:color="auto"/>
            </w:tcBorders>
            <w:shd w:val="clear" w:color="auto" w:fill="auto"/>
            <w:vAlign w:val="bottom"/>
            <w:hideMark/>
          </w:tcPr>
          <w:p w14:paraId="3E676EE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The vulnerability of shrimp farming income to climate change events A case study in Ca Mau, Vietnam</w:t>
            </w:r>
          </w:p>
        </w:tc>
        <w:tc>
          <w:tcPr>
            <w:tcW w:w="1240" w:type="dxa"/>
            <w:tcBorders>
              <w:top w:val="nil"/>
              <w:left w:val="nil"/>
              <w:bottom w:val="single" w:sz="4" w:space="0" w:color="auto"/>
              <w:right w:val="single" w:sz="4" w:space="0" w:color="auto"/>
            </w:tcBorders>
            <w:shd w:val="clear" w:color="auto" w:fill="auto"/>
            <w:vAlign w:val="bottom"/>
            <w:hideMark/>
          </w:tcPr>
          <w:p w14:paraId="2117313F"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2017</w:t>
            </w:r>
          </w:p>
        </w:tc>
      </w:tr>
      <w:tr w:rsidR="00572724" w:rsidRPr="00572724" w14:paraId="2DC5E883"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8D420E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Rai P.; </w:t>
            </w:r>
            <w:proofErr w:type="spellStart"/>
            <w:r w:rsidRPr="00572724">
              <w:rPr>
                <w:rFonts w:ascii="Times New Roman" w:eastAsia="Times New Roman" w:hAnsi="Times New Roman" w:cs="Times New Roman"/>
                <w:color w:val="000000"/>
                <w:lang w:eastAsia="en-GB"/>
              </w:rPr>
              <w:t>Bajgai</w:t>
            </w:r>
            <w:proofErr w:type="spellEnd"/>
            <w:r w:rsidRPr="00572724">
              <w:rPr>
                <w:rFonts w:ascii="Times New Roman" w:eastAsia="Times New Roman" w:hAnsi="Times New Roman" w:cs="Times New Roman"/>
                <w:color w:val="000000"/>
                <w:lang w:eastAsia="en-GB"/>
              </w:rPr>
              <w:t xml:space="preserve"> Y.; </w:t>
            </w:r>
            <w:proofErr w:type="spellStart"/>
            <w:r w:rsidRPr="00572724">
              <w:rPr>
                <w:rFonts w:ascii="Times New Roman" w:eastAsia="Times New Roman" w:hAnsi="Times New Roman" w:cs="Times New Roman"/>
                <w:color w:val="000000"/>
                <w:lang w:eastAsia="en-GB"/>
              </w:rPr>
              <w:t>Rabgyal</w:t>
            </w:r>
            <w:proofErr w:type="spellEnd"/>
            <w:r w:rsidRPr="00572724">
              <w:rPr>
                <w:rFonts w:ascii="Times New Roman" w:eastAsia="Times New Roman" w:hAnsi="Times New Roman" w:cs="Times New Roman"/>
                <w:color w:val="000000"/>
                <w:lang w:eastAsia="en-GB"/>
              </w:rPr>
              <w:t xml:space="preserve"> J.; </w:t>
            </w:r>
            <w:proofErr w:type="spellStart"/>
            <w:r w:rsidRPr="00572724">
              <w:rPr>
                <w:rFonts w:ascii="Times New Roman" w:eastAsia="Times New Roman" w:hAnsi="Times New Roman" w:cs="Times New Roman"/>
                <w:color w:val="000000"/>
                <w:lang w:eastAsia="en-GB"/>
              </w:rPr>
              <w:t>Katwal</w:t>
            </w:r>
            <w:proofErr w:type="spellEnd"/>
            <w:r w:rsidRPr="00572724">
              <w:rPr>
                <w:rFonts w:ascii="Times New Roman" w:eastAsia="Times New Roman" w:hAnsi="Times New Roman" w:cs="Times New Roman"/>
                <w:color w:val="000000"/>
                <w:lang w:eastAsia="en-GB"/>
              </w:rPr>
              <w:t xml:space="preserve"> T.B.; </w:t>
            </w:r>
            <w:proofErr w:type="spellStart"/>
            <w:r w:rsidRPr="00572724">
              <w:rPr>
                <w:rFonts w:ascii="Times New Roman" w:eastAsia="Times New Roman" w:hAnsi="Times New Roman" w:cs="Times New Roman"/>
                <w:color w:val="000000"/>
                <w:lang w:eastAsia="en-GB"/>
              </w:rPr>
              <w:t>Delmond</w:t>
            </w:r>
            <w:proofErr w:type="spellEnd"/>
            <w:r w:rsidRPr="00572724">
              <w:rPr>
                <w:rFonts w:ascii="Times New Roman" w:eastAsia="Times New Roman" w:hAnsi="Times New Roman" w:cs="Times New Roman"/>
                <w:color w:val="000000"/>
                <w:lang w:eastAsia="en-GB"/>
              </w:rPr>
              <w:t xml:space="preserve"> A.R.</w:t>
            </w:r>
          </w:p>
        </w:tc>
        <w:tc>
          <w:tcPr>
            <w:tcW w:w="4940" w:type="dxa"/>
            <w:tcBorders>
              <w:top w:val="nil"/>
              <w:left w:val="nil"/>
              <w:bottom w:val="single" w:sz="4" w:space="0" w:color="auto"/>
              <w:right w:val="single" w:sz="4" w:space="0" w:color="auto"/>
            </w:tcBorders>
            <w:shd w:val="clear" w:color="auto" w:fill="auto"/>
            <w:vAlign w:val="bottom"/>
            <w:hideMark/>
          </w:tcPr>
          <w:p w14:paraId="2D00516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Empirical Evidence of the Livelihood Vulnerability to Climate Change Impacts: A Case of Potato-Based Mountain Farming Systems in Bhutan</w:t>
            </w:r>
          </w:p>
        </w:tc>
        <w:tc>
          <w:tcPr>
            <w:tcW w:w="1240" w:type="dxa"/>
            <w:tcBorders>
              <w:top w:val="nil"/>
              <w:left w:val="nil"/>
              <w:bottom w:val="single" w:sz="4" w:space="0" w:color="auto"/>
              <w:right w:val="single" w:sz="4" w:space="0" w:color="auto"/>
            </w:tcBorders>
            <w:shd w:val="clear" w:color="auto" w:fill="auto"/>
            <w:noWrap/>
            <w:vAlign w:val="bottom"/>
            <w:hideMark/>
          </w:tcPr>
          <w:p w14:paraId="003FE1CB"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09F16BC2"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C75B32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Ranasinghe R.D.A.K.; </w:t>
            </w:r>
            <w:proofErr w:type="spellStart"/>
            <w:r w:rsidRPr="00572724">
              <w:rPr>
                <w:rFonts w:ascii="Times New Roman" w:eastAsia="Times New Roman" w:hAnsi="Times New Roman" w:cs="Times New Roman"/>
                <w:color w:val="000000"/>
                <w:lang w:eastAsia="en-GB"/>
              </w:rPr>
              <w:t>Korale-Gedara</w:t>
            </w:r>
            <w:proofErr w:type="spellEnd"/>
            <w:r w:rsidRPr="00572724">
              <w:rPr>
                <w:rFonts w:ascii="Times New Roman" w:eastAsia="Times New Roman" w:hAnsi="Times New Roman" w:cs="Times New Roman"/>
                <w:color w:val="000000"/>
                <w:lang w:eastAsia="en-GB"/>
              </w:rPr>
              <w:t xml:space="preserve"> P.M.; </w:t>
            </w:r>
            <w:proofErr w:type="spellStart"/>
            <w:r w:rsidRPr="00572724">
              <w:rPr>
                <w:rFonts w:ascii="Times New Roman" w:eastAsia="Times New Roman" w:hAnsi="Times New Roman" w:cs="Times New Roman"/>
                <w:color w:val="000000"/>
                <w:lang w:eastAsia="en-GB"/>
              </w:rPr>
              <w:t>Weerasooriya</w:t>
            </w:r>
            <w:proofErr w:type="spellEnd"/>
            <w:r w:rsidRPr="00572724">
              <w:rPr>
                <w:rFonts w:ascii="Times New Roman" w:eastAsia="Times New Roman" w:hAnsi="Times New Roman" w:cs="Times New Roman"/>
                <w:color w:val="000000"/>
                <w:lang w:eastAsia="en-GB"/>
              </w:rPr>
              <w:t xml:space="preserve"> S.A.</w:t>
            </w:r>
          </w:p>
        </w:tc>
        <w:tc>
          <w:tcPr>
            <w:tcW w:w="4940" w:type="dxa"/>
            <w:tcBorders>
              <w:top w:val="nil"/>
              <w:left w:val="nil"/>
              <w:bottom w:val="single" w:sz="4" w:space="0" w:color="auto"/>
              <w:right w:val="single" w:sz="4" w:space="0" w:color="auto"/>
            </w:tcBorders>
            <w:shd w:val="clear" w:color="auto" w:fill="auto"/>
            <w:vAlign w:val="bottom"/>
            <w:hideMark/>
          </w:tcPr>
          <w:p w14:paraId="6A676F15"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 adaptation and adaptive capacities of dairy farmers: Evidence from village tank cascade systems in Sri Lanka</w:t>
            </w:r>
          </w:p>
        </w:tc>
        <w:tc>
          <w:tcPr>
            <w:tcW w:w="1240" w:type="dxa"/>
            <w:tcBorders>
              <w:top w:val="nil"/>
              <w:left w:val="nil"/>
              <w:bottom w:val="single" w:sz="4" w:space="0" w:color="auto"/>
              <w:right w:val="single" w:sz="4" w:space="0" w:color="auto"/>
            </w:tcBorders>
            <w:shd w:val="clear" w:color="auto" w:fill="auto"/>
            <w:noWrap/>
            <w:vAlign w:val="bottom"/>
            <w:hideMark/>
          </w:tcPr>
          <w:p w14:paraId="1D1D5924"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0B2EB0C6"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DBFB55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Rankoana</w:t>
            </w:r>
            <w:proofErr w:type="spellEnd"/>
            <w:r w:rsidRPr="00572724">
              <w:rPr>
                <w:rFonts w:ascii="Times New Roman" w:eastAsia="Times New Roman" w:hAnsi="Times New Roman" w:cs="Times New Roman"/>
                <w:color w:val="000000"/>
                <w:lang w:eastAsia="en-GB"/>
              </w:rPr>
              <w:t xml:space="preserve"> S.A.</w:t>
            </w:r>
          </w:p>
        </w:tc>
        <w:tc>
          <w:tcPr>
            <w:tcW w:w="4940" w:type="dxa"/>
            <w:tcBorders>
              <w:top w:val="nil"/>
              <w:left w:val="nil"/>
              <w:bottom w:val="single" w:sz="4" w:space="0" w:color="auto"/>
              <w:right w:val="single" w:sz="4" w:space="0" w:color="auto"/>
            </w:tcBorders>
            <w:shd w:val="clear" w:color="auto" w:fill="auto"/>
            <w:vAlign w:val="bottom"/>
            <w:hideMark/>
          </w:tcPr>
          <w:p w14:paraId="0E9D79F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Indigenous knowledge and innovative practices to cope with impacts of climate change on small-scale farming in Limpopo Province, South Africa</w:t>
            </w:r>
          </w:p>
        </w:tc>
        <w:tc>
          <w:tcPr>
            <w:tcW w:w="1240" w:type="dxa"/>
            <w:tcBorders>
              <w:top w:val="nil"/>
              <w:left w:val="nil"/>
              <w:bottom w:val="single" w:sz="4" w:space="0" w:color="auto"/>
              <w:right w:val="single" w:sz="4" w:space="0" w:color="auto"/>
            </w:tcBorders>
            <w:shd w:val="clear" w:color="auto" w:fill="auto"/>
            <w:noWrap/>
            <w:vAlign w:val="bottom"/>
            <w:hideMark/>
          </w:tcPr>
          <w:p w14:paraId="4A5DCA82"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62F8EF94"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94063B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Regassa</w:t>
            </w:r>
            <w:proofErr w:type="spellEnd"/>
            <w:r w:rsidRPr="00572724">
              <w:rPr>
                <w:rFonts w:ascii="Times New Roman" w:eastAsia="Times New Roman" w:hAnsi="Times New Roman" w:cs="Times New Roman"/>
                <w:color w:val="000000"/>
                <w:lang w:eastAsia="en-GB"/>
              </w:rPr>
              <w:t xml:space="preserve"> N., </w:t>
            </w:r>
            <w:proofErr w:type="spellStart"/>
            <w:r w:rsidRPr="00572724">
              <w:rPr>
                <w:rFonts w:ascii="Times New Roman" w:eastAsia="Times New Roman" w:hAnsi="Times New Roman" w:cs="Times New Roman"/>
                <w:color w:val="000000"/>
                <w:lang w:eastAsia="en-GB"/>
              </w:rPr>
              <w:t>Stoecker</w:t>
            </w:r>
            <w:proofErr w:type="spellEnd"/>
            <w:r w:rsidRPr="00572724">
              <w:rPr>
                <w:rFonts w:ascii="Times New Roman" w:eastAsia="Times New Roman" w:hAnsi="Times New Roman" w:cs="Times New Roman"/>
                <w:color w:val="000000"/>
                <w:lang w:eastAsia="en-GB"/>
              </w:rPr>
              <w:t xml:space="preserve"> B.J.,</w:t>
            </w:r>
          </w:p>
        </w:tc>
        <w:tc>
          <w:tcPr>
            <w:tcW w:w="4940" w:type="dxa"/>
            <w:tcBorders>
              <w:top w:val="nil"/>
              <w:left w:val="nil"/>
              <w:bottom w:val="single" w:sz="4" w:space="0" w:color="auto"/>
              <w:right w:val="single" w:sz="4" w:space="0" w:color="auto"/>
            </w:tcBorders>
            <w:shd w:val="clear" w:color="auto" w:fill="auto"/>
            <w:vAlign w:val="bottom"/>
            <w:hideMark/>
          </w:tcPr>
          <w:p w14:paraId="563E176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Research article: Attitude and risk perceptions about climate change in farming communities in Southern Ethiopia</w:t>
            </w:r>
          </w:p>
        </w:tc>
        <w:tc>
          <w:tcPr>
            <w:tcW w:w="1240" w:type="dxa"/>
            <w:tcBorders>
              <w:top w:val="nil"/>
              <w:left w:val="nil"/>
              <w:bottom w:val="single" w:sz="4" w:space="0" w:color="auto"/>
              <w:right w:val="single" w:sz="4" w:space="0" w:color="auto"/>
            </w:tcBorders>
            <w:shd w:val="clear" w:color="auto" w:fill="auto"/>
            <w:vAlign w:val="bottom"/>
            <w:hideMark/>
          </w:tcPr>
          <w:p w14:paraId="2714C5E7"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2014</w:t>
            </w:r>
          </w:p>
        </w:tc>
      </w:tr>
      <w:tr w:rsidR="00572724" w:rsidRPr="00572724" w14:paraId="164FEE2E"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30BF79B"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proofErr w:type="spellStart"/>
            <w:r w:rsidRPr="00572724">
              <w:rPr>
                <w:rFonts w:ascii="Times New Roman" w:eastAsia="Times New Roman" w:hAnsi="Times New Roman" w:cs="Times New Roman"/>
                <w:color w:val="000000"/>
                <w:lang w:val="fr-FR" w:eastAsia="en-GB"/>
              </w:rPr>
              <w:t>Rezgui</w:t>
            </w:r>
            <w:proofErr w:type="spellEnd"/>
            <w:r w:rsidRPr="00572724">
              <w:rPr>
                <w:rFonts w:ascii="Times New Roman" w:eastAsia="Times New Roman" w:hAnsi="Times New Roman" w:cs="Times New Roman"/>
                <w:color w:val="000000"/>
                <w:lang w:val="fr-FR" w:eastAsia="en-GB"/>
              </w:rPr>
              <w:t xml:space="preserve"> F.; </w:t>
            </w:r>
            <w:proofErr w:type="spellStart"/>
            <w:r w:rsidRPr="00572724">
              <w:rPr>
                <w:rFonts w:ascii="Times New Roman" w:eastAsia="Times New Roman" w:hAnsi="Times New Roman" w:cs="Times New Roman"/>
                <w:color w:val="000000"/>
                <w:lang w:val="fr-FR" w:eastAsia="en-GB"/>
              </w:rPr>
              <w:t>Rosati</w:t>
            </w:r>
            <w:proofErr w:type="spellEnd"/>
            <w:r w:rsidRPr="00572724">
              <w:rPr>
                <w:rFonts w:ascii="Times New Roman" w:eastAsia="Times New Roman" w:hAnsi="Times New Roman" w:cs="Times New Roman"/>
                <w:color w:val="000000"/>
                <w:lang w:val="fr-FR" w:eastAsia="en-GB"/>
              </w:rPr>
              <w:t xml:space="preserve"> A.; </w:t>
            </w:r>
            <w:proofErr w:type="spellStart"/>
            <w:r w:rsidRPr="00572724">
              <w:rPr>
                <w:rFonts w:ascii="Times New Roman" w:eastAsia="Times New Roman" w:hAnsi="Times New Roman" w:cs="Times New Roman"/>
                <w:color w:val="000000"/>
                <w:lang w:val="fr-FR" w:eastAsia="en-GB"/>
              </w:rPr>
              <w:t>Lambarraa-Lehnhardt</w:t>
            </w:r>
            <w:proofErr w:type="spellEnd"/>
            <w:r w:rsidRPr="00572724">
              <w:rPr>
                <w:rFonts w:ascii="Times New Roman" w:eastAsia="Times New Roman" w:hAnsi="Times New Roman" w:cs="Times New Roman"/>
                <w:color w:val="000000"/>
                <w:lang w:val="fr-FR" w:eastAsia="en-GB"/>
              </w:rPr>
              <w:t xml:space="preserve"> F.; Paul C.; </w:t>
            </w:r>
            <w:proofErr w:type="spellStart"/>
            <w:r w:rsidRPr="00572724">
              <w:rPr>
                <w:rFonts w:ascii="Times New Roman" w:eastAsia="Times New Roman" w:hAnsi="Times New Roman" w:cs="Times New Roman"/>
                <w:color w:val="000000"/>
                <w:lang w:val="fr-FR" w:eastAsia="en-GB"/>
              </w:rPr>
              <w:t>Reckling</w:t>
            </w:r>
            <w:proofErr w:type="spellEnd"/>
            <w:r w:rsidRPr="00572724">
              <w:rPr>
                <w:rFonts w:ascii="Times New Roman" w:eastAsia="Times New Roman" w:hAnsi="Times New Roman" w:cs="Times New Roman"/>
                <w:color w:val="000000"/>
                <w:lang w:val="fr-FR" w:eastAsia="en-GB"/>
              </w:rPr>
              <w:t xml:space="preserve"> M.</w:t>
            </w:r>
          </w:p>
        </w:tc>
        <w:tc>
          <w:tcPr>
            <w:tcW w:w="4940" w:type="dxa"/>
            <w:tcBorders>
              <w:top w:val="nil"/>
              <w:left w:val="nil"/>
              <w:bottom w:val="single" w:sz="4" w:space="0" w:color="auto"/>
              <w:right w:val="single" w:sz="4" w:space="0" w:color="auto"/>
            </w:tcBorders>
            <w:shd w:val="clear" w:color="auto" w:fill="auto"/>
            <w:vAlign w:val="bottom"/>
            <w:hideMark/>
          </w:tcPr>
          <w:p w14:paraId="7D26ABE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Assessing Mediterranean agroforestry systems: Agro-economic impacts of olive wild asparagus in central Italy</w:t>
            </w:r>
          </w:p>
        </w:tc>
        <w:tc>
          <w:tcPr>
            <w:tcW w:w="1240" w:type="dxa"/>
            <w:tcBorders>
              <w:top w:val="nil"/>
              <w:left w:val="nil"/>
              <w:bottom w:val="single" w:sz="4" w:space="0" w:color="auto"/>
              <w:right w:val="single" w:sz="4" w:space="0" w:color="auto"/>
            </w:tcBorders>
            <w:shd w:val="clear" w:color="auto" w:fill="auto"/>
            <w:noWrap/>
            <w:vAlign w:val="bottom"/>
            <w:hideMark/>
          </w:tcPr>
          <w:p w14:paraId="4F9EB343"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55147803"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371103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Rigolot C., de </w:t>
            </w:r>
            <w:proofErr w:type="spellStart"/>
            <w:r w:rsidRPr="00572724">
              <w:rPr>
                <w:rFonts w:ascii="Times New Roman" w:eastAsia="Times New Roman" w:hAnsi="Times New Roman" w:cs="Times New Roman"/>
                <w:color w:val="000000"/>
                <w:lang w:eastAsia="en-GB"/>
              </w:rPr>
              <w:t>Voil</w:t>
            </w:r>
            <w:proofErr w:type="spellEnd"/>
            <w:r w:rsidRPr="00572724">
              <w:rPr>
                <w:rFonts w:ascii="Times New Roman" w:eastAsia="Times New Roman" w:hAnsi="Times New Roman" w:cs="Times New Roman"/>
                <w:color w:val="000000"/>
                <w:lang w:eastAsia="en-GB"/>
              </w:rPr>
              <w:t xml:space="preserve"> P., </w:t>
            </w:r>
            <w:proofErr w:type="spellStart"/>
            <w:r w:rsidRPr="00572724">
              <w:rPr>
                <w:rFonts w:ascii="Times New Roman" w:eastAsia="Times New Roman" w:hAnsi="Times New Roman" w:cs="Times New Roman"/>
                <w:color w:val="000000"/>
                <w:lang w:eastAsia="en-GB"/>
              </w:rPr>
              <w:t>Douxchamps</w:t>
            </w:r>
            <w:proofErr w:type="spellEnd"/>
            <w:r w:rsidRPr="00572724">
              <w:rPr>
                <w:rFonts w:ascii="Times New Roman" w:eastAsia="Times New Roman" w:hAnsi="Times New Roman" w:cs="Times New Roman"/>
                <w:color w:val="000000"/>
                <w:lang w:eastAsia="en-GB"/>
              </w:rPr>
              <w:t xml:space="preserve"> S., </w:t>
            </w:r>
            <w:proofErr w:type="spellStart"/>
            <w:r w:rsidRPr="00572724">
              <w:rPr>
                <w:rFonts w:ascii="Times New Roman" w:eastAsia="Times New Roman" w:hAnsi="Times New Roman" w:cs="Times New Roman"/>
                <w:color w:val="000000"/>
                <w:lang w:eastAsia="en-GB"/>
              </w:rPr>
              <w:t>Prestwidge</w:t>
            </w:r>
            <w:proofErr w:type="spellEnd"/>
            <w:r w:rsidRPr="00572724">
              <w:rPr>
                <w:rFonts w:ascii="Times New Roman" w:eastAsia="Times New Roman" w:hAnsi="Times New Roman" w:cs="Times New Roman"/>
                <w:color w:val="000000"/>
                <w:lang w:eastAsia="en-GB"/>
              </w:rPr>
              <w:t xml:space="preserve"> D., Van Wijk M., Thornton P.K., Rodriguez D., Henderson B., Medina D., Herrero M.,</w:t>
            </w:r>
          </w:p>
        </w:tc>
        <w:tc>
          <w:tcPr>
            <w:tcW w:w="4940" w:type="dxa"/>
            <w:tcBorders>
              <w:top w:val="nil"/>
              <w:left w:val="nil"/>
              <w:bottom w:val="single" w:sz="4" w:space="0" w:color="auto"/>
              <w:right w:val="single" w:sz="4" w:space="0" w:color="auto"/>
            </w:tcBorders>
            <w:shd w:val="clear" w:color="auto" w:fill="auto"/>
            <w:vAlign w:val="bottom"/>
            <w:hideMark/>
          </w:tcPr>
          <w:p w14:paraId="7387B59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Interactions between intervention packages, climatic risk, climate change and food security in mixed crop–livestock systems in Burkina Faso</w:t>
            </w:r>
          </w:p>
        </w:tc>
        <w:tc>
          <w:tcPr>
            <w:tcW w:w="1240" w:type="dxa"/>
            <w:tcBorders>
              <w:top w:val="nil"/>
              <w:left w:val="nil"/>
              <w:bottom w:val="single" w:sz="4" w:space="0" w:color="auto"/>
              <w:right w:val="single" w:sz="4" w:space="0" w:color="auto"/>
            </w:tcBorders>
            <w:shd w:val="clear" w:color="auto" w:fill="auto"/>
            <w:vAlign w:val="bottom"/>
            <w:hideMark/>
          </w:tcPr>
          <w:p w14:paraId="384F4B9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2017</w:t>
            </w:r>
          </w:p>
        </w:tc>
      </w:tr>
      <w:tr w:rsidR="00572724" w:rsidRPr="00572724" w14:paraId="083E6445"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D4CEADA"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r w:rsidRPr="00572724">
              <w:rPr>
                <w:rFonts w:ascii="Times New Roman" w:eastAsia="Times New Roman" w:hAnsi="Times New Roman" w:cs="Times New Roman"/>
                <w:color w:val="000000"/>
                <w:lang w:val="fr-FR" w:eastAsia="en-GB"/>
              </w:rPr>
              <w:lastRenderedPageBreak/>
              <w:t xml:space="preserve">Rodriguez D., Cox H., </w:t>
            </w:r>
            <w:proofErr w:type="spellStart"/>
            <w:r w:rsidRPr="00572724">
              <w:rPr>
                <w:rFonts w:ascii="Times New Roman" w:eastAsia="Times New Roman" w:hAnsi="Times New Roman" w:cs="Times New Roman"/>
                <w:color w:val="000000"/>
                <w:lang w:val="fr-FR" w:eastAsia="en-GB"/>
              </w:rPr>
              <w:t>deVoil</w:t>
            </w:r>
            <w:proofErr w:type="spellEnd"/>
            <w:r w:rsidRPr="00572724">
              <w:rPr>
                <w:rFonts w:ascii="Times New Roman" w:eastAsia="Times New Roman" w:hAnsi="Times New Roman" w:cs="Times New Roman"/>
                <w:color w:val="000000"/>
                <w:lang w:val="fr-FR" w:eastAsia="en-GB"/>
              </w:rPr>
              <w:t xml:space="preserve"> P., Power B.,</w:t>
            </w:r>
          </w:p>
        </w:tc>
        <w:tc>
          <w:tcPr>
            <w:tcW w:w="4940" w:type="dxa"/>
            <w:tcBorders>
              <w:top w:val="nil"/>
              <w:left w:val="nil"/>
              <w:bottom w:val="single" w:sz="4" w:space="0" w:color="auto"/>
              <w:right w:val="single" w:sz="4" w:space="0" w:color="auto"/>
            </w:tcBorders>
            <w:shd w:val="clear" w:color="auto" w:fill="auto"/>
            <w:vAlign w:val="bottom"/>
            <w:hideMark/>
          </w:tcPr>
          <w:p w14:paraId="5ADA65E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 participatory whole farm modelling approach to understand impacts and increase preparedness to climate change in Australia</w:t>
            </w:r>
          </w:p>
        </w:tc>
        <w:tc>
          <w:tcPr>
            <w:tcW w:w="1240" w:type="dxa"/>
            <w:tcBorders>
              <w:top w:val="nil"/>
              <w:left w:val="nil"/>
              <w:bottom w:val="single" w:sz="4" w:space="0" w:color="auto"/>
              <w:right w:val="single" w:sz="4" w:space="0" w:color="auto"/>
            </w:tcBorders>
            <w:shd w:val="clear" w:color="auto" w:fill="auto"/>
            <w:vAlign w:val="bottom"/>
            <w:hideMark/>
          </w:tcPr>
          <w:p w14:paraId="0784AF1B"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2014</w:t>
            </w:r>
          </w:p>
        </w:tc>
      </w:tr>
      <w:tr w:rsidR="00572724" w:rsidRPr="00572724" w14:paraId="6ABAC3DA"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C996D2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Rodriguez, D; </w:t>
            </w:r>
            <w:proofErr w:type="spellStart"/>
            <w:r w:rsidRPr="00572724">
              <w:rPr>
                <w:rFonts w:ascii="Times New Roman" w:eastAsia="Times New Roman" w:hAnsi="Times New Roman" w:cs="Times New Roman"/>
                <w:color w:val="000000"/>
                <w:lang w:eastAsia="en-GB"/>
              </w:rPr>
              <w:t>deVoil</w:t>
            </w:r>
            <w:proofErr w:type="spellEnd"/>
            <w:r w:rsidRPr="00572724">
              <w:rPr>
                <w:rFonts w:ascii="Times New Roman" w:eastAsia="Times New Roman" w:hAnsi="Times New Roman" w:cs="Times New Roman"/>
                <w:color w:val="000000"/>
                <w:lang w:eastAsia="en-GB"/>
              </w:rPr>
              <w:t xml:space="preserve">, P; Power, B; Cox, H; Crimp, S; </w:t>
            </w:r>
            <w:proofErr w:type="spellStart"/>
            <w:r w:rsidRPr="00572724">
              <w:rPr>
                <w:rFonts w:ascii="Times New Roman" w:eastAsia="Times New Roman" w:hAnsi="Times New Roman" w:cs="Times New Roman"/>
                <w:color w:val="000000"/>
                <w:lang w:eastAsia="en-GB"/>
              </w:rPr>
              <w:t>Meinke</w:t>
            </w:r>
            <w:proofErr w:type="spellEnd"/>
            <w:r w:rsidRPr="00572724">
              <w:rPr>
                <w:rFonts w:ascii="Times New Roman" w:eastAsia="Times New Roman" w:hAnsi="Times New Roman" w:cs="Times New Roman"/>
                <w:color w:val="000000"/>
                <w:lang w:eastAsia="en-GB"/>
              </w:rPr>
              <w:t>, H</w:t>
            </w:r>
          </w:p>
        </w:tc>
        <w:tc>
          <w:tcPr>
            <w:tcW w:w="4940" w:type="dxa"/>
            <w:tcBorders>
              <w:top w:val="nil"/>
              <w:left w:val="nil"/>
              <w:bottom w:val="single" w:sz="4" w:space="0" w:color="auto"/>
              <w:right w:val="single" w:sz="4" w:space="0" w:color="auto"/>
            </w:tcBorders>
            <w:shd w:val="clear" w:color="auto" w:fill="auto"/>
            <w:vAlign w:val="bottom"/>
            <w:hideMark/>
          </w:tcPr>
          <w:p w14:paraId="04FD52F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The intrinsic plasticity of farm businesses and their resilience to change. An Australian example</w:t>
            </w:r>
          </w:p>
        </w:tc>
        <w:tc>
          <w:tcPr>
            <w:tcW w:w="1240" w:type="dxa"/>
            <w:tcBorders>
              <w:top w:val="nil"/>
              <w:left w:val="nil"/>
              <w:bottom w:val="single" w:sz="4" w:space="0" w:color="auto"/>
              <w:right w:val="single" w:sz="4" w:space="0" w:color="auto"/>
            </w:tcBorders>
            <w:shd w:val="clear" w:color="auto" w:fill="auto"/>
            <w:vAlign w:val="bottom"/>
            <w:hideMark/>
          </w:tcPr>
          <w:p w14:paraId="05640FB2"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2011</w:t>
            </w:r>
          </w:p>
        </w:tc>
      </w:tr>
      <w:tr w:rsidR="00572724" w:rsidRPr="00572724" w14:paraId="7C228BCF"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9F8782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Rotz, CA; Skinner, RH; Stoner, AMK; </w:t>
            </w:r>
            <w:proofErr w:type="spellStart"/>
            <w:r w:rsidRPr="00572724">
              <w:rPr>
                <w:rFonts w:ascii="Times New Roman" w:eastAsia="Times New Roman" w:hAnsi="Times New Roman" w:cs="Times New Roman"/>
                <w:color w:val="000000"/>
                <w:lang w:eastAsia="en-GB"/>
              </w:rPr>
              <w:t>Hayhoe</w:t>
            </w:r>
            <w:proofErr w:type="spellEnd"/>
            <w:r w:rsidRPr="00572724">
              <w:rPr>
                <w:rFonts w:ascii="Times New Roman" w:eastAsia="Times New Roman" w:hAnsi="Times New Roman" w:cs="Times New Roman"/>
                <w:color w:val="000000"/>
                <w:lang w:eastAsia="en-GB"/>
              </w:rPr>
              <w:t>, K</w:t>
            </w:r>
          </w:p>
        </w:tc>
        <w:tc>
          <w:tcPr>
            <w:tcW w:w="4940" w:type="dxa"/>
            <w:tcBorders>
              <w:top w:val="nil"/>
              <w:left w:val="nil"/>
              <w:bottom w:val="single" w:sz="4" w:space="0" w:color="auto"/>
              <w:right w:val="single" w:sz="4" w:space="0" w:color="auto"/>
            </w:tcBorders>
            <w:shd w:val="clear" w:color="auto" w:fill="auto"/>
            <w:vAlign w:val="bottom"/>
            <w:hideMark/>
          </w:tcPr>
          <w:p w14:paraId="6C25867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EVALUATING GREENHOUSE GAS MITIGATION AND CLIMATE CHANGE ADAPTATION IN DAIRY PRODUCTION USING FARM SIMULATION</w:t>
            </w:r>
          </w:p>
        </w:tc>
        <w:tc>
          <w:tcPr>
            <w:tcW w:w="1240" w:type="dxa"/>
            <w:tcBorders>
              <w:top w:val="nil"/>
              <w:left w:val="nil"/>
              <w:bottom w:val="single" w:sz="4" w:space="0" w:color="auto"/>
              <w:right w:val="single" w:sz="4" w:space="0" w:color="auto"/>
            </w:tcBorders>
            <w:shd w:val="clear" w:color="auto" w:fill="auto"/>
            <w:vAlign w:val="bottom"/>
            <w:hideMark/>
          </w:tcPr>
          <w:p w14:paraId="76A391F0"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2016</w:t>
            </w:r>
          </w:p>
        </w:tc>
      </w:tr>
      <w:tr w:rsidR="00572724" w:rsidRPr="00572724" w14:paraId="7ABF8966"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45A8C7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Rufino M.C., Thornton P.K., </w:t>
            </w:r>
            <w:proofErr w:type="spellStart"/>
            <w:r w:rsidRPr="00572724">
              <w:rPr>
                <w:rFonts w:ascii="Times New Roman" w:eastAsia="Times New Roman" w:hAnsi="Times New Roman" w:cs="Times New Roman"/>
                <w:color w:val="000000"/>
                <w:lang w:eastAsia="en-GB"/>
              </w:rPr>
              <w:t>Ng'ang'a</w:t>
            </w:r>
            <w:proofErr w:type="spellEnd"/>
            <w:r w:rsidRPr="00572724">
              <w:rPr>
                <w:rFonts w:ascii="Times New Roman" w:eastAsia="Times New Roman" w:hAnsi="Times New Roman" w:cs="Times New Roman"/>
                <w:color w:val="000000"/>
                <w:lang w:eastAsia="en-GB"/>
              </w:rPr>
              <w:t xml:space="preserve"> S.K., </w:t>
            </w:r>
            <w:proofErr w:type="spellStart"/>
            <w:r w:rsidRPr="00572724">
              <w:rPr>
                <w:rFonts w:ascii="Times New Roman" w:eastAsia="Times New Roman" w:hAnsi="Times New Roman" w:cs="Times New Roman"/>
                <w:color w:val="000000"/>
                <w:lang w:eastAsia="en-GB"/>
              </w:rPr>
              <w:t>Mutie</w:t>
            </w:r>
            <w:proofErr w:type="spellEnd"/>
            <w:r w:rsidRPr="00572724">
              <w:rPr>
                <w:rFonts w:ascii="Times New Roman" w:eastAsia="Times New Roman" w:hAnsi="Times New Roman" w:cs="Times New Roman"/>
                <w:color w:val="000000"/>
                <w:lang w:eastAsia="en-GB"/>
              </w:rPr>
              <w:t xml:space="preserve"> I., Jones P.G., van Wijk M.T., Herrero M.,</w:t>
            </w:r>
          </w:p>
        </w:tc>
        <w:tc>
          <w:tcPr>
            <w:tcW w:w="4940" w:type="dxa"/>
            <w:tcBorders>
              <w:top w:val="nil"/>
              <w:left w:val="nil"/>
              <w:bottom w:val="single" w:sz="4" w:space="0" w:color="auto"/>
              <w:right w:val="single" w:sz="4" w:space="0" w:color="auto"/>
            </w:tcBorders>
            <w:shd w:val="clear" w:color="auto" w:fill="auto"/>
            <w:vAlign w:val="bottom"/>
            <w:hideMark/>
          </w:tcPr>
          <w:p w14:paraId="30CCA73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Transitions in agro-pastoralist systems of East Africa: Impacts on food security and poverty</w:t>
            </w:r>
          </w:p>
        </w:tc>
        <w:tc>
          <w:tcPr>
            <w:tcW w:w="1240" w:type="dxa"/>
            <w:tcBorders>
              <w:top w:val="nil"/>
              <w:left w:val="nil"/>
              <w:bottom w:val="single" w:sz="4" w:space="0" w:color="auto"/>
              <w:right w:val="single" w:sz="4" w:space="0" w:color="auto"/>
            </w:tcBorders>
            <w:shd w:val="clear" w:color="auto" w:fill="auto"/>
            <w:vAlign w:val="bottom"/>
            <w:hideMark/>
          </w:tcPr>
          <w:p w14:paraId="363718CF"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2013</w:t>
            </w:r>
          </w:p>
        </w:tc>
      </w:tr>
      <w:tr w:rsidR="00572724" w:rsidRPr="00572724" w14:paraId="0C6A86B5"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10703D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Sanogo K., </w:t>
            </w:r>
            <w:proofErr w:type="spellStart"/>
            <w:r w:rsidRPr="00572724">
              <w:rPr>
                <w:rFonts w:ascii="Times New Roman" w:eastAsia="Times New Roman" w:hAnsi="Times New Roman" w:cs="Times New Roman"/>
                <w:color w:val="000000"/>
                <w:lang w:eastAsia="en-GB"/>
              </w:rPr>
              <w:t>Binam</w:t>
            </w:r>
            <w:proofErr w:type="spellEnd"/>
            <w:r w:rsidRPr="00572724">
              <w:rPr>
                <w:rFonts w:ascii="Times New Roman" w:eastAsia="Times New Roman" w:hAnsi="Times New Roman" w:cs="Times New Roman"/>
                <w:color w:val="000000"/>
                <w:lang w:eastAsia="en-GB"/>
              </w:rPr>
              <w:t xml:space="preserve"> J., </w:t>
            </w:r>
            <w:proofErr w:type="spellStart"/>
            <w:r w:rsidRPr="00572724">
              <w:rPr>
                <w:rFonts w:ascii="Times New Roman" w:eastAsia="Times New Roman" w:hAnsi="Times New Roman" w:cs="Times New Roman"/>
                <w:color w:val="000000"/>
                <w:lang w:eastAsia="en-GB"/>
              </w:rPr>
              <w:t>Bayala</w:t>
            </w:r>
            <w:proofErr w:type="spellEnd"/>
            <w:r w:rsidRPr="00572724">
              <w:rPr>
                <w:rFonts w:ascii="Times New Roman" w:eastAsia="Times New Roman" w:hAnsi="Times New Roman" w:cs="Times New Roman"/>
                <w:color w:val="000000"/>
                <w:lang w:eastAsia="en-GB"/>
              </w:rPr>
              <w:t xml:space="preserve"> J., Villamor G.B., </w:t>
            </w:r>
            <w:proofErr w:type="spellStart"/>
            <w:r w:rsidRPr="00572724">
              <w:rPr>
                <w:rFonts w:ascii="Times New Roman" w:eastAsia="Times New Roman" w:hAnsi="Times New Roman" w:cs="Times New Roman"/>
                <w:color w:val="000000"/>
                <w:lang w:eastAsia="en-GB"/>
              </w:rPr>
              <w:t>Kalinganire</w:t>
            </w:r>
            <w:proofErr w:type="spellEnd"/>
            <w:r w:rsidRPr="00572724">
              <w:rPr>
                <w:rFonts w:ascii="Times New Roman" w:eastAsia="Times New Roman" w:hAnsi="Times New Roman" w:cs="Times New Roman"/>
                <w:color w:val="000000"/>
                <w:lang w:eastAsia="en-GB"/>
              </w:rPr>
              <w:t xml:space="preserve"> A., </w:t>
            </w:r>
            <w:proofErr w:type="spellStart"/>
            <w:r w:rsidRPr="00572724">
              <w:rPr>
                <w:rFonts w:ascii="Times New Roman" w:eastAsia="Times New Roman" w:hAnsi="Times New Roman" w:cs="Times New Roman"/>
                <w:color w:val="000000"/>
                <w:lang w:eastAsia="en-GB"/>
              </w:rPr>
              <w:t>Dodiomon</w:t>
            </w:r>
            <w:proofErr w:type="spellEnd"/>
            <w:r w:rsidRPr="00572724">
              <w:rPr>
                <w:rFonts w:ascii="Times New Roman" w:eastAsia="Times New Roman" w:hAnsi="Times New Roman" w:cs="Times New Roman"/>
                <w:color w:val="000000"/>
                <w:lang w:eastAsia="en-GB"/>
              </w:rPr>
              <w:t xml:space="preserve"> S.,</w:t>
            </w:r>
          </w:p>
        </w:tc>
        <w:tc>
          <w:tcPr>
            <w:tcW w:w="4940" w:type="dxa"/>
            <w:tcBorders>
              <w:top w:val="nil"/>
              <w:left w:val="nil"/>
              <w:bottom w:val="single" w:sz="4" w:space="0" w:color="auto"/>
              <w:right w:val="single" w:sz="4" w:space="0" w:color="auto"/>
            </w:tcBorders>
            <w:shd w:val="clear" w:color="auto" w:fill="auto"/>
            <w:vAlign w:val="bottom"/>
            <w:hideMark/>
          </w:tcPr>
          <w:p w14:paraId="252B3DA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Farmers’ perceptions of climate change impacts on ecosystem services delivery of parklands in southern Mali</w:t>
            </w:r>
          </w:p>
        </w:tc>
        <w:tc>
          <w:tcPr>
            <w:tcW w:w="1240" w:type="dxa"/>
            <w:tcBorders>
              <w:top w:val="nil"/>
              <w:left w:val="nil"/>
              <w:bottom w:val="single" w:sz="4" w:space="0" w:color="auto"/>
              <w:right w:val="single" w:sz="4" w:space="0" w:color="auto"/>
            </w:tcBorders>
            <w:shd w:val="clear" w:color="auto" w:fill="auto"/>
            <w:vAlign w:val="bottom"/>
            <w:hideMark/>
          </w:tcPr>
          <w:p w14:paraId="06E7F9E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2017</w:t>
            </w:r>
          </w:p>
        </w:tc>
      </w:tr>
      <w:tr w:rsidR="00572724" w:rsidRPr="00572724" w14:paraId="2E6AB261"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DBE904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Sanou</w:t>
            </w:r>
            <w:proofErr w:type="spellEnd"/>
            <w:r w:rsidRPr="00572724">
              <w:rPr>
                <w:rFonts w:ascii="Times New Roman" w:eastAsia="Times New Roman" w:hAnsi="Times New Roman" w:cs="Times New Roman"/>
                <w:color w:val="000000"/>
                <w:lang w:eastAsia="en-GB"/>
              </w:rPr>
              <w:t xml:space="preserve"> C.L.; </w:t>
            </w:r>
            <w:proofErr w:type="spellStart"/>
            <w:r w:rsidRPr="00572724">
              <w:rPr>
                <w:rFonts w:ascii="Times New Roman" w:eastAsia="Times New Roman" w:hAnsi="Times New Roman" w:cs="Times New Roman"/>
                <w:color w:val="000000"/>
                <w:lang w:eastAsia="en-GB"/>
              </w:rPr>
              <w:t>Agodzo</w:t>
            </w:r>
            <w:proofErr w:type="spellEnd"/>
            <w:r w:rsidRPr="00572724">
              <w:rPr>
                <w:rFonts w:ascii="Times New Roman" w:eastAsia="Times New Roman" w:hAnsi="Times New Roman" w:cs="Times New Roman"/>
                <w:color w:val="000000"/>
                <w:lang w:eastAsia="en-GB"/>
              </w:rPr>
              <w:t xml:space="preserve"> S.K.; </w:t>
            </w:r>
            <w:proofErr w:type="spellStart"/>
            <w:r w:rsidRPr="00572724">
              <w:rPr>
                <w:rFonts w:ascii="Times New Roman" w:eastAsia="Times New Roman" w:hAnsi="Times New Roman" w:cs="Times New Roman"/>
                <w:color w:val="000000"/>
                <w:lang w:eastAsia="en-GB"/>
              </w:rPr>
              <w:t>Bessah</w:t>
            </w:r>
            <w:proofErr w:type="spellEnd"/>
            <w:r w:rsidRPr="00572724">
              <w:rPr>
                <w:rFonts w:ascii="Times New Roman" w:eastAsia="Times New Roman" w:hAnsi="Times New Roman" w:cs="Times New Roman"/>
                <w:color w:val="000000"/>
                <w:lang w:eastAsia="en-GB"/>
              </w:rPr>
              <w:t xml:space="preserve"> E.; </w:t>
            </w:r>
            <w:proofErr w:type="spellStart"/>
            <w:r w:rsidRPr="00572724">
              <w:rPr>
                <w:rFonts w:ascii="Times New Roman" w:eastAsia="Times New Roman" w:hAnsi="Times New Roman" w:cs="Times New Roman"/>
                <w:color w:val="000000"/>
                <w:lang w:eastAsia="en-GB"/>
              </w:rPr>
              <w:t>Antwi</w:t>
            </w:r>
            <w:proofErr w:type="spellEnd"/>
            <w:r w:rsidRPr="00572724">
              <w:rPr>
                <w:rFonts w:ascii="Times New Roman" w:eastAsia="Times New Roman" w:hAnsi="Times New Roman" w:cs="Times New Roman"/>
                <w:color w:val="000000"/>
                <w:lang w:eastAsia="en-GB"/>
              </w:rPr>
              <w:t>-Agyei P.</w:t>
            </w:r>
          </w:p>
        </w:tc>
        <w:tc>
          <w:tcPr>
            <w:tcW w:w="4940" w:type="dxa"/>
            <w:tcBorders>
              <w:top w:val="nil"/>
              <w:left w:val="nil"/>
              <w:bottom w:val="single" w:sz="4" w:space="0" w:color="auto"/>
              <w:right w:val="single" w:sz="4" w:space="0" w:color="auto"/>
            </w:tcBorders>
            <w:shd w:val="clear" w:color="auto" w:fill="auto"/>
            <w:vAlign w:val="bottom"/>
            <w:hideMark/>
          </w:tcPr>
          <w:p w14:paraId="42B24C1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Assessing crop–livestock water productivity in mixed-farming systems across climatic zones of Burkina Faso</w:t>
            </w:r>
          </w:p>
        </w:tc>
        <w:tc>
          <w:tcPr>
            <w:tcW w:w="1240" w:type="dxa"/>
            <w:tcBorders>
              <w:top w:val="nil"/>
              <w:left w:val="nil"/>
              <w:bottom w:val="single" w:sz="4" w:space="0" w:color="auto"/>
              <w:right w:val="single" w:sz="4" w:space="0" w:color="auto"/>
            </w:tcBorders>
            <w:shd w:val="clear" w:color="auto" w:fill="auto"/>
            <w:noWrap/>
            <w:vAlign w:val="bottom"/>
            <w:hideMark/>
          </w:tcPr>
          <w:p w14:paraId="4D1EB74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6CA704B2"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E4A0FE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Schaap</w:t>
            </w:r>
            <w:proofErr w:type="spellEnd"/>
            <w:r w:rsidRPr="00572724">
              <w:rPr>
                <w:rFonts w:ascii="Times New Roman" w:eastAsia="Times New Roman" w:hAnsi="Times New Roman" w:cs="Times New Roman"/>
                <w:color w:val="000000"/>
                <w:lang w:eastAsia="en-GB"/>
              </w:rPr>
              <w:t xml:space="preserve"> B.F., </w:t>
            </w:r>
            <w:proofErr w:type="spellStart"/>
            <w:r w:rsidRPr="00572724">
              <w:rPr>
                <w:rFonts w:ascii="Times New Roman" w:eastAsia="Times New Roman" w:hAnsi="Times New Roman" w:cs="Times New Roman"/>
                <w:color w:val="000000"/>
                <w:lang w:eastAsia="en-GB"/>
              </w:rPr>
              <w:t>Reidsma</w:t>
            </w:r>
            <w:proofErr w:type="spellEnd"/>
            <w:r w:rsidRPr="00572724">
              <w:rPr>
                <w:rFonts w:ascii="Times New Roman" w:eastAsia="Times New Roman" w:hAnsi="Times New Roman" w:cs="Times New Roman"/>
                <w:color w:val="000000"/>
                <w:lang w:eastAsia="en-GB"/>
              </w:rPr>
              <w:t xml:space="preserve"> P., </w:t>
            </w:r>
            <w:proofErr w:type="spellStart"/>
            <w:r w:rsidRPr="00572724">
              <w:rPr>
                <w:rFonts w:ascii="Times New Roman" w:eastAsia="Times New Roman" w:hAnsi="Times New Roman" w:cs="Times New Roman"/>
                <w:color w:val="000000"/>
                <w:lang w:eastAsia="en-GB"/>
              </w:rPr>
              <w:t>Verhagen</w:t>
            </w:r>
            <w:proofErr w:type="spellEnd"/>
            <w:r w:rsidRPr="00572724">
              <w:rPr>
                <w:rFonts w:ascii="Times New Roman" w:eastAsia="Times New Roman" w:hAnsi="Times New Roman" w:cs="Times New Roman"/>
                <w:color w:val="000000"/>
                <w:lang w:eastAsia="en-GB"/>
              </w:rPr>
              <w:t xml:space="preserve"> J., Wolf J., van </w:t>
            </w:r>
            <w:proofErr w:type="spellStart"/>
            <w:r w:rsidRPr="00572724">
              <w:rPr>
                <w:rFonts w:ascii="Times New Roman" w:eastAsia="Times New Roman" w:hAnsi="Times New Roman" w:cs="Times New Roman"/>
                <w:color w:val="000000"/>
                <w:lang w:eastAsia="en-GB"/>
              </w:rPr>
              <w:t>Ittersum</w:t>
            </w:r>
            <w:proofErr w:type="spellEnd"/>
            <w:r w:rsidRPr="00572724">
              <w:rPr>
                <w:rFonts w:ascii="Times New Roman" w:eastAsia="Times New Roman" w:hAnsi="Times New Roman" w:cs="Times New Roman"/>
                <w:color w:val="000000"/>
                <w:lang w:eastAsia="en-GB"/>
              </w:rPr>
              <w:t xml:space="preserve"> M.K.,</w:t>
            </w:r>
          </w:p>
        </w:tc>
        <w:tc>
          <w:tcPr>
            <w:tcW w:w="4940" w:type="dxa"/>
            <w:tcBorders>
              <w:top w:val="nil"/>
              <w:left w:val="nil"/>
              <w:bottom w:val="single" w:sz="4" w:space="0" w:color="auto"/>
              <w:right w:val="single" w:sz="4" w:space="0" w:color="auto"/>
            </w:tcBorders>
            <w:shd w:val="clear" w:color="auto" w:fill="auto"/>
            <w:vAlign w:val="bottom"/>
            <w:hideMark/>
          </w:tcPr>
          <w:p w14:paraId="0A51C50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Participatory design of farm level adaptation to climate risks in an arable region in The Netherlands</w:t>
            </w:r>
          </w:p>
        </w:tc>
        <w:tc>
          <w:tcPr>
            <w:tcW w:w="1240" w:type="dxa"/>
            <w:tcBorders>
              <w:top w:val="nil"/>
              <w:left w:val="nil"/>
              <w:bottom w:val="single" w:sz="4" w:space="0" w:color="auto"/>
              <w:right w:val="single" w:sz="4" w:space="0" w:color="auto"/>
            </w:tcBorders>
            <w:shd w:val="clear" w:color="auto" w:fill="auto"/>
            <w:vAlign w:val="bottom"/>
            <w:hideMark/>
          </w:tcPr>
          <w:p w14:paraId="7E004D6B"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2013</w:t>
            </w:r>
          </w:p>
        </w:tc>
      </w:tr>
      <w:tr w:rsidR="00572724" w:rsidRPr="00572724" w14:paraId="773F2191"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E6C003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Schmitt Olabisi L., Liverpool-</w:t>
            </w:r>
            <w:proofErr w:type="spellStart"/>
            <w:r w:rsidRPr="00572724">
              <w:rPr>
                <w:rFonts w:ascii="Times New Roman" w:eastAsia="Times New Roman" w:hAnsi="Times New Roman" w:cs="Times New Roman"/>
                <w:color w:val="000000"/>
                <w:lang w:eastAsia="en-GB"/>
              </w:rPr>
              <w:t>Tasie</w:t>
            </w:r>
            <w:proofErr w:type="spellEnd"/>
            <w:r w:rsidRPr="00572724">
              <w:rPr>
                <w:rFonts w:ascii="Times New Roman" w:eastAsia="Times New Roman" w:hAnsi="Times New Roman" w:cs="Times New Roman"/>
                <w:color w:val="000000"/>
                <w:lang w:eastAsia="en-GB"/>
              </w:rPr>
              <w:t xml:space="preserve"> S., Rivers L., III, </w:t>
            </w:r>
            <w:proofErr w:type="spellStart"/>
            <w:r w:rsidRPr="00572724">
              <w:rPr>
                <w:rFonts w:ascii="Times New Roman" w:eastAsia="Times New Roman" w:hAnsi="Times New Roman" w:cs="Times New Roman"/>
                <w:color w:val="000000"/>
                <w:lang w:eastAsia="en-GB"/>
              </w:rPr>
              <w:t>Ligmann-Zielinska</w:t>
            </w:r>
            <w:proofErr w:type="spellEnd"/>
            <w:r w:rsidRPr="00572724">
              <w:rPr>
                <w:rFonts w:ascii="Times New Roman" w:eastAsia="Times New Roman" w:hAnsi="Times New Roman" w:cs="Times New Roman"/>
                <w:color w:val="000000"/>
                <w:lang w:eastAsia="en-GB"/>
              </w:rPr>
              <w:t xml:space="preserve"> A., Du J., Denny R., Marquart-</w:t>
            </w:r>
            <w:proofErr w:type="spellStart"/>
            <w:r w:rsidRPr="00572724">
              <w:rPr>
                <w:rFonts w:ascii="Times New Roman" w:eastAsia="Times New Roman" w:hAnsi="Times New Roman" w:cs="Times New Roman"/>
                <w:color w:val="000000"/>
                <w:lang w:eastAsia="en-GB"/>
              </w:rPr>
              <w:t>Pyatt</w:t>
            </w:r>
            <w:proofErr w:type="spellEnd"/>
            <w:r w:rsidRPr="00572724">
              <w:rPr>
                <w:rFonts w:ascii="Times New Roman" w:eastAsia="Times New Roman" w:hAnsi="Times New Roman" w:cs="Times New Roman"/>
                <w:color w:val="000000"/>
                <w:lang w:eastAsia="en-GB"/>
              </w:rPr>
              <w:t xml:space="preserve"> S., </w:t>
            </w:r>
            <w:proofErr w:type="spellStart"/>
            <w:r w:rsidRPr="00572724">
              <w:rPr>
                <w:rFonts w:ascii="Times New Roman" w:eastAsia="Times New Roman" w:hAnsi="Times New Roman" w:cs="Times New Roman"/>
                <w:color w:val="000000"/>
                <w:lang w:eastAsia="en-GB"/>
              </w:rPr>
              <w:t>Sidibé</w:t>
            </w:r>
            <w:proofErr w:type="spellEnd"/>
            <w:r w:rsidRPr="00572724">
              <w:rPr>
                <w:rFonts w:ascii="Times New Roman" w:eastAsia="Times New Roman" w:hAnsi="Times New Roman" w:cs="Times New Roman"/>
                <w:color w:val="000000"/>
                <w:lang w:eastAsia="en-GB"/>
              </w:rPr>
              <w:t xml:space="preserve"> A.,</w:t>
            </w:r>
          </w:p>
        </w:tc>
        <w:tc>
          <w:tcPr>
            <w:tcW w:w="4940" w:type="dxa"/>
            <w:tcBorders>
              <w:top w:val="nil"/>
              <w:left w:val="nil"/>
              <w:bottom w:val="single" w:sz="4" w:space="0" w:color="auto"/>
              <w:right w:val="single" w:sz="4" w:space="0" w:color="auto"/>
            </w:tcBorders>
            <w:shd w:val="clear" w:color="auto" w:fill="auto"/>
            <w:vAlign w:val="bottom"/>
            <w:hideMark/>
          </w:tcPr>
          <w:p w14:paraId="70506EC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Using participatory </w:t>
            </w:r>
            <w:proofErr w:type="spellStart"/>
            <w:r w:rsidRPr="00572724">
              <w:rPr>
                <w:rFonts w:ascii="Times New Roman" w:eastAsia="Times New Roman" w:hAnsi="Times New Roman" w:cs="Times New Roman"/>
                <w:color w:val="000000"/>
                <w:lang w:eastAsia="en-GB"/>
              </w:rPr>
              <w:t>modeling</w:t>
            </w:r>
            <w:proofErr w:type="spellEnd"/>
            <w:r w:rsidRPr="00572724">
              <w:rPr>
                <w:rFonts w:ascii="Times New Roman" w:eastAsia="Times New Roman" w:hAnsi="Times New Roman" w:cs="Times New Roman"/>
                <w:color w:val="000000"/>
                <w:lang w:eastAsia="en-GB"/>
              </w:rPr>
              <w:t xml:space="preserve"> processes to identify sources of climate risk in West Africa</w:t>
            </w:r>
          </w:p>
        </w:tc>
        <w:tc>
          <w:tcPr>
            <w:tcW w:w="1240" w:type="dxa"/>
            <w:tcBorders>
              <w:top w:val="nil"/>
              <w:left w:val="nil"/>
              <w:bottom w:val="single" w:sz="4" w:space="0" w:color="auto"/>
              <w:right w:val="single" w:sz="4" w:space="0" w:color="auto"/>
            </w:tcBorders>
            <w:shd w:val="clear" w:color="auto" w:fill="auto"/>
            <w:vAlign w:val="bottom"/>
            <w:hideMark/>
          </w:tcPr>
          <w:p w14:paraId="58B6C8B8"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022421F9"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BF7B90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Scott J.F., Cacho O.J., Scott J.M.,</w:t>
            </w:r>
          </w:p>
        </w:tc>
        <w:tc>
          <w:tcPr>
            <w:tcW w:w="4940" w:type="dxa"/>
            <w:tcBorders>
              <w:top w:val="nil"/>
              <w:left w:val="nil"/>
              <w:bottom w:val="single" w:sz="4" w:space="0" w:color="auto"/>
              <w:right w:val="single" w:sz="4" w:space="0" w:color="auto"/>
            </w:tcBorders>
            <w:shd w:val="clear" w:color="auto" w:fill="auto"/>
            <w:vAlign w:val="bottom"/>
            <w:hideMark/>
          </w:tcPr>
          <w:p w14:paraId="7981229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Economic risk analysis of different livestock management systems</w:t>
            </w:r>
          </w:p>
        </w:tc>
        <w:tc>
          <w:tcPr>
            <w:tcW w:w="1240" w:type="dxa"/>
            <w:tcBorders>
              <w:top w:val="nil"/>
              <w:left w:val="nil"/>
              <w:bottom w:val="single" w:sz="4" w:space="0" w:color="auto"/>
              <w:right w:val="single" w:sz="4" w:space="0" w:color="auto"/>
            </w:tcBorders>
            <w:shd w:val="clear" w:color="auto" w:fill="auto"/>
            <w:vAlign w:val="bottom"/>
            <w:hideMark/>
          </w:tcPr>
          <w:p w14:paraId="6A19FDA2"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2013</w:t>
            </w:r>
          </w:p>
        </w:tc>
      </w:tr>
      <w:tr w:rsidR="00572724" w:rsidRPr="00572724" w14:paraId="6D497B0D"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F37F31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Shah A.A.; Khan N.A.; Gong Z.; Ahmad I.; Naqvi S.A.A.; Ullah W.; </w:t>
            </w:r>
            <w:proofErr w:type="spellStart"/>
            <w:r w:rsidRPr="00572724">
              <w:rPr>
                <w:rFonts w:ascii="Times New Roman" w:eastAsia="Times New Roman" w:hAnsi="Times New Roman" w:cs="Times New Roman"/>
                <w:color w:val="000000"/>
                <w:lang w:eastAsia="en-GB"/>
              </w:rPr>
              <w:t>Karmaoui</w:t>
            </w:r>
            <w:proofErr w:type="spellEnd"/>
            <w:r w:rsidRPr="00572724">
              <w:rPr>
                <w:rFonts w:ascii="Times New Roman" w:eastAsia="Times New Roman" w:hAnsi="Times New Roman" w:cs="Times New Roman"/>
                <w:color w:val="000000"/>
                <w:lang w:eastAsia="en-GB"/>
              </w:rPr>
              <w:t xml:space="preserve"> A.</w:t>
            </w:r>
          </w:p>
        </w:tc>
        <w:tc>
          <w:tcPr>
            <w:tcW w:w="4940" w:type="dxa"/>
            <w:tcBorders>
              <w:top w:val="nil"/>
              <w:left w:val="nil"/>
              <w:bottom w:val="single" w:sz="4" w:space="0" w:color="auto"/>
              <w:right w:val="single" w:sz="4" w:space="0" w:color="auto"/>
            </w:tcBorders>
            <w:shd w:val="clear" w:color="auto" w:fill="auto"/>
            <w:vAlign w:val="bottom"/>
            <w:hideMark/>
          </w:tcPr>
          <w:p w14:paraId="6074DA6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Farmers’ perspective towards climate change vulnerability, risk perceptions, and adaptation measures in Khyber Pakhtunkhwa, Pakistan</w:t>
            </w:r>
          </w:p>
        </w:tc>
        <w:tc>
          <w:tcPr>
            <w:tcW w:w="1240" w:type="dxa"/>
            <w:tcBorders>
              <w:top w:val="nil"/>
              <w:left w:val="nil"/>
              <w:bottom w:val="single" w:sz="4" w:space="0" w:color="auto"/>
              <w:right w:val="single" w:sz="4" w:space="0" w:color="auto"/>
            </w:tcBorders>
            <w:shd w:val="clear" w:color="auto" w:fill="auto"/>
            <w:noWrap/>
            <w:vAlign w:val="bottom"/>
            <w:hideMark/>
          </w:tcPr>
          <w:p w14:paraId="7DEC4CC1"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197F51F7"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702942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Shantharaju</w:t>
            </w:r>
            <w:proofErr w:type="spellEnd"/>
            <w:r w:rsidRPr="00572724">
              <w:rPr>
                <w:rFonts w:ascii="Times New Roman" w:eastAsia="Times New Roman" w:hAnsi="Times New Roman" w:cs="Times New Roman"/>
                <w:color w:val="000000"/>
                <w:lang w:eastAsia="en-GB"/>
              </w:rPr>
              <w:t xml:space="preserve"> A.; Islam M.A.; Kath J.M.; Mushtaq S.; </w:t>
            </w:r>
            <w:proofErr w:type="spellStart"/>
            <w:r w:rsidRPr="00572724">
              <w:rPr>
                <w:rFonts w:ascii="Times New Roman" w:eastAsia="Times New Roman" w:hAnsi="Times New Roman" w:cs="Times New Roman"/>
                <w:color w:val="000000"/>
                <w:lang w:eastAsia="en-GB"/>
              </w:rPr>
              <w:t>Muniyappa</w:t>
            </w:r>
            <w:proofErr w:type="spellEnd"/>
            <w:r w:rsidRPr="00572724">
              <w:rPr>
                <w:rFonts w:ascii="Times New Roman" w:eastAsia="Times New Roman" w:hAnsi="Times New Roman" w:cs="Times New Roman"/>
                <w:color w:val="000000"/>
                <w:lang w:eastAsia="en-GB"/>
              </w:rPr>
              <w:t xml:space="preserve"> A.; Singh-Peterson L.</w:t>
            </w:r>
          </w:p>
        </w:tc>
        <w:tc>
          <w:tcPr>
            <w:tcW w:w="4940" w:type="dxa"/>
            <w:tcBorders>
              <w:top w:val="nil"/>
              <w:left w:val="nil"/>
              <w:bottom w:val="single" w:sz="4" w:space="0" w:color="auto"/>
              <w:right w:val="single" w:sz="4" w:space="0" w:color="auto"/>
            </w:tcBorders>
            <w:shd w:val="clear" w:color="auto" w:fill="auto"/>
            <w:vAlign w:val="bottom"/>
            <w:hideMark/>
          </w:tcPr>
          <w:p w14:paraId="78F9EAA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Understanding Constraints and Enablers of Climate Risk Management Strategies: Evidence from Smallholder Dairy Farmers in Regional South India</w:t>
            </w:r>
          </w:p>
        </w:tc>
        <w:tc>
          <w:tcPr>
            <w:tcW w:w="1240" w:type="dxa"/>
            <w:tcBorders>
              <w:top w:val="nil"/>
              <w:left w:val="nil"/>
              <w:bottom w:val="single" w:sz="4" w:space="0" w:color="auto"/>
              <w:right w:val="single" w:sz="4" w:space="0" w:color="auto"/>
            </w:tcBorders>
            <w:shd w:val="clear" w:color="auto" w:fill="auto"/>
            <w:noWrap/>
            <w:vAlign w:val="bottom"/>
            <w:hideMark/>
          </w:tcPr>
          <w:p w14:paraId="26AB6CF2"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2DB1BDE4"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478203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lastRenderedPageBreak/>
              <w:t>Shrestha R.P., Nepal N.,</w:t>
            </w:r>
          </w:p>
        </w:tc>
        <w:tc>
          <w:tcPr>
            <w:tcW w:w="4940" w:type="dxa"/>
            <w:tcBorders>
              <w:top w:val="nil"/>
              <w:left w:val="nil"/>
              <w:bottom w:val="single" w:sz="4" w:space="0" w:color="auto"/>
              <w:right w:val="single" w:sz="4" w:space="0" w:color="auto"/>
            </w:tcBorders>
            <w:shd w:val="clear" w:color="auto" w:fill="auto"/>
            <w:vAlign w:val="bottom"/>
            <w:hideMark/>
          </w:tcPr>
          <w:p w14:paraId="4F797DC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An assessment by subsistence farmers of the risks to food security attributable to climate change in </w:t>
            </w:r>
            <w:proofErr w:type="spellStart"/>
            <w:r w:rsidRPr="00572724">
              <w:rPr>
                <w:rFonts w:ascii="Times New Roman" w:eastAsia="Times New Roman" w:hAnsi="Times New Roman" w:cs="Times New Roman"/>
                <w:color w:val="000000"/>
                <w:lang w:eastAsia="en-GB"/>
              </w:rPr>
              <w:t>Makwanpur</w:t>
            </w:r>
            <w:proofErr w:type="spellEnd"/>
            <w:r w:rsidRPr="00572724">
              <w:rPr>
                <w:rFonts w:ascii="Times New Roman" w:eastAsia="Times New Roman" w:hAnsi="Times New Roman" w:cs="Times New Roman"/>
                <w:color w:val="000000"/>
                <w:lang w:eastAsia="en-GB"/>
              </w:rPr>
              <w:t>, Nepal</w:t>
            </w:r>
          </w:p>
        </w:tc>
        <w:tc>
          <w:tcPr>
            <w:tcW w:w="1240" w:type="dxa"/>
            <w:tcBorders>
              <w:top w:val="nil"/>
              <w:left w:val="nil"/>
              <w:bottom w:val="single" w:sz="4" w:space="0" w:color="auto"/>
              <w:right w:val="single" w:sz="4" w:space="0" w:color="auto"/>
            </w:tcBorders>
            <w:shd w:val="clear" w:color="auto" w:fill="auto"/>
            <w:vAlign w:val="bottom"/>
            <w:hideMark/>
          </w:tcPr>
          <w:p w14:paraId="02DB2F4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2016</w:t>
            </w:r>
          </w:p>
        </w:tc>
      </w:tr>
      <w:tr w:rsidR="00572724" w:rsidRPr="00572724" w14:paraId="56A9B043"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6CE9A6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Shrestha S., Barratt A., Fox N.J., </w:t>
            </w:r>
            <w:proofErr w:type="spellStart"/>
            <w:r w:rsidRPr="00572724">
              <w:rPr>
                <w:rFonts w:ascii="Times New Roman" w:eastAsia="Times New Roman" w:hAnsi="Times New Roman" w:cs="Times New Roman"/>
                <w:color w:val="000000"/>
                <w:lang w:eastAsia="en-GB"/>
              </w:rPr>
              <w:t>Vosough</w:t>
            </w:r>
            <w:proofErr w:type="spellEnd"/>
            <w:r w:rsidRPr="00572724">
              <w:rPr>
                <w:rFonts w:ascii="Times New Roman" w:eastAsia="Times New Roman" w:hAnsi="Times New Roman" w:cs="Times New Roman"/>
                <w:color w:val="000000"/>
                <w:lang w:eastAsia="en-GB"/>
              </w:rPr>
              <w:t xml:space="preserve"> Ahmadi B., Hutchings M.R.,</w:t>
            </w:r>
          </w:p>
        </w:tc>
        <w:tc>
          <w:tcPr>
            <w:tcW w:w="4940" w:type="dxa"/>
            <w:tcBorders>
              <w:top w:val="nil"/>
              <w:left w:val="nil"/>
              <w:bottom w:val="single" w:sz="4" w:space="0" w:color="auto"/>
              <w:right w:val="single" w:sz="4" w:space="0" w:color="auto"/>
            </w:tcBorders>
            <w:shd w:val="clear" w:color="auto" w:fill="auto"/>
            <w:vAlign w:val="bottom"/>
            <w:hideMark/>
          </w:tcPr>
          <w:p w14:paraId="0F06A30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Financial Impacts of Liver Fluke on Livestock Farms Under Climate Change–A Farm Level Assessment</w:t>
            </w:r>
          </w:p>
        </w:tc>
        <w:tc>
          <w:tcPr>
            <w:tcW w:w="1240" w:type="dxa"/>
            <w:tcBorders>
              <w:top w:val="nil"/>
              <w:left w:val="nil"/>
              <w:bottom w:val="single" w:sz="4" w:space="0" w:color="auto"/>
              <w:right w:val="single" w:sz="4" w:space="0" w:color="auto"/>
            </w:tcBorders>
            <w:shd w:val="clear" w:color="auto" w:fill="auto"/>
            <w:vAlign w:val="bottom"/>
            <w:hideMark/>
          </w:tcPr>
          <w:p w14:paraId="0CA9518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782207B0"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6DBDCB8"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proofErr w:type="spellStart"/>
            <w:r w:rsidRPr="00572724">
              <w:rPr>
                <w:rFonts w:ascii="Times New Roman" w:eastAsia="Times New Roman" w:hAnsi="Times New Roman" w:cs="Times New Roman"/>
                <w:color w:val="000000"/>
                <w:lang w:val="fr-FR" w:eastAsia="en-GB"/>
              </w:rPr>
              <w:t>Simelton</w:t>
            </w:r>
            <w:proofErr w:type="spellEnd"/>
            <w:r w:rsidRPr="00572724">
              <w:rPr>
                <w:rFonts w:ascii="Times New Roman" w:eastAsia="Times New Roman" w:hAnsi="Times New Roman" w:cs="Times New Roman"/>
                <w:color w:val="000000"/>
                <w:lang w:val="fr-FR" w:eastAsia="en-GB"/>
              </w:rPr>
              <w:t xml:space="preserve"> E., Dam B.V., </w:t>
            </w:r>
            <w:proofErr w:type="spellStart"/>
            <w:r w:rsidRPr="00572724">
              <w:rPr>
                <w:rFonts w:ascii="Times New Roman" w:eastAsia="Times New Roman" w:hAnsi="Times New Roman" w:cs="Times New Roman"/>
                <w:color w:val="000000"/>
                <w:lang w:val="fr-FR" w:eastAsia="en-GB"/>
              </w:rPr>
              <w:t>Catacutan</w:t>
            </w:r>
            <w:proofErr w:type="spellEnd"/>
            <w:r w:rsidRPr="00572724">
              <w:rPr>
                <w:rFonts w:ascii="Times New Roman" w:eastAsia="Times New Roman" w:hAnsi="Times New Roman" w:cs="Times New Roman"/>
                <w:color w:val="000000"/>
                <w:lang w:val="fr-FR" w:eastAsia="en-GB"/>
              </w:rPr>
              <w:t xml:space="preserve"> D.,</w:t>
            </w:r>
          </w:p>
        </w:tc>
        <w:tc>
          <w:tcPr>
            <w:tcW w:w="4940" w:type="dxa"/>
            <w:tcBorders>
              <w:top w:val="nil"/>
              <w:left w:val="nil"/>
              <w:bottom w:val="single" w:sz="4" w:space="0" w:color="auto"/>
              <w:right w:val="single" w:sz="4" w:space="0" w:color="auto"/>
            </w:tcBorders>
            <w:shd w:val="clear" w:color="auto" w:fill="auto"/>
            <w:vAlign w:val="bottom"/>
            <w:hideMark/>
          </w:tcPr>
          <w:p w14:paraId="7BAF6BA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Trees and agroforestry for coping with extreme weather events: experiences from northern and central Viet Nam</w:t>
            </w:r>
          </w:p>
        </w:tc>
        <w:tc>
          <w:tcPr>
            <w:tcW w:w="1240" w:type="dxa"/>
            <w:tcBorders>
              <w:top w:val="nil"/>
              <w:left w:val="nil"/>
              <w:bottom w:val="single" w:sz="4" w:space="0" w:color="auto"/>
              <w:right w:val="single" w:sz="4" w:space="0" w:color="auto"/>
            </w:tcBorders>
            <w:shd w:val="clear" w:color="auto" w:fill="auto"/>
            <w:vAlign w:val="bottom"/>
            <w:hideMark/>
          </w:tcPr>
          <w:p w14:paraId="13C14288"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2015</w:t>
            </w:r>
          </w:p>
        </w:tc>
      </w:tr>
      <w:tr w:rsidR="00572724" w:rsidRPr="00572724" w14:paraId="459B73B7"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C8DD23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Simelton E., Quinn C.H., </w:t>
            </w:r>
            <w:proofErr w:type="spellStart"/>
            <w:r w:rsidRPr="00572724">
              <w:rPr>
                <w:rFonts w:ascii="Times New Roman" w:eastAsia="Times New Roman" w:hAnsi="Times New Roman" w:cs="Times New Roman"/>
                <w:color w:val="000000"/>
                <w:lang w:eastAsia="en-GB"/>
              </w:rPr>
              <w:t>Batisani</w:t>
            </w:r>
            <w:proofErr w:type="spellEnd"/>
            <w:r w:rsidRPr="00572724">
              <w:rPr>
                <w:rFonts w:ascii="Times New Roman" w:eastAsia="Times New Roman" w:hAnsi="Times New Roman" w:cs="Times New Roman"/>
                <w:color w:val="000000"/>
                <w:lang w:eastAsia="en-GB"/>
              </w:rPr>
              <w:t xml:space="preserve"> N., </w:t>
            </w:r>
            <w:proofErr w:type="spellStart"/>
            <w:r w:rsidRPr="00572724">
              <w:rPr>
                <w:rFonts w:ascii="Times New Roman" w:eastAsia="Times New Roman" w:hAnsi="Times New Roman" w:cs="Times New Roman"/>
                <w:color w:val="000000"/>
                <w:lang w:eastAsia="en-GB"/>
              </w:rPr>
              <w:t>Dougill</w:t>
            </w:r>
            <w:proofErr w:type="spellEnd"/>
            <w:r w:rsidRPr="00572724">
              <w:rPr>
                <w:rFonts w:ascii="Times New Roman" w:eastAsia="Times New Roman" w:hAnsi="Times New Roman" w:cs="Times New Roman"/>
                <w:color w:val="000000"/>
                <w:lang w:eastAsia="en-GB"/>
              </w:rPr>
              <w:t xml:space="preserve"> A.J., Dyer J.C., Fraser E.D.G., </w:t>
            </w:r>
            <w:proofErr w:type="spellStart"/>
            <w:r w:rsidRPr="00572724">
              <w:rPr>
                <w:rFonts w:ascii="Times New Roman" w:eastAsia="Times New Roman" w:hAnsi="Times New Roman" w:cs="Times New Roman"/>
                <w:color w:val="000000"/>
                <w:lang w:eastAsia="en-GB"/>
              </w:rPr>
              <w:t>Mkwambisi</w:t>
            </w:r>
            <w:proofErr w:type="spellEnd"/>
            <w:r w:rsidRPr="00572724">
              <w:rPr>
                <w:rFonts w:ascii="Times New Roman" w:eastAsia="Times New Roman" w:hAnsi="Times New Roman" w:cs="Times New Roman"/>
                <w:color w:val="000000"/>
                <w:lang w:eastAsia="en-GB"/>
              </w:rPr>
              <w:t xml:space="preserve"> D., Sallu S., Stringer L.C.,</w:t>
            </w:r>
          </w:p>
        </w:tc>
        <w:tc>
          <w:tcPr>
            <w:tcW w:w="4940" w:type="dxa"/>
            <w:tcBorders>
              <w:top w:val="nil"/>
              <w:left w:val="nil"/>
              <w:bottom w:val="single" w:sz="4" w:space="0" w:color="auto"/>
              <w:right w:val="single" w:sz="4" w:space="0" w:color="auto"/>
            </w:tcBorders>
            <w:shd w:val="clear" w:color="auto" w:fill="auto"/>
            <w:vAlign w:val="bottom"/>
            <w:hideMark/>
          </w:tcPr>
          <w:p w14:paraId="77C560F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Is rainfall really changing? Farmers' perceptions, meteorological data, and policy implications</w:t>
            </w:r>
          </w:p>
        </w:tc>
        <w:tc>
          <w:tcPr>
            <w:tcW w:w="1240" w:type="dxa"/>
            <w:tcBorders>
              <w:top w:val="nil"/>
              <w:left w:val="nil"/>
              <w:bottom w:val="single" w:sz="4" w:space="0" w:color="auto"/>
              <w:right w:val="single" w:sz="4" w:space="0" w:color="auto"/>
            </w:tcBorders>
            <w:shd w:val="clear" w:color="auto" w:fill="auto"/>
            <w:vAlign w:val="bottom"/>
            <w:hideMark/>
          </w:tcPr>
          <w:p w14:paraId="6A25C24A"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2013</w:t>
            </w:r>
          </w:p>
        </w:tc>
      </w:tr>
      <w:tr w:rsidR="00572724" w:rsidRPr="00572724" w14:paraId="232EB2E3"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7B2FD5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Singh A.K., Das B., Mali S.S., Bhavana P., Shinde R., Bhatt B.P.,</w:t>
            </w:r>
          </w:p>
        </w:tc>
        <w:tc>
          <w:tcPr>
            <w:tcW w:w="4940" w:type="dxa"/>
            <w:tcBorders>
              <w:top w:val="nil"/>
              <w:left w:val="nil"/>
              <w:bottom w:val="single" w:sz="4" w:space="0" w:color="auto"/>
              <w:right w:val="single" w:sz="4" w:space="0" w:color="auto"/>
            </w:tcBorders>
            <w:shd w:val="clear" w:color="auto" w:fill="auto"/>
            <w:vAlign w:val="bottom"/>
            <w:hideMark/>
          </w:tcPr>
          <w:p w14:paraId="28AE900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Intensification of rice-fallow cropping systems in the Eastern Plateau region of India: diversifying cropping systems and climate risk mitigation</w:t>
            </w:r>
          </w:p>
        </w:tc>
        <w:tc>
          <w:tcPr>
            <w:tcW w:w="1240" w:type="dxa"/>
            <w:tcBorders>
              <w:top w:val="nil"/>
              <w:left w:val="nil"/>
              <w:bottom w:val="single" w:sz="4" w:space="0" w:color="auto"/>
              <w:right w:val="single" w:sz="4" w:space="0" w:color="auto"/>
            </w:tcBorders>
            <w:shd w:val="clear" w:color="auto" w:fill="auto"/>
            <w:vAlign w:val="bottom"/>
            <w:hideMark/>
          </w:tcPr>
          <w:p w14:paraId="4BD7719F"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0C17F56C"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19164F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Soltani</w:t>
            </w:r>
            <w:proofErr w:type="spellEnd"/>
            <w:r w:rsidRPr="00572724">
              <w:rPr>
                <w:rFonts w:ascii="Times New Roman" w:eastAsia="Times New Roman" w:hAnsi="Times New Roman" w:cs="Times New Roman"/>
                <w:color w:val="000000"/>
                <w:lang w:eastAsia="en-GB"/>
              </w:rPr>
              <w:t xml:space="preserve"> L.; </w:t>
            </w:r>
            <w:proofErr w:type="spellStart"/>
            <w:r w:rsidRPr="00572724">
              <w:rPr>
                <w:rFonts w:ascii="Times New Roman" w:eastAsia="Times New Roman" w:hAnsi="Times New Roman" w:cs="Times New Roman"/>
                <w:color w:val="000000"/>
                <w:lang w:eastAsia="en-GB"/>
              </w:rPr>
              <w:t>Mellah</w:t>
            </w:r>
            <w:proofErr w:type="spellEnd"/>
            <w:r w:rsidRPr="00572724">
              <w:rPr>
                <w:rFonts w:ascii="Times New Roman" w:eastAsia="Times New Roman" w:hAnsi="Times New Roman" w:cs="Times New Roman"/>
                <w:color w:val="000000"/>
                <w:lang w:eastAsia="en-GB"/>
              </w:rPr>
              <w:t xml:space="preserve"> T.</w:t>
            </w:r>
          </w:p>
        </w:tc>
        <w:tc>
          <w:tcPr>
            <w:tcW w:w="4940" w:type="dxa"/>
            <w:tcBorders>
              <w:top w:val="nil"/>
              <w:left w:val="nil"/>
              <w:bottom w:val="single" w:sz="4" w:space="0" w:color="auto"/>
              <w:right w:val="single" w:sz="4" w:space="0" w:color="auto"/>
            </w:tcBorders>
            <w:shd w:val="clear" w:color="auto" w:fill="auto"/>
            <w:vAlign w:val="bottom"/>
            <w:hideMark/>
          </w:tcPr>
          <w:p w14:paraId="51DA270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Exploring farmers’ adaptation strategies to water shortage under climate change in the Tunisian semi-arid region</w:t>
            </w:r>
          </w:p>
        </w:tc>
        <w:tc>
          <w:tcPr>
            <w:tcW w:w="1240" w:type="dxa"/>
            <w:tcBorders>
              <w:top w:val="nil"/>
              <w:left w:val="nil"/>
              <w:bottom w:val="single" w:sz="4" w:space="0" w:color="auto"/>
              <w:right w:val="single" w:sz="4" w:space="0" w:color="auto"/>
            </w:tcBorders>
            <w:shd w:val="clear" w:color="auto" w:fill="auto"/>
            <w:noWrap/>
            <w:vAlign w:val="bottom"/>
            <w:hideMark/>
          </w:tcPr>
          <w:p w14:paraId="3918EBB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34099A1A"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E2EE23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Son H.N., Kingsbury A., Hoa H.T.,</w:t>
            </w:r>
          </w:p>
        </w:tc>
        <w:tc>
          <w:tcPr>
            <w:tcW w:w="4940" w:type="dxa"/>
            <w:tcBorders>
              <w:top w:val="nil"/>
              <w:left w:val="nil"/>
              <w:bottom w:val="single" w:sz="4" w:space="0" w:color="auto"/>
              <w:right w:val="single" w:sz="4" w:space="0" w:color="auto"/>
            </w:tcBorders>
            <w:shd w:val="clear" w:color="auto" w:fill="auto"/>
            <w:vAlign w:val="bottom"/>
            <w:hideMark/>
          </w:tcPr>
          <w:p w14:paraId="37A9116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Indigenous knowledge and the enhancement of community resilience to climate change in the Northern Mountainous Region of Vietnam</w:t>
            </w:r>
          </w:p>
        </w:tc>
        <w:tc>
          <w:tcPr>
            <w:tcW w:w="1240" w:type="dxa"/>
            <w:tcBorders>
              <w:top w:val="nil"/>
              <w:left w:val="nil"/>
              <w:bottom w:val="single" w:sz="4" w:space="0" w:color="auto"/>
              <w:right w:val="single" w:sz="4" w:space="0" w:color="auto"/>
            </w:tcBorders>
            <w:shd w:val="clear" w:color="auto" w:fill="auto"/>
            <w:vAlign w:val="bottom"/>
            <w:hideMark/>
          </w:tcPr>
          <w:p w14:paraId="6C0C6EF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1FDA429E"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F699CE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Sorvali</w:t>
            </w:r>
            <w:proofErr w:type="spellEnd"/>
            <w:r w:rsidRPr="00572724">
              <w:rPr>
                <w:rFonts w:ascii="Times New Roman" w:eastAsia="Times New Roman" w:hAnsi="Times New Roman" w:cs="Times New Roman"/>
                <w:color w:val="000000"/>
                <w:lang w:eastAsia="en-GB"/>
              </w:rPr>
              <w:t xml:space="preserve">, J; </w:t>
            </w:r>
            <w:proofErr w:type="spellStart"/>
            <w:r w:rsidRPr="00572724">
              <w:rPr>
                <w:rFonts w:ascii="Times New Roman" w:eastAsia="Times New Roman" w:hAnsi="Times New Roman" w:cs="Times New Roman"/>
                <w:color w:val="000000"/>
                <w:lang w:eastAsia="en-GB"/>
              </w:rPr>
              <w:t>Kaseva</w:t>
            </w:r>
            <w:proofErr w:type="spellEnd"/>
            <w:r w:rsidRPr="00572724">
              <w:rPr>
                <w:rFonts w:ascii="Times New Roman" w:eastAsia="Times New Roman" w:hAnsi="Times New Roman" w:cs="Times New Roman"/>
                <w:color w:val="000000"/>
                <w:lang w:eastAsia="en-GB"/>
              </w:rPr>
              <w:t xml:space="preserve">, J; </w:t>
            </w:r>
            <w:proofErr w:type="spellStart"/>
            <w:r w:rsidRPr="00572724">
              <w:rPr>
                <w:rFonts w:ascii="Times New Roman" w:eastAsia="Times New Roman" w:hAnsi="Times New Roman" w:cs="Times New Roman"/>
                <w:color w:val="000000"/>
                <w:lang w:eastAsia="en-GB"/>
              </w:rPr>
              <w:t>Peltonen-Sainio</w:t>
            </w:r>
            <w:proofErr w:type="spellEnd"/>
            <w:r w:rsidRPr="00572724">
              <w:rPr>
                <w:rFonts w:ascii="Times New Roman" w:eastAsia="Times New Roman" w:hAnsi="Times New Roman" w:cs="Times New Roman"/>
                <w:color w:val="000000"/>
                <w:lang w:eastAsia="en-GB"/>
              </w:rPr>
              <w:t>, P</w:t>
            </w:r>
          </w:p>
        </w:tc>
        <w:tc>
          <w:tcPr>
            <w:tcW w:w="4940" w:type="dxa"/>
            <w:tcBorders>
              <w:top w:val="nil"/>
              <w:left w:val="nil"/>
              <w:bottom w:val="single" w:sz="4" w:space="0" w:color="auto"/>
              <w:right w:val="single" w:sz="4" w:space="0" w:color="auto"/>
            </w:tcBorders>
            <w:shd w:val="clear" w:color="auto" w:fill="auto"/>
            <w:vAlign w:val="bottom"/>
            <w:hideMark/>
          </w:tcPr>
          <w:p w14:paraId="41B5325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Farmer views on climate change-a longitudinal study of threats, opportunities and action</w:t>
            </w:r>
          </w:p>
        </w:tc>
        <w:tc>
          <w:tcPr>
            <w:tcW w:w="1240" w:type="dxa"/>
            <w:tcBorders>
              <w:top w:val="nil"/>
              <w:left w:val="nil"/>
              <w:bottom w:val="single" w:sz="4" w:space="0" w:color="auto"/>
              <w:right w:val="single" w:sz="4" w:space="0" w:color="auto"/>
            </w:tcBorders>
            <w:shd w:val="clear" w:color="auto" w:fill="auto"/>
            <w:vAlign w:val="bottom"/>
            <w:hideMark/>
          </w:tcPr>
          <w:p w14:paraId="5F5A2214"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40F60A20"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33A69B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Souissi, I; </w:t>
            </w:r>
            <w:proofErr w:type="spellStart"/>
            <w:r w:rsidRPr="00572724">
              <w:rPr>
                <w:rFonts w:ascii="Times New Roman" w:eastAsia="Times New Roman" w:hAnsi="Times New Roman" w:cs="Times New Roman"/>
                <w:color w:val="000000"/>
                <w:lang w:eastAsia="en-GB"/>
              </w:rPr>
              <w:t>Boisson</w:t>
            </w:r>
            <w:proofErr w:type="spellEnd"/>
            <w:r w:rsidRPr="00572724">
              <w:rPr>
                <w:rFonts w:ascii="Times New Roman" w:eastAsia="Times New Roman" w:hAnsi="Times New Roman" w:cs="Times New Roman"/>
                <w:color w:val="000000"/>
                <w:lang w:eastAsia="en-GB"/>
              </w:rPr>
              <w:t xml:space="preserve">, JM; </w:t>
            </w:r>
            <w:proofErr w:type="spellStart"/>
            <w:r w:rsidRPr="00572724">
              <w:rPr>
                <w:rFonts w:ascii="Times New Roman" w:eastAsia="Times New Roman" w:hAnsi="Times New Roman" w:cs="Times New Roman"/>
                <w:color w:val="000000"/>
                <w:lang w:eastAsia="en-GB"/>
              </w:rPr>
              <w:t>Mekki</w:t>
            </w:r>
            <w:proofErr w:type="spellEnd"/>
            <w:r w:rsidRPr="00572724">
              <w:rPr>
                <w:rFonts w:ascii="Times New Roman" w:eastAsia="Times New Roman" w:hAnsi="Times New Roman" w:cs="Times New Roman"/>
                <w:color w:val="000000"/>
                <w:lang w:eastAsia="en-GB"/>
              </w:rPr>
              <w:t xml:space="preserve">, I; </w:t>
            </w:r>
            <w:proofErr w:type="spellStart"/>
            <w:r w:rsidRPr="00572724">
              <w:rPr>
                <w:rFonts w:ascii="Times New Roman" w:eastAsia="Times New Roman" w:hAnsi="Times New Roman" w:cs="Times New Roman"/>
                <w:color w:val="000000"/>
                <w:lang w:eastAsia="en-GB"/>
              </w:rPr>
              <w:t>Therond</w:t>
            </w:r>
            <w:proofErr w:type="spellEnd"/>
            <w:r w:rsidRPr="00572724">
              <w:rPr>
                <w:rFonts w:ascii="Times New Roman" w:eastAsia="Times New Roman" w:hAnsi="Times New Roman" w:cs="Times New Roman"/>
                <w:color w:val="000000"/>
                <w:lang w:eastAsia="en-GB"/>
              </w:rPr>
              <w:t xml:space="preserve">, O; </w:t>
            </w:r>
            <w:proofErr w:type="spellStart"/>
            <w:r w:rsidRPr="00572724">
              <w:rPr>
                <w:rFonts w:ascii="Times New Roman" w:eastAsia="Times New Roman" w:hAnsi="Times New Roman" w:cs="Times New Roman"/>
                <w:color w:val="000000"/>
                <w:lang w:eastAsia="en-GB"/>
              </w:rPr>
              <w:t>Flichman</w:t>
            </w:r>
            <w:proofErr w:type="spellEnd"/>
            <w:r w:rsidRPr="00572724">
              <w:rPr>
                <w:rFonts w:ascii="Times New Roman" w:eastAsia="Times New Roman" w:hAnsi="Times New Roman" w:cs="Times New Roman"/>
                <w:color w:val="000000"/>
                <w:lang w:eastAsia="en-GB"/>
              </w:rPr>
              <w:t xml:space="preserve">, G; </w:t>
            </w:r>
            <w:proofErr w:type="spellStart"/>
            <w:r w:rsidRPr="00572724">
              <w:rPr>
                <w:rFonts w:ascii="Times New Roman" w:eastAsia="Times New Roman" w:hAnsi="Times New Roman" w:cs="Times New Roman"/>
                <w:color w:val="000000"/>
                <w:lang w:eastAsia="en-GB"/>
              </w:rPr>
              <w:t>Wery</w:t>
            </w:r>
            <w:proofErr w:type="spellEnd"/>
            <w:r w:rsidRPr="00572724">
              <w:rPr>
                <w:rFonts w:ascii="Times New Roman" w:eastAsia="Times New Roman" w:hAnsi="Times New Roman" w:cs="Times New Roman"/>
                <w:color w:val="000000"/>
                <w:lang w:eastAsia="en-GB"/>
              </w:rPr>
              <w:t xml:space="preserve">, J; </w:t>
            </w:r>
            <w:proofErr w:type="spellStart"/>
            <w:r w:rsidRPr="00572724">
              <w:rPr>
                <w:rFonts w:ascii="Times New Roman" w:eastAsia="Times New Roman" w:hAnsi="Times New Roman" w:cs="Times New Roman"/>
                <w:color w:val="000000"/>
                <w:lang w:eastAsia="en-GB"/>
              </w:rPr>
              <w:t>Belhouchette</w:t>
            </w:r>
            <w:proofErr w:type="spellEnd"/>
            <w:r w:rsidRPr="00572724">
              <w:rPr>
                <w:rFonts w:ascii="Times New Roman" w:eastAsia="Times New Roman" w:hAnsi="Times New Roman" w:cs="Times New Roman"/>
                <w:color w:val="000000"/>
                <w:lang w:eastAsia="en-GB"/>
              </w:rPr>
              <w:t>, H</w:t>
            </w:r>
          </w:p>
        </w:tc>
        <w:tc>
          <w:tcPr>
            <w:tcW w:w="4940" w:type="dxa"/>
            <w:tcBorders>
              <w:top w:val="nil"/>
              <w:left w:val="nil"/>
              <w:bottom w:val="single" w:sz="4" w:space="0" w:color="auto"/>
              <w:right w:val="single" w:sz="4" w:space="0" w:color="auto"/>
            </w:tcBorders>
            <w:shd w:val="clear" w:color="auto" w:fill="auto"/>
            <w:vAlign w:val="bottom"/>
            <w:hideMark/>
          </w:tcPr>
          <w:p w14:paraId="42F63B7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Impact assessment of climate change on farming systems in the South Mediterranean area: a Tunisian case study</w:t>
            </w:r>
          </w:p>
        </w:tc>
        <w:tc>
          <w:tcPr>
            <w:tcW w:w="1240" w:type="dxa"/>
            <w:tcBorders>
              <w:top w:val="nil"/>
              <w:left w:val="nil"/>
              <w:bottom w:val="single" w:sz="4" w:space="0" w:color="auto"/>
              <w:right w:val="single" w:sz="4" w:space="0" w:color="auto"/>
            </w:tcBorders>
            <w:shd w:val="clear" w:color="auto" w:fill="auto"/>
            <w:vAlign w:val="bottom"/>
            <w:hideMark/>
          </w:tcPr>
          <w:p w14:paraId="7B532D19"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547D20F6"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9EF32C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Srinidhi A.; Smolenaars W.; </w:t>
            </w:r>
            <w:proofErr w:type="spellStart"/>
            <w:r w:rsidRPr="00572724">
              <w:rPr>
                <w:rFonts w:ascii="Times New Roman" w:eastAsia="Times New Roman" w:hAnsi="Times New Roman" w:cs="Times New Roman"/>
                <w:color w:val="000000"/>
                <w:lang w:eastAsia="en-GB"/>
              </w:rPr>
              <w:t>Werners</w:t>
            </w:r>
            <w:proofErr w:type="spellEnd"/>
            <w:r w:rsidRPr="00572724">
              <w:rPr>
                <w:rFonts w:ascii="Times New Roman" w:eastAsia="Times New Roman" w:hAnsi="Times New Roman" w:cs="Times New Roman"/>
                <w:color w:val="000000"/>
                <w:lang w:eastAsia="en-GB"/>
              </w:rPr>
              <w:t xml:space="preserve"> S.E.; Hegde S.; </w:t>
            </w:r>
            <w:proofErr w:type="spellStart"/>
            <w:r w:rsidRPr="00572724">
              <w:rPr>
                <w:rFonts w:ascii="Times New Roman" w:eastAsia="Times New Roman" w:hAnsi="Times New Roman" w:cs="Times New Roman"/>
                <w:color w:val="000000"/>
                <w:lang w:eastAsia="en-GB"/>
              </w:rPr>
              <w:t>Rajapure</w:t>
            </w:r>
            <w:proofErr w:type="spellEnd"/>
            <w:r w:rsidRPr="00572724">
              <w:rPr>
                <w:rFonts w:ascii="Times New Roman" w:eastAsia="Times New Roman" w:hAnsi="Times New Roman" w:cs="Times New Roman"/>
                <w:color w:val="000000"/>
                <w:lang w:eastAsia="en-GB"/>
              </w:rPr>
              <w:t xml:space="preserve"> G.; Meuwissen M.P.M.; Ludwig F.</w:t>
            </w:r>
          </w:p>
        </w:tc>
        <w:tc>
          <w:tcPr>
            <w:tcW w:w="4940" w:type="dxa"/>
            <w:tcBorders>
              <w:top w:val="nil"/>
              <w:left w:val="nil"/>
              <w:bottom w:val="single" w:sz="4" w:space="0" w:color="auto"/>
              <w:right w:val="single" w:sz="4" w:space="0" w:color="auto"/>
            </w:tcBorders>
            <w:shd w:val="clear" w:color="auto" w:fill="auto"/>
            <w:vAlign w:val="bottom"/>
            <w:hideMark/>
          </w:tcPr>
          <w:p w14:paraId="287C159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Critical climate-stress moments for semi-arid farming systems in India</w:t>
            </w:r>
          </w:p>
        </w:tc>
        <w:tc>
          <w:tcPr>
            <w:tcW w:w="1240" w:type="dxa"/>
            <w:tcBorders>
              <w:top w:val="nil"/>
              <w:left w:val="nil"/>
              <w:bottom w:val="single" w:sz="4" w:space="0" w:color="auto"/>
              <w:right w:val="single" w:sz="4" w:space="0" w:color="auto"/>
            </w:tcBorders>
            <w:shd w:val="clear" w:color="auto" w:fill="auto"/>
            <w:noWrap/>
            <w:vAlign w:val="bottom"/>
            <w:hideMark/>
          </w:tcPr>
          <w:p w14:paraId="3B555A7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4F385477"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F66560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Srinidhi A.; </w:t>
            </w:r>
            <w:proofErr w:type="spellStart"/>
            <w:r w:rsidRPr="00572724">
              <w:rPr>
                <w:rFonts w:ascii="Times New Roman" w:eastAsia="Times New Roman" w:hAnsi="Times New Roman" w:cs="Times New Roman"/>
                <w:color w:val="000000"/>
                <w:lang w:eastAsia="en-GB"/>
              </w:rPr>
              <w:t>Werners</w:t>
            </w:r>
            <w:proofErr w:type="spellEnd"/>
            <w:r w:rsidRPr="00572724">
              <w:rPr>
                <w:rFonts w:ascii="Times New Roman" w:eastAsia="Times New Roman" w:hAnsi="Times New Roman" w:cs="Times New Roman"/>
                <w:color w:val="000000"/>
                <w:lang w:eastAsia="en-GB"/>
              </w:rPr>
              <w:t xml:space="preserve"> S.E.; Dadas D.; D’Souza M.; Ludwig F.; Meuwissen M.P.M.</w:t>
            </w:r>
          </w:p>
        </w:tc>
        <w:tc>
          <w:tcPr>
            <w:tcW w:w="4940" w:type="dxa"/>
            <w:tcBorders>
              <w:top w:val="nil"/>
              <w:left w:val="nil"/>
              <w:bottom w:val="single" w:sz="4" w:space="0" w:color="auto"/>
              <w:right w:val="single" w:sz="4" w:space="0" w:color="auto"/>
            </w:tcBorders>
            <w:shd w:val="clear" w:color="auto" w:fill="auto"/>
            <w:vAlign w:val="bottom"/>
            <w:hideMark/>
          </w:tcPr>
          <w:p w14:paraId="73FE5FF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Retrospective climate resilience assessment of semi-arid farming systems in India</w:t>
            </w:r>
          </w:p>
        </w:tc>
        <w:tc>
          <w:tcPr>
            <w:tcW w:w="1240" w:type="dxa"/>
            <w:tcBorders>
              <w:top w:val="nil"/>
              <w:left w:val="nil"/>
              <w:bottom w:val="single" w:sz="4" w:space="0" w:color="auto"/>
              <w:right w:val="single" w:sz="4" w:space="0" w:color="auto"/>
            </w:tcBorders>
            <w:shd w:val="clear" w:color="auto" w:fill="auto"/>
            <w:noWrap/>
            <w:vAlign w:val="bottom"/>
            <w:hideMark/>
          </w:tcPr>
          <w:p w14:paraId="00B5883E"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177A01B4"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F0D3DF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lastRenderedPageBreak/>
              <w:t>Stewart-</w:t>
            </w:r>
            <w:proofErr w:type="spellStart"/>
            <w:r w:rsidRPr="00572724">
              <w:rPr>
                <w:rFonts w:ascii="Times New Roman" w:eastAsia="Times New Roman" w:hAnsi="Times New Roman" w:cs="Times New Roman"/>
                <w:color w:val="000000"/>
                <w:lang w:eastAsia="en-GB"/>
              </w:rPr>
              <w:t>Koster</w:t>
            </w:r>
            <w:proofErr w:type="spellEnd"/>
            <w:r w:rsidRPr="00572724">
              <w:rPr>
                <w:rFonts w:ascii="Times New Roman" w:eastAsia="Times New Roman" w:hAnsi="Times New Roman" w:cs="Times New Roman"/>
                <w:color w:val="000000"/>
                <w:lang w:eastAsia="en-GB"/>
              </w:rPr>
              <w:t xml:space="preserve"> B., Dieu Anh N., Burford M.A., Condon J., Qui N.V., Hiep L.H., Bay D.V., </w:t>
            </w:r>
            <w:proofErr w:type="spellStart"/>
            <w:r w:rsidRPr="00572724">
              <w:rPr>
                <w:rFonts w:ascii="Times New Roman" w:eastAsia="Times New Roman" w:hAnsi="Times New Roman" w:cs="Times New Roman"/>
                <w:color w:val="000000"/>
                <w:lang w:eastAsia="en-GB"/>
              </w:rPr>
              <w:t>Sammut</w:t>
            </w:r>
            <w:proofErr w:type="spellEnd"/>
            <w:r w:rsidRPr="00572724">
              <w:rPr>
                <w:rFonts w:ascii="Times New Roman" w:eastAsia="Times New Roman" w:hAnsi="Times New Roman" w:cs="Times New Roman"/>
                <w:color w:val="000000"/>
                <w:lang w:eastAsia="en-GB"/>
              </w:rPr>
              <w:t xml:space="preserve"> J.,</w:t>
            </w:r>
          </w:p>
        </w:tc>
        <w:tc>
          <w:tcPr>
            <w:tcW w:w="4940" w:type="dxa"/>
            <w:tcBorders>
              <w:top w:val="nil"/>
              <w:left w:val="nil"/>
              <w:bottom w:val="single" w:sz="4" w:space="0" w:color="auto"/>
              <w:right w:val="single" w:sz="4" w:space="0" w:color="auto"/>
            </w:tcBorders>
            <w:shd w:val="clear" w:color="auto" w:fill="auto"/>
            <w:vAlign w:val="bottom"/>
            <w:hideMark/>
          </w:tcPr>
          <w:p w14:paraId="7A0DE3E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Expert based model building to quantify risk factors in a combined aquaculture-agriculture system</w:t>
            </w:r>
          </w:p>
        </w:tc>
        <w:tc>
          <w:tcPr>
            <w:tcW w:w="1240" w:type="dxa"/>
            <w:tcBorders>
              <w:top w:val="nil"/>
              <w:left w:val="nil"/>
              <w:bottom w:val="single" w:sz="4" w:space="0" w:color="auto"/>
              <w:right w:val="single" w:sz="4" w:space="0" w:color="auto"/>
            </w:tcBorders>
            <w:shd w:val="clear" w:color="auto" w:fill="auto"/>
            <w:vAlign w:val="bottom"/>
            <w:hideMark/>
          </w:tcPr>
          <w:p w14:paraId="01EDB65F"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2017</w:t>
            </w:r>
          </w:p>
        </w:tc>
      </w:tr>
      <w:tr w:rsidR="00572724" w:rsidRPr="00572724" w14:paraId="5C21892A"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EA009C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Sujakhu</w:t>
            </w:r>
            <w:proofErr w:type="spellEnd"/>
            <w:r w:rsidRPr="00572724">
              <w:rPr>
                <w:rFonts w:ascii="Times New Roman" w:eastAsia="Times New Roman" w:hAnsi="Times New Roman" w:cs="Times New Roman"/>
                <w:color w:val="000000"/>
                <w:lang w:eastAsia="en-GB"/>
              </w:rPr>
              <w:t xml:space="preserve"> N.M., </w:t>
            </w:r>
            <w:proofErr w:type="spellStart"/>
            <w:r w:rsidRPr="00572724">
              <w:rPr>
                <w:rFonts w:ascii="Times New Roman" w:eastAsia="Times New Roman" w:hAnsi="Times New Roman" w:cs="Times New Roman"/>
                <w:color w:val="000000"/>
                <w:lang w:eastAsia="en-GB"/>
              </w:rPr>
              <w:t>Ranjitkar</w:t>
            </w:r>
            <w:proofErr w:type="spellEnd"/>
            <w:r w:rsidRPr="00572724">
              <w:rPr>
                <w:rFonts w:ascii="Times New Roman" w:eastAsia="Times New Roman" w:hAnsi="Times New Roman" w:cs="Times New Roman"/>
                <w:color w:val="000000"/>
                <w:lang w:eastAsia="en-GB"/>
              </w:rPr>
              <w:t xml:space="preserve"> S., </w:t>
            </w:r>
            <w:proofErr w:type="spellStart"/>
            <w:r w:rsidRPr="00572724">
              <w:rPr>
                <w:rFonts w:ascii="Times New Roman" w:eastAsia="Times New Roman" w:hAnsi="Times New Roman" w:cs="Times New Roman"/>
                <w:color w:val="000000"/>
                <w:lang w:eastAsia="en-GB"/>
              </w:rPr>
              <w:t>Niraula</w:t>
            </w:r>
            <w:proofErr w:type="spellEnd"/>
            <w:r w:rsidRPr="00572724">
              <w:rPr>
                <w:rFonts w:ascii="Times New Roman" w:eastAsia="Times New Roman" w:hAnsi="Times New Roman" w:cs="Times New Roman"/>
                <w:color w:val="000000"/>
                <w:lang w:eastAsia="en-GB"/>
              </w:rPr>
              <w:t xml:space="preserve"> R.R., Pokharel B.K., Schmidt-Vogt D., Xu J.,</w:t>
            </w:r>
          </w:p>
        </w:tc>
        <w:tc>
          <w:tcPr>
            <w:tcW w:w="4940" w:type="dxa"/>
            <w:tcBorders>
              <w:top w:val="nil"/>
              <w:left w:val="nil"/>
              <w:bottom w:val="single" w:sz="4" w:space="0" w:color="auto"/>
              <w:right w:val="single" w:sz="4" w:space="0" w:color="auto"/>
            </w:tcBorders>
            <w:shd w:val="clear" w:color="auto" w:fill="auto"/>
            <w:vAlign w:val="bottom"/>
            <w:hideMark/>
          </w:tcPr>
          <w:p w14:paraId="1CA49274"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Farmers' perceptions of and adaptations to changing climate in the </w:t>
            </w:r>
            <w:proofErr w:type="spellStart"/>
            <w:r w:rsidRPr="00572724">
              <w:rPr>
                <w:rFonts w:ascii="Times New Roman" w:eastAsia="Times New Roman" w:hAnsi="Times New Roman" w:cs="Times New Roman"/>
                <w:color w:val="000000"/>
                <w:lang w:eastAsia="en-GB"/>
              </w:rPr>
              <w:t>Melamchi</w:t>
            </w:r>
            <w:proofErr w:type="spellEnd"/>
            <w:r w:rsidRPr="00572724">
              <w:rPr>
                <w:rFonts w:ascii="Times New Roman" w:eastAsia="Times New Roman" w:hAnsi="Times New Roman" w:cs="Times New Roman"/>
                <w:color w:val="000000"/>
                <w:lang w:eastAsia="en-GB"/>
              </w:rPr>
              <w:t xml:space="preserve"> Valley of Nepal</w:t>
            </w:r>
          </w:p>
        </w:tc>
        <w:tc>
          <w:tcPr>
            <w:tcW w:w="1240" w:type="dxa"/>
            <w:tcBorders>
              <w:top w:val="nil"/>
              <w:left w:val="nil"/>
              <w:bottom w:val="single" w:sz="4" w:space="0" w:color="auto"/>
              <w:right w:val="single" w:sz="4" w:space="0" w:color="auto"/>
            </w:tcBorders>
            <w:shd w:val="clear" w:color="auto" w:fill="auto"/>
            <w:vAlign w:val="bottom"/>
            <w:hideMark/>
          </w:tcPr>
          <w:p w14:paraId="7093409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2016</w:t>
            </w:r>
          </w:p>
        </w:tc>
      </w:tr>
      <w:tr w:rsidR="00572724" w:rsidRPr="00572724" w14:paraId="3287E185"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D9805F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Tan D.N.</w:t>
            </w:r>
          </w:p>
        </w:tc>
        <w:tc>
          <w:tcPr>
            <w:tcW w:w="4940" w:type="dxa"/>
            <w:tcBorders>
              <w:top w:val="nil"/>
              <w:left w:val="nil"/>
              <w:bottom w:val="single" w:sz="4" w:space="0" w:color="auto"/>
              <w:right w:val="single" w:sz="4" w:space="0" w:color="auto"/>
            </w:tcBorders>
            <w:shd w:val="clear" w:color="auto" w:fill="auto"/>
            <w:vAlign w:val="bottom"/>
            <w:hideMark/>
          </w:tcPr>
          <w:p w14:paraId="1C29E2A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Analysing the livelihood vulnerability of shrimp farmers to climate change: A case study in </w:t>
            </w:r>
            <w:proofErr w:type="spellStart"/>
            <w:r w:rsidRPr="00572724">
              <w:rPr>
                <w:rFonts w:ascii="Times New Roman" w:eastAsia="Times New Roman" w:hAnsi="Times New Roman" w:cs="Times New Roman"/>
                <w:color w:val="000000"/>
                <w:lang w:eastAsia="en-GB"/>
              </w:rPr>
              <w:t>Tra</w:t>
            </w:r>
            <w:proofErr w:type="spellEnd"/>
            <w:r w:rsidRPr="00572724">
              <w:rPr>
                <w:rFonts w:ascii="Times New Roman" w:eastAsia="Times New Roman" w:hAnsi="Times New Roman" w:cs="Times New Roman"/>
                <w:color w:val="000000"/>
                <w:lang w:eastAsia="en-GB"/>
              </w:rPr>
              <w:t xml:space="preserve"> Vinh province, Vietnam</w:t>
            </w:r>
          </w:p>
        </w:tc>
        <w:tc>
          <w:tcPr>
            <w:tcW w:w="1240" w:type="dxa"/>
            <w:tcBorders>
              <w:top w:val="nil"/>
              <w:left w:val="nil"/>
              <w:bottom w:val="single" w:sz="4" w:space="0" w:color="auto"/>
              <w:right w:val="single" w:sz="4" w:space="0" w:color="auto"/>
            </w:tcBorders>
            <w:shd w:val="clear" w:color="auto" w:fill="auto"/>
            <w:noWrap/>
            <w:vAlign w:val="bottom"/>
            <w:hideMark/>
          </w:tcPr>
          <w:p w14:paraId="0DE8AED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78EB5FD9"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1E3716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Taremwa</w:t>
            </w:r>
            <w:proofErr w:type="spellEnd"/>
            <w:r w:rsidRPr="00572724">
              <w:rPr>
                <w:rFonts w:ascii="Times New Roman" w:eastAsia="Times New Roman" w:hAnsi="Times New Roman" w:cs="Times New Roman"/>
                <w:color w:val="000000"/>
                <w:lang w:eastAsia="en-GB"/>
              </w:rPr>
              <w:t xml:space="preserve"> N.K., </w:t>
            </w:r>
            <w:proofErr w:type="spellStart"/>
            <w:r w:rsidRPr="00572724">
              <w:rPr>
                <w:rFonts w:ascii="Times New Roman" w:eastAsia="Times New Roman" w:hAnsi="Times New Roman" w:cs="Times New Roman"/>
                <w:color w:val="000000"/>
                <w:lang w:eastAsia="en-GB"/>
              </w:rPr>
              <w:t>Gashumba</w:t>
            </w:r>
            <w:proofErr w:type="spellEnd"/>
            <w:r w:rsidRPr="00572724">
              <w:rPr>
                <w:rFonts w:ascii="Times New Roman" w:eastAsia="Times New Roman" w:hAnsi="Times New Roman" w:cs="Times New Roman"/>
                <w:color w:val="000000"/>
                <w:lang w:eastAsia="en-GB"/>
              </w:rPr>
              <w:t xml:space="preserve"> D., Butera A., Ranganathan T.,</w:t>
            </w:r>
          </w:p>
        </w:tc>
        <w:tc>
          <w:tcPr>
            <w:tcW w:w="4940" w:type="dxa"/>
            <w:tcBorders>
              <w:top w:val="nil"/>
              <w:left w:val="nil"/>
              <w:bottom w:val="single" w:sz="4" w:space="0" w:color="auto"/>
              <w:right w:val="single" w:sz="4" w:space="0" w:color="auto"/>
            </w:tcBorders>
            <w:shd w:val="clear" w:color="auto" w:fill="auto"/>
            <w:vAlign w:val="bottom"/>
            <w:hideMark/>
          </w:tcPr>
          <w:p w14:paraId="2D81435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 Adaptation in Rwanda through Indigenous Knowledge Practice</w:t>
            </w:r>
          </w:p>
        </w:tc>
        <w:tc>
          <w:tcPr>
            <w:tcW w:w="1240" w:type="dxa"/>
            <w:tcBorders>
              <w:top w:val="nil"/>
              <w:left w:val="nil"/>
              <w:bottom w:val="single" w:sz="4" w:space="0" w:color="auto"/>
              <w:right w:val="single" w:sz="4" w:space="0" w:color="auto"/>
            </w:tcBorders>
            <w:shd w:val="clear" w:color="auto" w:fill="auto"/>
            <w:vAlign w:val="bottom"/>
            <w:hideMark/>
          </w:tcPr>
          <w:p w14:paraId="53016E2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2016</w:t>
            </w:r>
          </w:p>
        </w:tc>
      </w:tr>
      <w:tr w:rsidR="00572724" w:rsidRPr="00572724" w14:paraId="59D067BF"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8C902F0"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proofErr w:type="spellStart"/>
            <w:r w:rsidRPr="00572724">
              <w:rPr>
                <w:rFonts w:ascii="Times New Roman" w:eastAsia="Times New Roman" w:hAnsi="Times New Roman" w:cs="Times New Roman"/>
                <w:color w:val="000000"/>
                <w:lang w:val="fr-FR" w:eastAsia="en-GB"/>
              </w:rPr>
              <w:t>Tibesigwa</w:t>
            </w:r>
            <w:proofErr w:type="spellEnd"/>
            <w:r w:rsidRPr="00572724">
              <w:rPr>
                <w:rFonts w:ascii="Times New Roman" w:eastAsia="Times New Roman" w:hAnsi="Times New Roman" w:cs="Times New Roman"/>
                <w:color w:val="000000"/>
                <w:lang w:val="fr-FR" w:eastAsia="en-GB"/>
              </w:rPr>
              <w:t xml:space="preserve">, B; Visser, M; </w:t>
            </w:r>
            <w:proofErr w:type="spellStart"/>
            <w:r w:rsidRPr="00572724">
              <w:rPr>
                <w:rFonts w:ascii="Times New Roman" w:eastAsia="Times New Roman" w:hAnsi="Times New Roman" w:cs="Times New Roman"/>
                <w:color w:val="000000"/>
                <w:lang w:val="fr-FR" w:eastAsia="en-GB"/>
              </w:rPr>
              <w:t>Turpie</w:t>
            </w:r>
            <w:proofErr w:type="spellEnd"/>
            <w:r w:rsidRPr="00572724">
              <w:rPr>
                <w:rFonts w:ascii="Times New Roman" w:eastAsia="Times New Roman" w:hAnsi="Times New Roman" w:cs="Times New Roman"/>
                <w:color w:val="000000"/>
                <w:lang w:val="fr-FR" w:eastAsia="en-GB"/>
              </w:rPr>
              <w:t>, J</w:t>
            </w:r>
          </w:p>
        </w:tc>
        <w:tc>
          <w:tcPr>
            <w:tcW w:w="4940" w:type="dxa"/>
            <w:tcBorders>
              <w:top w:val="nil"/>
              <w:left w:val="nil"/>
              <w:bottom w:val="single" w:sz="4" w:space="0" w:color="auto"/>
              <w:right w:val="single" w:sz="4" w:space="0" w:color="auto"/>
            </w:tcBorders>
            <w:shd w:val="clear" w:color="auto" w:fill="auto"/>
            <w:vAlign w:val="bottom"/>
            <w:hideMark/>
          </w:tcPr>
          <w:p w14:paraId="52829BCF"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 and South Africa's commercial farms: an assessment of impacts on specialised horticulture, crop, livestock and mixed farming systems</w:t>
            </w:r>
          </w:p>
        </w:tc>
        <w:tc>
          <w:tcPr>
            <w:tcW w:w="1240" w:type="dxa"/>
            <w:tcBorders>
              <w:top w:val="nil"/>
              <w:left w:val="nil"/>
              <w:bottom w:val="single" w:sz="4" w:space="0" w:color="auto"/>
              <w:right w:val="single" w:sz="4" w:space="0" w:color="auto"/>
            </w:tcBorders>
            <w:shd w:val="clear" w:color="auto" w:fill="auto"/>
            <w:vAlign w:val="bottom"/>
            <w:hideMark/>
          </w:tcPr>
          <w:p w14:paraId="77A04051"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2017</w:t>
            </w:r>
          </w:p>
        </w:tc>
      </w:tr>
      <w:tr w:rsidR="00572724" w:rsidRPr="00572724" w14:paraId="1B5251D8"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B290233" w14:textId="77777777" w:rsidR="00572724" w:rsidRPr="00572724" w:rsidRDefault="00572724" w:rsidP="00572724">
            <w:pPr>
              <w:spacing w:after="0" w:line="276" w:lineRule="auto"/>
              <w:rPr>
                <w:rFonts w:ascii="Times New Roman" w:eastAsia="Times New Roman" w:hAnsi="Times New Roman" w:cs="Times New Roman"/>
                <w:color w:val="000000"/>
                <w:lang w:val="fr-FR" w:eastAsia="en-GB"/>
              </w:rPr>
            </w:pPr>
            <w:r w:rsidRPr="00572724">
              <w:rPr>
                <w:rFonts w:ascii="Times New Roman" w:eastAsia="Times New Roman" w:hAnsi="Times New Roman" w:cs="Times New Roman"/>
                <w:color w:val="000000"/>
                <w:lang w:val="fr-FR" w:eastAsia="en-GB"/>
              </w:rPr>
              <w:t>Toni F., Holanda Jr. E.,</w:t>
            </w:r>
          </w:p>
        </w:tc>
        <w:tc>
          <w:tcPr>
            <w:tcW w:w="4940" w:type="dxa"/>
            <w:tcBorders>
              <w:top w:val="nil"/>
              <w:left w:val="nil"/>
              <w:bottom w:val="single" w:sz="4" w:space="0" w:color="auto"/>
              <w:right w:val="single" w:sz="4" w:space="0" w:color="auto"/>
            </w:tcBorders>
            <w:shd w:val="clear" w:color="auto" w:fill="auto"/>
            <w:vAlign w:val="bottom"/>
            <w:hideMark/>
          </w:tcPr>
          <w:p w14:paraId="5F46230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The effects of land tenure on vulnerability to droughts in Northeastern Brazil</w:t>
            </w:r>
          </w:p>
        </w:tc>
        <w:tc>
          <w:tcPr>
            <w:tcW w:w="1240" w:type="dxa"/>
            <w:tcBorders>
              <w:top w:val="nil"/>
              <w:left w:val="nil"/>
              <w:bottom w:val="single" w:sz="4" w:space="0" w:color="auto"/>
              <w:right w:val="single" w:sz="4" w:space="0" w:color="auto"/>
            </w:tcBorders>
            <w:shd w:val="clear" w:color="auto" w:fill="auto"/>
            <w:vAlign w:val="bottom"/>
            <w:hideMark/>
          </w:tcPr>
          <w:p w14:paraId="20BA04AE"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2008</w:t>
            </w:r>
          </w:p>
        </w:tc>
      </w:tr>
      <w:tr w:rsidR="00572724" w:rsidRPr="00572724" w14:paraId="3236FD68"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01A7BA6"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Touch V., Martin R.J., Scott F., Cowie A., Liu D.L.,</w:t>
            </w:r>
          </w:p>
        </w:tc>
        <w:tc>
          <w:tcPr>
            <w:tcW w:w="4940" w:type="dxa"/>
            <w:tcBorders>
              <w:top w:val="nil"/>
              <w:left w:val="nil"/>
              <w:bottom w:val="single" w:sz="4" w:space="0" w:color="auto"/>
              <w:right w:val="single" w:sz="4" w:space="0" w:color="auto"/>
            </w:tcBorders>
            <w:shd w:val="clear" w:color="auto" w:fill="auto"/>
            <w:vAlign w:val="bottom"/>
            <w:hideMark/>
          </w:tcPr>
          <w:p w14:paraId="5306614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 impacts on rainfed cropping production systems in the tropics and the case of smallholder farms in North-west Cambodia</w:t>
            </w:r>
          </w:p>
        </w:tc>
        <w:tc>
          <w:tcPr>
            <w:tcW w:w="1240" w:type="dxa"/>
            <w:tcBorders>
              <w:top w:val="nil"/>
              <w:left w:val="nil"/>
              <w:bottom w:val="single" w:sz="4" w:space="0" w:color="auto"/>
              <w:right w:val="single" w:sz="4" w:space="0" w:color="auto"/>
            </w:tcBorders>
            <w:shd w:val="clear" w:color="auto" w:fill="auto"/>
            <w:vAlign w:val="bottom"/>
            <w:hideMark/>
          </w:tcPr>
          <w:p w14:paraId="36CEAFB1"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2017</w:t>
            </w:r>
          </w:p>
        </w:tc>
      </w:tr>
      <w:tr w:rsidR="00572724" w:rsidRPr="00572724" w14:paraId="1D97A3A5"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02A44C0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Tran T.A.; Cook B.R.</w:t>
            </w:r>
          </w:p>
        </w:tc>
        <w:tc>
          <w:tcPr>
            <w:tcW w:w="4940" w:type="dxa"/>
            <w:tcBorders>
              <w:top w:val="nil"/>
              <w:left w:val="nil"/>
              <w:bottom w:val="single" w:sz="4" w:space="0" w:color="auto"/>
              <w:right w:val="single" w:sz="4" w:space="0" w:color="auto"/>
            </w:tcBorders>
            <w:shd w:val="clear" w:color="auto" w:fill="auto"/>
            <w:vAlign w:val="bottom"/>
            <w:hideMark/>
          </w:tcPr>
          <w:p w14:paraId="7405B328"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Water retention for agricultural resilience in the Vietnamese Mekong Delta: towards integrated ‘grey–green’ solutions</w:t>
            </w:r>
          </w:p>
        </w:tc>
        <w:tc>
          <w:tcPr>
            <w:tcW w:w="1240" w:type="dxa"/>
            <w:tcBorders>
              <w:top w:val="nil"/>
              <w:left w:val="nil"/>
              <w:bottom w:val="single" w:sz="4" w:space="0" w:color="auto"/>
              <w:right w:val="single" w:sz="4" w:space="0" w:color="auto"/>
            </w:tcBorders>
            <w:shd w:val="clear" w:color="auto" w:fill="auto"/>
            <w:noWrap/>
            <w:vAlign w:val="bottom"/>
            <w:hideMark/>
          </w:tcPr>
          <w:p w14:paraId="19B70716"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3FDD4EA6"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D6DC3D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Tui S.H.-K., Descheemaeker K., Valdivia R.O., </w:t>
            </w:r>
            <w:proofErr w:type="spellStart"/>
            <w:r w:rsidRPr="00572724">
              <w:rPr>
                <w:rFonts w:ascii="Times New Roman" w:eastAsia="Times New Roman" w:hAnsi="Times New Roman" w:cs="Times New Roman"/>
                <w:color w:val="000000"/>
                <w:lang w:eastAsia="en-GB"/>
              </w:rPr>
              <w:t>Masikati</w:t>
            </w:r>
            <w:proofErr w:type="spellEnd"/>
            <w:r w:rsidRPr="00572724">
              <w:rPr>
                <w:rFonts w:ascii="Times New Roman" w:eastAsia="Times New Roman" w:hAnsi="Times New Roman" w:cs="Times New Roman"/>
                <w:color w:val="000000"/>
                <w:lang w:eastAsia="en-GB"/>
              </w:rPr>
              <w:t xml:space="preserve"> P., </w:t>
            </w:r>
            <w:proofErr w:type="spellStart"/>
            <w:r w:rsidRPr="00572724">
              <w:rPr>
                <w:rFonts w:ascii="Times New Roman" w:eastAsia="Times New Roman" w:hAnsi="Times New Roman" w:cs="Times New Roman"/>
                <w:color w:val="000000"/>
                <w:lang w:eastAsia="en-GB"/>
              </w:rPr>
              <w:t>Sisito</w:t>
            </w:r>
            <w:proofErr w:type="spellEnd"/>
            <w:r w:rsidRPr="00572724">
              <w:rPr>
                <w:rFonts w:ascii="Times New Roman" w:eastAsia="Times New Roman" w:hAnsi="Times New Roman" w:cs="Times New Roman"/>
                <w:color w:val="000000"/>
                <w:lang w:eastAsia="en-GB"/>
              </w:rPr>
              <w:t xml:space="preserve"> G., </w:t>
            </w:r>
            <w:proofErr w:type="spellStart"/>
            <w:r w:rsidRPr="00572724">
              <w:rPr>
                <w:rFonts w:ascii="Times New Roman" w:eastAsia="Times New Roman" w:hAnsi="Times New Roman" w:cs="Times New Roman"/>
                <w:color w:val="000000"/>
                <w:lang w:eastAsia="en-GB"/>
              </w:rPr>
              <w:t>Moyo</w:t>
            </w:r>
            <w:proofErr w:type="spellEnd"/>
            <w:r w:rsidRPr="00572724">
              <w:rPr>
                <w:rFonts w:ascii="Times New Roman" w:eastAsia="Times New Roman" w:hAnsi="Times New Roman" w:cs="Times New Roman"/>
                <w:color w:val="000000"/>
                <w:lang w:eastAsia="en-GB"/>
              </w:rPr>
              <w:t xml:space="preserve"> E.N., Crespo O., Ruane A.C., Rosenzweig C.,</w:t>
            </w:r>
          </w:p>
        </w:tc>
        <w:tc>
          <w:tcPr>
            <w:tcW w:w="4940" w:type="dxa"/>
            <w:tcBorders>
              <w:top w:val="nil"/>
              <w:left w:val="nil"/>
              <w:bottom w:val="single" w:sz="4" w:space="0" w:color="auto"/>
              <w:right w:val="single" w:sz="4" w:space="0" w:color="auto"/>
            </w:tcBorders>
            <w:shd w:val="clear" w:color="auto" w:fill="auto"/>
            <w:vAlign w:val="bottom"/>
            <w:hideMark/>
          </w:tcPr>
          <w:p w14:paraId="56FDD85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 impacts and adaptation for dryland farming systems in Zimbabwe: a stakeholder-driven integrated multi-model assessment</w:t>
            </w:r>
          </w:p>
        </w:tc>
        <w:tc>
          <w:tcPr>
            <w:tcW w:w="1240" w:type="dxa"/>
            <w:tcBorders>
              <w:top w:val="nil"/>
              <w:left w:val="nil"/>
              <w:bottom w:val="single" w:sz="4" w:space="0" w:color="auto"/>
              <w:right w:val="single" w:sz="4" w:space="0" w:color="auto"/>
            </w:tcBorders>
            <w:shd w:val="clear" w:color="auto" w:fill="auto"/>
            <w:vAlign w:val="bottom"/>
            <w:hideMark/>
          </w:tcPr>
          <w:p w14:paraId="6361F412"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0CD3B5F8"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81F16A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Tun Oo A., Van </w:t>
            </w:r>
            <w:proofErr w:type="spellStart"/>
            <w:r w:rsidRPr="00572724">
              <w:rPr>
                <w:rFonts w:ascii="Times New Roman" w:eastAsia="Times New Roman" w:hAnsi="Times New Roman" w:cs="Times New Roman"/>
                <w:color w:val="000000"/>
                <w:lang w:eastAsia="en-GB"/>
              </w:rPr>
              <w:t>Huylenbroeck</w:t>
            </w:r>
            <w:proofErr w:type="spellEnd"/>
            <w:r w:rsidRPr="00572724">
              <w:rPr>
                <w:rFonts w:ascii="Times New Roman" w:eastAsia="Times New Roman" w:hAnsi="Times New Roman" w:cs="Times New Roman"/>
                <w:color w:val="000000"/>
                <w:lang w:eastAsia="en-GB"/>
              </w:rPr>
              <w:t xml:space="preserve"> G., </w:t>
            </w:r>
            <w:proofErr w:type="spellStart"/>
            <w:r w:rsidRPr="00572724">
              <w:rPr>
                <w:rFonts w:ascii="Times New Roman" w:eastAsia="Times New Roman" w:hAnsi="Times New Roman" w:cs="Times New Roman"/>
                <w:color w:val="000000"/>
                <w:lang w:eastAsia="en-GB"/>
              </w:rPr>
              <w:t>Speelman</w:t>
            </w:r>
            <w:proofErr w:type="spellEnd"/>
            <w:r w:rsidRPr="00572724">
              <w:rPr>
                <w:rFonts w:ascii="Times New Roman" w:eastAsia="Times New Roman" w:hAnsi="Times New Roman" w:cs="Times New Roman"/>
                <w:color w:val="000000"/>
                <w:lang w:eastAsia="en-GB"/>
              </w:rPr>
              <w:t xml:space="preserve"> S.,</w:t>
            </w:r>
          </w:p>
        </w:tc>
        <w:tc>
          <w:tcPr>
            <w:tcW w:w="4940" w:type="dxa"/>
            <w:tcBorders>
              <w:top w:val="nil"/>
              <w:left w:val="nil"/>
              <w:bottom w:val="single" w:sz="4" w:space="0" w:color="auto"/>
              <w:right w:val="single" w:sz="4" w:space="0" w:color="auto"/>
            </w:tcBorders>
            <w:shd w:val="clear" w:color="auto" w:fill="auto"/>
            <w:vAlign w:val="bottom"/>
            <w:hideMark/>
          </w:tcPr>
          <w:p w14:paraId="4BB541D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Determining factors for the application of climate change adaptation strategies among farmers in </w:t>
            </w:r>
            <w:proofErr w:type="spellStart"/>
            <w:r w:rsidRPr="00572724">
              <w:rPr>
                <w:rFonts w:ascii="Times New Roman" w:eastAsia="Times New Roman" w:hAnsi="Times New Roman" w:cs="Times New Roman"/>
                <w:color w:val="000000"/>
                <w:lang w:eastAsia="en-GB"/>
              </w:rPr>
              <w:t>Magwe</w:t>
            </w:r>
            <w:proofErr w:type="spellEnd"/>
            <w:r w:rsidRPr="00572724">
              <w:rPr>
                <w:rFonts w:ascii="Times New Roman" w:eastAsia="Times New Roman" w:hAnsi="Times New Roman" w:cs="Times New Roman"/>
                <w:color w:val="000000"/>
                <w:lang w:eastAsia="en-GB"/>
              </w:rPr>
              <w:t xml:space="preserve"> District, dry zone region of Myanmar</w:t>
            </w:r>
          </w:p>
        </w:tc>
        <w:tc>
          <w:tcPr>
            <w:tcW w:w="1240" w:type="dxa"/>
            <w:tcBorders>
              <w:top w:val="nil"/>
              <w:left w:val="nil"/>
              <w:bottom w:val="single" w:sz="4" w:space="0" w:color="auto"/>
              <w:right w:val="single" w:sz="4" w:space="0" w:color="auto"/>
            </w:tcBorders>
            <w:shd w:val="clear" w:color="auto" w:fill="auto"/>
            <w:vAlign w:val="bottom"/>
            <w:hideMark/>
          </w:tcPr>
          <w:p w14:paraId="03AC876B"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2017</w:t>
            </w:r>
          </w:p>
        </w:tc>
      </w:tr>
      <w:tr w:rsidR="00572724" w:rsidRPr="00572724" w14:paraId="3C4BAFC0"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0F89102"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lastRenderedPageBreak/>
              <w:t>Valliant J.C.D., Bruce A.B., Houser M., Dickinson S.L., Farmer J.R.,</w:t>
            </w:r>
          </w:p>
        </w:tc>
        <w:tc>
          <w:tcPr>
            <w:tcW w:w="4940" w:type="dxa"/>
            <w:tcBorders>
              <w:top w:val="nil"/>
              <w:left w:val="nil"/>
              <w:bottom w:val="single" w:sz="4" w:space="0" w:color="auto"/>
              <w:right w:val="single" w:sz="4" w:space="0" w:color="auto"/>
            </w:tcBorders>
            <w:shd w:val="clear" w:color="auto" w:fill="auto"/>
            <w:vAlign w:val="bottom"/>
            <w:hideMark/>
          </w:tcPr>
          <w:p w14:paraId="4ADFD01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Product Diversification, Adaptive Management, and Climate Change: Farming and Family in the U.S. Corn Belt</w:t>
            </w:r>
          </w:p>
        </w:tc>
        <w:tc>
          <w:tcPr>
            <w:tcW w:w="1240" w:type="dxa"/>
            <w:tcBorders>
              <w:top w:val="nil"/>
              <w:left w:val="nil"/>
              <w:bottom w:val="single" w:sz="4" w:space="0" w:color="auto"/>
              <w:right w:val="single" w:sz="4" w:space="0" w:color="auto"/>
            </w:tcBorders>
            <w:shd w:val="clear" w:color="auto" w:fill="auto"/>
            <w:vAlign w:val="bottom"/>
            <w:hideMark/>
          </w:tcPr>
          <w:p w14:paraId="073FF94D"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r w:rsidR="00572724" w:rsidRPr="00572724" w14:paraId="302EFA4D" w14:textId="77777777" w:rsidTr="00572724">
        <w:trPr>
          <w:trHeight w:val="1152"/>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EA23C1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Varadan</w:t>
            </w:r>
            <w:proofErr w:type="spellEnd"/>
            <w:r w:rsidRPr="00572724">
              <w:rPr>
                <w:rFonts w:ascii="Times New Roman" w:eastAsia="Times New Roman" w:hAnsi="Times New Roman" w:cs="Times New Roman"/>
                <w:color w:val="000000"/>
                <w:lang w:eastAsia="en-GB"/>
              </w:rPr>
              <w:t xml:space="preserve">, RJ; </w:t>
            </w:r>
            <w:proofErr w:type="spellStart"/>
            <w:r w:rsidRPr="00572724">
              <w:rPr>
                <w:rFonts w:ascii="Times New Roman" w:eastAsia="Times New Roman" w:hAnsi="Times New Roman" w:cs="Times New Roman"/>
                <w:color w:val="000000"/>
                <w:lang w:eastAsia="en-GB"/>
              </w:rPr>
              <w:t>Mamidanna</w:t>
            </w:r>
            <w:proofErr w:type="spellEnd"/>
            <w:r w:rsidRPr="00572724">
              <w:rPr>
                <w:rFonts w:ascii="Times New Roman" w:eastAsia="Times New Roman" w:hAnsi="Times New Roman" w:cs="Times New Roman"/>
                <w:color w:val="000000"/>
                <w:lang w:eastAsia="en-GB"/>
              </w:rPr>
              <w:t xml:space="preserve">, S; Kumar, S; Ahmed, SKZ; </w:t>
            </w:r>
            <w:proofErr w:type="spellStart"/>
            <w:r w:rsidRPr="00572724">
              <w:rPr>
                <w:rFonts w:ascii="Times New Roman" w:eastAsia="Times New Roman" w:hAnsi="Times New Roman" w:cs="Times New Roman"/>
                <w:color w:val="000000"/>
                <w:lang w:eastAsia="en-GB"/>
              </w:rPr>
              <w:t>Jaisankar</w:t>
            </w:r>
            <w:proofErr w:type="spellEnd"/>
            <w:r w:rsidRPr="00572724">
              <w:rPr>
                <w:rFonts w:ascii="Times New Roman" w:eastAsia="Times New Roman" w:hAnsi="Times New Roman" w:cs="Times New Roman"/>
                <w:color w:val="000000"/>
                <w:lang w:eastAsia="en-GB"/>
              </w:rPr>
              <w:t>,</w:t>
            </w:r>
          </w:p>
        </w:tc>
        <w:tc>
          <w:tcPr>
            <w:tcW w:w="4940" w:type="dxa"/>
            <w:tcBorders>
              <w:top w:val="nil"/>
              <w:left w:val="nil"/>
              <w:bottom w:val="single" w:sz="4" w:space="0" w:color="auto"/>
              <w:right w:val="single" w:sz="4" w:space="0" w:color="auto"/>
            </w:tcBorders>
            <w:shd w:val="clear" w:color="auto" w:fill="auto"/>
            <w:vAlign w:val="bottom"/>
            <w:hideMark/>
          </w:tcPr>
          <w:p w14:paraId="70E8AC1A"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Technology, infrastructure and enterprise trade-off: Strengthening smallholder farming systems in Tamil Nadu State of India for sustainable income and food security</w:t>
            </w:r>
          </w:p>
        </w:tc>
        <w:tc>
          <w:tcPr>
            <w:tcW w:w="1240" w:type="dxa"/>
            <w:tcBorders>
              <w:top w:val="nil"/>
              <w:left w:val="nil"/>
              <w:bottom w:val="single" w:sz="4" w:space="0" w:color="auto"/>
              <w:right w:val="single" w:sz="4" w:space="0" w:color="auto"/>
            </w:tcBorders>
            <w:shd w:val="clear" w:color="auto" w:fill="auto"/>
            <w:vAlign w:val="bottom"/>
            <w:hideMark/>
          </w:tcPr>
          <w:p w14:paraId="291F488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2022</w:t>
            </w:r>
          </w:p>
        </w:tc>
      </w:tr>
      <w:tr w:rsidR="00572724" w:rsidRPr="00572724" w14:paraId="4221B607"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154534D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Vigani</w:t>
            </w:r>
            <w:proofErr w:type="spellEnd"/>
            <w:r w:rsidRPr="00572724">
              <w:rPr>
                <w:rFonts w:ascii="Times New Roman" w:eastAsia="Times New Roman" w:hAnsi="Times New Roman" w:cs="Times New Roman"/>
                <w:color w:val="000000"/>
                <w:lang w:eastAsia="en-GB"/>
              </w:rPr>
              <w:t>, M; Kathage, J</w:t>
            </w:r>
          </w:p>
        </w:tc>
        <w:tc>
          <w:tcPr>
            <w:tcW w:w="4940" w:type="dxa"/>
            <w:tcBorders>
              <w:top w:val="nil"/>
              <w:left w:val="nil"/>
              <w:bottom w:val="single" w:sz="4" w:space="0" w:color="auto"/>
              <w:right w:val="single" w:sz="4" w:space="0" w:color="auto"/>
            </w:tcBorders>
            <w:shd w:val="clear" w:color="auto" w:fill="auto"/>
            <w:vAlign w:val="bottom"/>
            <w:hideMark/>
          </w:tcPr>
          <w:p w14:paraId="1B08DFE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TO RISK OR NOT TO RISK? RISK MANAGEMENT AND FARM PRODUCTIVITY</w:t>
            </w:r>
          </w:p>
        </w:tc>
        <w:tc>
          <w:tcPr>
            <w:tcW w:w="1240" w:type="dxa"/>
            <w:tcBorders>
              <w:top w:val="nil"/>
              <w:left w:val="nil"/>
              <w:bottom w:val="single" w:sz="4" w:space="0" w:color="auto"/>
              <w:right w:val="single" w:sz="4" w:space="0" w:color="auto"/>
            </w:tcBorders>
            <w:shd w:val="clear" w:color="auto" w:fill="auto"/>
            <w:vAlign w:val="bottom"/>
            <w:hideMark/>
          </w:tcPr>
          <w:p w14:paraId="3E82FC9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2019</w:t>
            </w:r>
          </w:p>
        </w:tc>
      </w:tr>
      <w:tr w:rsidR="00572724" w:rsidRPr="00572724" w14:paraId="5C6CFF77" w14:textId="77777777" w:rsidTr="00572724">
        <w:trPr>
          <w:trHeight w:val="1152"/>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250FDB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Wetende</w:t>
            </w:r>
            <w:proofErr w:type="spellEnd"/>
            <w:r w:rsidRPr="00572724">
              <w:rPr>
                <w:rFonts w:ascii="Times New Roman" w:eastAsia="Times New Roman" w:hAnsi="Times New Roman" w:cs="Times New Roman"/>
                <w:color w:val="000000"/>
                <w:lang w:eastAsia="en-GB"/>
              </w:rPr>
              <w:t xml:space="preserve"> E., </w:t>
            </w:r>
            <w:proofErr w:type="spellStart"/>
            <w:r w:rsidRPr="00572724">
              <w:rPr>
                <w:rFonts w:ascii="Times New Roman" w:eastAsia="Times New Roman" w:hAnsi="Times New Roman" w:cs="Times New Roman"/>
                <w:color w:val="000000"/>
                <w:lang w:eastAsia="en-GB"/>
              </w:rPr>
              <w:t>Olago</w:t>
            </w:r>
            <w:proofErr w:type="spellEnd"/>
            <w:r w:rsidRPr="00572724">
              <w:rPr>
                <w:rFonts w:ascii="Times New Roman" w:eastAsia="Times New Roman" w:hAnsi="Times New Roman" w:cs="Times New Roman"/>
                <w:color w:val="000000"/>
                <w:lang w:eastAsia="en-GB"/>
              </w:rPr>
              <w:t xml:space="preserve"> D., </w:t>
            </w:r>
            <w:proofErr w:type="spellStart"/>
            <w:r w:rsidRPr="00572724">
              <w:rPr>
                <w:rFonts w:ascii="Times New Roman" w:eastAsia="Times New Roman" w:hAnsi="Times New Roman" w:cs="Times New Roman"/>
                <w:color w:val="000000"/>
                <w:lang w:eastAsia="en-GB"/>
              </w:rPr>
              <w:t>Ogara</w:t>
            </w:r>
            <w:proofErr w:type="spellEnd"/>
            <w:r w:rsidRPr="00572724">
              <w:rPr>
                <w:rFonts w:ascii="Times New Roman" w:eastAsia="Times New Roman" w:hAnsi="Times New Roman" w:cs="Times New Roman"/>
                <w:color w:val="000000"/>
                <w:lang w:eastAsia="en-GB"/>
              </w:rPr>
              <w:t xml:space="preserve"> W.,</w:t>
            </w:r>
          </w:p>
        </w:tc>
        <w:tc>
          <w:tcPr>
            <w:tcW w:w="4940" w:type="dxa"/>
            <w:tcBorders>
              <w:top w:val="nil"/>
              <w:left w:val="nil"/>
              <w:bottom w:val="single" w:sz="4" w:space="0" w:color="auto"/>
              <w:right w:val="single" w:sz="4" w:space="0" w:color="auto"/>
            </w:tcBorders>
            <w:shd w:val="clear" w:color="auto" w:fill="auto"/>
            <w:vAlign w:val="bottom"/>
            <w:hideMark/>
          </w:tcPr>
          <w:p w14:paraId="182220C9"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Perceptions of climate change variability and adaptation strategies on smallholder dairy farming systems: Insights from Siaya Sub-County of Western Kenya</w:t>
            </w:r>
          </w:p>
        </w:tc>
        <w:tc>
          <w:tcPr>
            <w:tcW w:w="1240" w:type="dxa"/>
            <w:tcBorders>
              <w:top w:val="nil"/>
              <w:left w:val="nil"/>
              <w:bottom w:val="single" w:sz="4" w:space="0" w:color="auto"/>
              <w:right w:val="single" w:sz="4" w:space="0" w:color="auto"/>
            </w:tcBorders>
            <w:shd w:val="clear" w:color="auto" w:fill="auto"/>
            <w:vAlign w:val="bottom"/>
            <w:hideMark/>
          </w:tcPr>
          <w:p w14:paraId="7050878C"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78C8F97D"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C9170F0"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Williams N.E., Carrico A.R., </w:t>
            </w:r>
            <w:proofErr w:type="spellStart"/>
            <w:r w:rsidRPr="00572724">
              <w:rPr>
                <w:rFonts w:ascii="Times New Roman" w:eastAsia="Times New Roman" w:hAnsi="Times New Roman" w:cs="Times New Roman"/>
                <w:color w:val="000000"/>
                <w:lang w:eastAsia="en-GB"/>
              </w:rPr>
              <w:t>Edirisinghe</w:t>
            </w:r>
            <w:proofErr w:type="spellEnd"/>
            <w:r w:rsidRPr="00572724">
              <w:rPr>
                <w:rFonts w:ascii="Times New Roman" w:eastAsia="Times New Roman" w:hAnsi="Times New Roman" w:cs="Times New Roman"/>
                <w:color w:val="000000"/>
                <w:lang w:eastAsia="en-GB"/>
              </w:rPr>
              <w:t xml:space="preserve"> I., </w:t>
            </w:r>
            <w:proofErr w:type="spellStart"/>
            <w:r w:rsidRPr="00572724">
              <w:rPr>
                <w:rFonts w:ascii="Times New Roman" w:eastAsia="Times New Roman" w:hAnsi="Times New Roman" w:cs="Times New Roman"/>
                <w:color w:val="000000"/>
                <w:lang w:eastAsia="en-GB"/>
              </w:rPr>
              <w:t>Jayamini</w:t>
            </w:r>
            <w:proofErr w:type="spellEnd"/>
            <w:r w:rsidRPr="00572724">
              <w:rPr>
                <w:rFonts w:ascii="Times New Roman" w:eastAsia="Times New Roman" w:hAnsi="Times New Roman" w:cs="Times New Roman"/>
                <w:color w:val="000000"/>
                <w:lang w:eastAsia="en-GB"/>
              </w:rPr>
              <w:t xml:space="preserve"> Champika P.A.,</w:t>
            </w:r>
          </w:p>
        </w:tc>
        <w:tc>
          <w:tcPr>
            <w:tcW w:w="4940" w:type="dxa"/>
            <w:tcBorders>
              <w:top w:val="nil"/>
              <w:left w:val="nil"/>
              <w:bottom w:val="single" w:sz="4" w:space="0" w:color="auto"/>
              <w:right w:val="single" w:sz="4" w:space="0" w:color="auto"/>
            </w:tcBorders>
            <w:shd w:val="clear" w:color="auto" w:fill="auto"/>
            <w:vAlign w:val="bottom"/>
            <w:hideMark/>
          </w:tcPr>
          <w:p w14:paraId="52A698EE"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Assessing the Impacts of Agrobiodiversity Maintenance on Food Security Among Farming Households in Sri Lanka’s Dry Zone</w:t>
            </w:r>
          </w:p>
        </w:tc>
        <w:tc>
          <w:tcPr>
            <w:tcW w:w="1240" w:type="dxa"/>
            <w:tcBorders>
              <w:top w:val="nil"/>
              <w:left w:val="nil"/>
              <w:bottom w:val="single" w:sz="4" w:space="0" w:color="auto"/>
              <w:right w:val="single" w:sz="4" w:space="0" w:color="auto"/>
            </w:tcBorders>
            <w:shd w:val="clear" w:color="auto" w:fill="auto"/>
            <w:vAlign w:val="bottom"/>
            <w:hideMark/>
          </w:tcPr>
          <w:p w14:paraId="5C45B1F5"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2018</w:t>
            </w:r>
          </w:p>
        </w:tc>
      </w:tr>
      <w:tr w:rsidR="00572724" w:rsidRPr="00572724" w14:paraId="70B02D17"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5118296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Williams P.A., Crespo O., Abu M.,</w:t>
            </w:r>
          </w:p>
        </w:tc>
        <w:tc>
          <w:tcPr>
            <w:tcW w:w="4940" w:type="dxa"/>
            <w:tcBorders>
              <w:top w:val="nil"/>
              <w:left w:val="nil"/>
              <w:bottom w:val="single" w:sz="4" w:space="0" w:color="auto"/>
              <w:right w:val="single" w:sz="4" w:space="0" w:color="auto"/>
            </w:tcBorders>
            <w:shd w:val="clear" w:color="auto" w:fill="auto"/>
            <w:vAlign w:val="bottom"/>
            <w:hideMark/>
          </w:tcPr>
          <w:p w14:paraId="26F9D53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Assessing vulnerability of horticultural smallholders’ to climate variability in Ghana: applying the livelihood vulnerability approach</w:t>
            </w:r>
          </w:p>
        </w:tc>
        <w:tc>
          <w:tcPr>
            <w:tcW w:w="1240" w:type="dxa"/>
            <w:tcBorders>
              <w:top w:val="nil"/>
              <w:left w:val="nil"/>
              <w:bottom w:val="single" w:sz="4" w:space="0" w:color="auto"/>
              <w:right w:val="single" w:sz="4" w:space="0" w:color="auto"/>
            </w:tcBorders>
            <w:shd w:val="clear" w:color="auto" w:fill="auto"/>
            <w:vAlign w:val="bottom"/>
            <w:hideMark/>
          </w:tcPr>
          <w:p w14:paraId="5974CB82"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40A084F9"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31BEB6A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Williams T.G., </w:t>
            </w:r>
            <w:proofErr w:type="spellStart"/>
            <w:r w:rsidRPr="00572724">
              <w:rPr>
                <w:rFonts w:ascii="Times New Roman" w:eastAsia="Times New Roman" w:hAnsi="Times New Roman" w:cs="Times New Roman"/>
                <w:color w:val="000000"/>
                <w:lang w:eastAsia="en-GB"/>
              </w:rPr>
              <w:t>Guikema</w:t>
            </w:r>
            <w:proofErr w:type="spellEnd"/>
            <w:r w:rsidRPr="00572724">
              <w:rPr>
                <w:rFonts w:ascii="Times New Roman" w:eastAsia="Times New Roman" w:hAnsi="Times New Roman" w:cs="Times New Roman"/>
                <w:color w:val="000000"/>
                <w:lang w:eastAsia="en-GB"/>
              </w:rPr>
              <w:t xml:space="preserve"> S.D., Brown D.G., Agrawal A.,</w:t>
            </w:r>
          </w:p>
        </w:tc>
        <w:tc>
          <w:tcPr>
            <w:tcW w:w="4940" w:type="dxa"/>
            <w:tcBorders>
              <w:top w:val="nil"/>
              <w:left w:val="nil"/>
              <w:bottom w:val="single" w:sz="4" w:space="0" w:color="auto"/>
              <w:right w:val="single" w:sz="4" w:space="0" w:color="auto"/>
            </w:tcBorders>
            <w:shd w:val="clear" w:color="auto" w:fill="auto"/>
            <w:vAlign w:val="bottom"/>
            <w:hideMark/>
          </w:tcPr>
          <w:p w14:paraId="7C7202B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Resilience and equity: Quantifying the distributional effects of resilience-enhancing strategies in a smallholder agricultural system</w:t>
            </w:r>
          </w:p>
        </w:tc>
        <w:tc>
          <w:tcPr>
            <w:tcW w:w="1240" w:type="dxa"/>
            <w:tcBorders>
              <w:top w:val="nil"/>
              <w:left w:val="nil"/>
              <w:bottom w:val="single" w:sz="4" w:space="0" w:color="auto"/>
              <w:right w:val="single" w:sz="4" w:space="0" w:color="auto"/>
            </w:tcBorders>
            <w:shd w:val="clear" w:color="auto" w:fill="auto"/>
            <w:vAlign w:val="bottom"/>
            <w:hideMark/>
          </w:tcPr>
          <w:p w14:paraId="3CDE8BA8"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2020</w:t>
            </w:r>
          </w:p>
        </w:tc>
      </w:tr>
      <w:tr w:rsidR="00572724" w:rsidRPr="00572724" w14:paraId="3D143A54"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691A0F3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Yeleliere</w:t>
            </w:r>
            <w:proofErr w:type="spellEnd"/>
            <w:r w:rsidRPr="00572724">
              <w:rPr>
                <w:rFonts w:ascii="Times New Roman" w:eastAsia="Times New Roman" w:hAnsi="Times New Roman" w:cs="Times New Roman"/>
                <w:color w:val="000000"/>
                <w:lang w:eastAsia="en-GB"/>
              </w:rPr>
              <w:t xml:space="preserve"> E.; </w:t>
            </w:r>
            <w:proofErr w:type="spellStart"/>
            <w:r w:rsidRPr="00572724">
              <w:rPr>
                <w:rFonts w:ascii="Times New Roman" w:eastAsia="Times New Roman" w:hAnsi="Times New Roman" w:cs="Times New Roman"/>
                <w:color w:val="000000"/>
                <w:lang w:eastAsia="en-GB"/>
              </w:rPr>
              <w:t>Antwi</w:t>
            </w:r>
            <w:proofErr w:type="spellEnd"/>
            <w:r w:rsidRPr="00572724">
              <w:rPr>
                <w:rFonts w:ascii="Times New Roman" w:eastAsia="Times New Roman" w:hAnsi="Times New Roman" w:cs="Times New Roman"/>
                <w:color w:val="000000"/>
                <w:lang w:eastAsia="en-GB"/>
              </w:rPr>
              <w:t xml:space="preserve">-Agyei P.; </w:t>
            </w:r>
            <w:proofErr w:type="spellStart"/>
            <w:r w:rsidRPr="00572724">
              <w:rPr>
                <w:rFonts w:ascii="Times New Roman" w:eastAsia="Times New Roman" w:hAnsi="Times New Roman" w:cs="Times New Roman"/>
                <w:color w:val="000000"/>
                <w:lang w:eastAsia="en-GB"/>
              </w:rPr>
              <w:t>Guodaar</w:t>
            </w:r>
            <w:proofErr w:type="spellEnd"/>
            <w:r w:rsidRPr="00572724">
              <w:rPr>
                <w:rFonts w:ascii="Times New Roman" w:eastAsia="Times New Roman" w:hAnsi="Times New Roman" w:cs="Times New Roman"/>
                <w:color w:val="000000"/>
                <w:lang w:eastAsia="en-GB"/>
              </w:rPr>
              <w:t xml:space="preserve"> L.</w:t>
            </w:r>
          </w:p>
        </w:tc>
        <w:tc>
          <w:tcPr>
            <w:tcW w:w="4940" w:type="dxa"/>
            <w:tcBorders>
              <w:top w:val="nil"/>
              <w:left w:val="nil"/>
              <w:bottom w:val="single" w:sz="4" w:space="0" w:color="auto"/>
              <w:right w:val="single" w:sz="4" w:space="0" w:color="auto"/>
            </w:tcBorders>
            <w:shd w:val="clear" w:color="auto" w:fill="auto"/>
            <w:vAlign w:val="bottom"/>
            <w:hideMark/>
          </w:tcPr>
          <w:p w14:paraId="27C75547"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Farmers response to climate variability and change in rainfed farming systems: Insight from lived experiences of farmers</w:t>
            </w:r>
          </w:p>
        </w:tc>
        <w:tc>
          <w:tcPr>
            <w:tcW w:w="1240" w:type="dxa"/>
            <w:tcBorders>
              <w:top w:val="nil"/>
              <w:left w:val="nil"/>
              <w:bottom w:val="single" w:sz="4" w:space="0" w:color="auto"/>
              <w:right w:val="single" w:sz="4" w:space="0" w:color="auto"/>
            </w:tcBorders>
            <w:shd w:val="clear" w:color="auto" w:fill="auto"/>
            <w:noWrap/>
            <w:vAlign w:val="bottom"/>
            <w:hideMark/>
          </w:tcPr>
          <w:p w14:paraId="251F4E86"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2023</w:t>
            </w:r>
          </w:p>
        </w:tc>
      </w:tr>
      <w:tr w:rsidR="00572724" w:rsidRPr="00572724" w14:paraId="6B1F5818"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4C0E8593"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t>Yessoufou</w:t>
            </w:r>
            <w:proofErr w:type="spellEnd"/>
            <w:r w:rsidRPr="00572724">
              <w:rPr>
                <w:rFonts w:ascii="Times New Roman" w:eastAsia="Times New Roman" w:hAnsi="Times New Roman" w:cs="Times New Roman"/>
                <w:color w:val="000000"/>
                <w:lang w:eastAsia="en-GB"/>
              </w:rPr>
              <w:t xml:space="preserve"> A.N.-D.; Kumar S.; </w:t>
            </w:r>
            <w:proofErr w:type="spellStart"/>
            <w:r w:rsidRPr="00572724">
              <w:rPr>
                <w:rFonts w:ascii="Times New Roman" w:eastAsia="Times New Roman" w:hAnsi="Times New Roman" w:cs="Times New Roman"/>
                <w:color w:val="000000"/>
                <w:lang w:eastAsia="en-GB"/>
              </w:rPr>
              <w:t>Houessionon</w:t>
            </w:r>
            <w:proofErr w:type="spellEnd"/>
            <w:r w:rsidRPr="00572724">
              <w:rPr>
                <w:rFonts w:ascii="Times New Roman" w:eastAsia="Times New Roman" w:hAnsi="Times New Roman" w:cs="Times New Roman"/>
                <w:color w:val="000000"/>
                <w:lang w:eastAsia="en-GB"/>
              </w:rPr>
              <w:t xml:space="preserve"> P.; </w:t>
            </w:r>
            <w:proofErr w:type="spellStart"/>
            <w:r w:rsidRPr="00572724">
              <w:rPr>
                <w:rFonts w:ascii="Times New Roman" w:eastAsia="Times New Roman" w:hAnsi="Times New Roman" w:cs="Times New Roman"/>
                <w:color w:val="000000"/>
                <w:lang w:eastAsia="en-GB"/>
              </w:rPr>
              <w:t>Worou</w:t>
            </w:r>
            <w:proofErr w:type="spellEnd"/>
            <w:r w:rsidRPr="00572724">
              <w:rPr>
                <w:rFonts w:ascii="Times New Roman" w:eastAsia="Times New Roman" w:hAnsi="Times New Roman" w:cs="Times New Roman"/>
                <w:color w:val="000000"/>
                <w:lang w:eastAsia="en-GB"/>
              </w:rPr>
              <w:t xml:space="preserve"> O.N.; Wane A.; Whitbread A.</w:t>
            </w:r>
          </w:p>
        </w:tc>
        <w:tc>
          <w:tcPr>
            <w:tcW w:w="4940" w:type="dxa"/>
            <w:tcBorders>
              <w:top w:val="nil"/>
              <w:left w:val="nil"/>
              <w:bottom w:val="single" w:sz="4" w:space="0" w:color="auto"/>
              <w:right w:val="single" w:sz="4" w:space="0" w:color="auto"/>
            </w:tcBorders>
            <w:shd w:val="clear" w:color="auto" w:fill="auto"/>
            <w:vAlign w:val="bottom"/>
            <w:hideMark/>
          </w:tcPr>
          <w:p w14:paraId="6427492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Vulnerability and resilience in the face of climate changes in Senegal's drylands: measurement at the household level and determinant assessment</w:t>
            </w:r>
          </w:p>
        </w:tc>
        <w:tc>
          <w:tcPr>
            <w:tcW w:w="1240" w:type="dxa"/>
            <w:tcBorders>
              <w:top w:val="nil"/>
              <w:left w:val="nil"/>
              <w:bottom w:val="single" w:sz="4" w:space="0" w:color="auto"/>
              <w:right w:val="single" w:sz="4" w:space="0" w:color="auto"/>
            </w:tcBorders>
            <w:shd w:val="clear" w:color="auto" w:fill="auto"/>
            <w:noWrap/>
            <w:vAlign w:val="bottom"/>
            <w:hideMark/>
          </w:tcPr>
          <w:p w14:paraId="522EDE9F"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4A09D358" w14:textId="77777777" w:rsidTr="00572724">
        <w:trPr>
          <w:trHeight w:val="576"/>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2C8384DC"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 xml:space="preserve">Young M.; Young J.; </w:t>
            </w:r>
            <w:proofErr w:type="spellStart"/>
            <w:r w:rsidRPr="00572724">
              <w:rPr>
                <w:rFonts w:ascii="Times New Roman" w:eastAsia="Times New Roman" w:hAnsi="Times New Roman" w:cs="Times New Roman"/>
                <w:color w:val="000000"/>
                <w:lang w:eastAsia="en-GB"/>
              </w:rPr>
              <w:t>Kingwell</w:t>
            </w:r>
            <w:proofErr w:type="spellEnd"/>
            <w:r w:rsidRPr="00572724">
              <w:rPr>
                <w:rFonts w:ascii="Times New Roman" w:eastAsia="Times New Roman" w:hAnsi="Times New Roman" w:cs="Times New Roman"/>
                <w:color w:val="000000"/>
                <w:lang w:eastAsia="en-GB"/>
              </w:rPr>
              <w:t xml:space="preserve"> R.S.; </w:t>
            </w:r>
            <w:proofErr w:type="spellStart"/>
            <w:r w:rsidRPr="00572724">
              <w:rPr>
                <w:rFonts w:ascii="Times New Roman" w:eastAsia="Times New Roman" w:hAnsi="Times New Roman" w:cs="Times New Roman"/>
                <w:color w:val="000000"/>
                <w:lang w:eastAsia="en-GB"/>
              </w:rPr>
              <w:t>Vercoe</w:t>
            </w:r>
            <w:proofErr w:type="spellEnd"/>
            <w:r w:rsidRPr="00572724">
              <w:rPr>
                <w:rFonts w:ascii="Times New Roman" w:eastAsia="Times New Roman" w:hAnsi="Times New Roman" w:cs="Times New Roman"/>
                <w:color w:val="000000"/>
                <w:lang w:eastAsia="en-GB"/>
              </w:rPr>
              <w:t xml:space="preserve"> P.E.</w:t>
            </w:r>
          </w:p>
        </w:tc>
        <w:tc>
          <w:tcPr>
            <w:tcW w:w="4940" w:type="dxa"/>
            <w:tcBorders>
              <w:top w:val="nil"/>
              <w:left w:val="nil"/>
              <w:bottom w:val="single" w:sz="4" w:space="0" w:color="auto"/>
              <w:right w:val="single" w:sz="4" w:space="0" w:color="auto"/>
            </w:tcBorders>
            <w:shd w:val="clear" w:color="auto" w:fill="auto"/>
            <w:vAlign w:val="bottom"/>
            <w:hideMark/>
          </w:tcPr>
          <w:p w14:paraId="4C8CB461"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Identifying high-value tactical livestock decisions on a mixed enterprise farm in a variable environment</w:t>
            </w:r>
          </w:p>
        </w:tc>
        <w:tc>
          <w:tcPr>
            <w:tcW w:w="1240" w:type="dxa"/>
            <w:tcBorders>
              <w:top w:val="nil"/>
              <w:left w:val="nil"/>
              <w:bottom w:val="single" w:sz="4" w:space="0" w:color="auto"/>
              <w:right w:val="single" w:sz="4" w:space="0" w:color="auto"/>
            </w:tcBorders>
            <w:shd w:val="clear" w:color="auto" w:fill="auto"/>
            <w:noWrap/>
            <w:vAlign w:val="bottom"/>
            <w:hideMark/>
          </w:tcPr>
          <w:p w14:paraId="4CF0B984"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2024</w:t>
            </w:r>
          </w:p>
        </w:tc>
      </w:tr>
      <w:tr w:rsidR="00572724" w:rsidRPr="00572724" w14:paraId="1DC48454" w14:textId="77777777" w:rsidTr="00572724">
        <w:trPr>
          <w:trHeight w:val="864"/>
        </w:trPr>
        <w:tc>
          <w:tcPr>
            <w:tcW w:w="4940" w:type="dxa"/>
            <w:tcBorders>
              <w:top w:val="nil"/>
              <w:left w:val="single" w:sz="4" w:space="0" w:color="auto"/>
              <w:bottom w:val="single" w:sz="4" w:space="0" w:color="auto"/>
              <w:right w:val="single" w:sz="4" w:space="0" w:color="auto"/>
            </w:tcBorders>
            <w:shd w:val="clear" w:color="auto" w:fill="auto"/>
            <w:vAlign w:val="bottom"/>
            <w:hideMark/>
          </w:tcPr>
          <w:p w14:paraId="75FDC15D"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proofErr w:type="spellStart"/>
            <w:r w:rsidRPr="00572724">
              <w:rPr>
                <w:rFonts w:ascii="Times New Roman" w:eastAsia="Times New Roman" w:hAnsi="Times New Roman" w:cs="Times New Roman"/>
                <w:color w:val="000000"/>
                <w:lang w:eastAsia="en-GB"/>
              </w:rPr>
              <w:lastRenderedPageBreak/>
              <w:t>Zinyemba</w:t>
            </w:r>
            <w:proofErr w:type="spellEnd"/>
            <w:r w:rsidRPr="00572724">
              <w:rPr>
                <w:rFonts w:ascii="Times New Roman" w:eastAsia="Times New Roman" w:hAnsi="Times New Roman" w:cs="Times New Roman"/>
                <w:color w:val="000000"/>
                <w:lang w:eastAsia="en-GB"/>
              </w:rPr>
              <w:t>, C; Archer, E; Rother, HA</w:t>
            </w:r>
          </w:p>
        </w:tc>
        <w:tc>
          <w:tcPr>
            <w:tcW w:w="4940" w:type="dxa"/>
            <w:tcBorders>
              <w:top w:val="nil"/>
              <w:left w:val="nil"/>
              <w:bottom w:val="single" w:sz="4" w:space="0" w:color="auto"/>
              <w:right w:val="single" w:sz="4" w:space="0" w:color="auto"/>
            </w:tcBorders>
            <w:shd w:val="clear" w:color="auto" w:fill="auto"/>
            <w:vAlign w:val="bottom"/>
            <w:hideMark/>
          </w:tcPr>
          <w:p w14:paraId="22F00A4B" w14:textId="77777777" w:rsidR="00572724" w:rsidRPr="00572724" w:rsidRDefault="00572724" w:rsidP="00572724">
            <w:pPr>
              <w:spacing w:after="0" w:line="276" w:lineRule="auto"/>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Climate Change, Pesticides and Health: Considering the Risks and Opportunities of Adaptation for Zimbabwean Smallholder Cotton Growers</w:t>
            </w:r>
          </w:p>
        </w:tc>
        <w:tc>
          <w:tcPr>
            <w:tcW w:w="1240" w:type="dxa"/>
            <w:tcBorders>
              <w:top w:val="nil"/>
              <w:left w:val="nil"/>
              <w:bottom w:val="single" w:sz="4" w:space="0" w:color="auto"/>
              <w:right w:val="single" w:sz="4" w:space="0" w:color="auto"/>
            </w:tcBorders>
            <w:shd w:val="clear" w:color="auto" w:fill="auto"/>
            <w:vAlign w:val="bottom"/>
            <w:hideMark/>
          </w:tcPr>
          <w:p w14:paraId="6DC79C4F" w14:textId="77777777" w:rsidR="00572724" w:rsidRPr="00572724" w:rsidRDefault="00572724" w:rsidP="00572724">
            <w:pPr>
              <w:spacing w:after="0" w:line="276" w:lineRule="auto"/>
              <w:jc w:val="right"/>
              <w:rPr>
                <w:rFonts w:ascii="Times New Roman" w:eastAsia="Times New Roman" w:hAnsi="Times New Roman" w:cs="Times New Roman"/>
                <w:color w:val="000000"/>
                <w:lang w:eastAsia="en-GB"/>
              </w:rPr>
            </w:pPr>
            <w:r w:rsidRPr="00572724">
              <w:rPr>
                <w:rFonts w:ascii="Times New Roman" w:eastAsia="Times New Roman" w:hAnsi="Times New Roman" w:cs="Times New Roman"/>
                <w:color w:val="000000"/>
                <w:lang w:eastAsia="en-GB"/>
              </w:rPr>
              <w:t>2021</w:t>
            </w:r>
          </w:p>
        </w:tc>
      </w:tr>
    </w:tbl>
    <w:p w14:paraId="02914DEB" w14:textId="77777777" w:rsidR="00853122" w:rsidRPr="00A96D37" w:rsidRDefault="00853122" w:rsidP="00A96D37">
      <w:pPr>
        <w:spacing w:line="360" w:lineRule="auto"/>
        <w:rPr>
          <w:rFonts w:ascii="Times New Roman" w:hAnsi="Times New Roman" w:cs="Times New Roman"/>
        </w:rPr>
      </w:pPr>
    </w:p>
    <w:p w14:paraId="47000A2A" w14:textId="77777777" w:rsidR="00853122" w:rsidRPr="00A96D37" w:rsidRDefault="00853122" w:rsidP="00A96D37">
      <w:pPr>
        <w:spacing w:line="360" w:lineRule="auto"/>
        <w:rPr>
          <w:rFonts w:ascii="Times New Roman" w:hAnsi="Times New Roman" w:cs="Times New Roman"/>
        </w:rPr>
      </w:pPr>
    </w:p>
    <w:p w14:paraId="73FC1C9F" w14:textId="77777777" w:rsidR="0087209B" w:rsidRPr="00A96D37" w:rsidRDefault="0087209B" w:rsidP="00A96D37">
      <w:pPr>
        <w:spacing w:line="360" w:lineRule="auto"/>
        <w:rPr>
          <w:rFonts w:ascii="Times New Roman" w:hAnsi="Times New Roman" w:cs="Times New Roman"/>
        </w:rPr>
      </w:pPr>
    </w:p>
    <w:sectPr w:rsidR="0087209B" w:rsidRPr="00A96D37" w:rsidSect="000C760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88B"/>
    <w:rsid w:val="00017A08"/>
    <w:rsid w:val="00056F8E"/>
    <w:rsid w:val="00076FBB"/>
    <w:rsid w:val="000A1BA2"/>
    <w:rsid w:val="000C0948"/>
    <w:rsid w:val="000C5692"/>
    <w:rsid w:val="000C7609"/>
    <w:rsid w:val="000D2AF8"/>
    <w:rsid w:val="000D2F41"/>
    <w:rsid w:val="0010488B"/>
    <w:rsid w:val="00171323"/>
    <w:rsid w:val="001B13CC"/>
    <w:rsid w:val="001C2F1A"/>
    <w:rsid w:val="001C6AED"/>
    <w:rsid w:val="001C7F01"/>
    <w:rsid w:val="001D2DDD"/>
    <w:rsid w:val="001D4579"/>
    <w:rsid w:val="001F0C25"/>
    <w:rsid w:val="002066C9"/>
    <w:rsid w:val="00212883"/>
    <w:rsid w:val="00243B73"/>
    <w:rsid w:val="00265171"/>
    <w:rsid w:val="002D4DCA"/>
    <w:rsid w:val="002D531A"/>
    <w:rsid w:val="002E0DB3"/>
    <w:rsid w:val="002E1F33"/>
    <w:rsid w:val="003002A3"/>
    <w:rsid w:val="00305ECD"/>
    <w:rsid w:val="00323E51"/>
    <w:rsid w:val="00332C81"/>
    <w:rsid w:val="00373059"/>
    <w:rsid w:val="0039634B"/>
    <w:rsid w:val="003A6AAE"/>
    <w:rsid w:val="004040BE"/>
    <w:rsid w:val="00406364"/>
    <w:rsid w:val="00413A0A"/>
    <w:rsid w:val="00413C12"/>
    <w:rsid w:val="00415003"/>
    <w:rsid w:val="00482CE2"/>
    <w:rsid w:val="004B166F"/>
    <w:rsid w:val="004D5119"/>
    <w:rsid w:val="004D5E7C"/>
    <w:rsid w:val="004E2E29"/>
    <w:rsid w:val="004F19C2"/>
    <w:rsid w:val="004F1AB1"/>
    <w:rsid w:val="00544D50"/>
    <w:rsid w:val="00572724"/>
    <w:rsid w:val="00577C36"/>
    <w:rsid w:val="005A2ED8"/>
    <w:rsid w:val="005A6911"/>
    <w:rsid w:val="005C0424"/>
    <w:rsid w:val="005D6819"/>
    <w:rsid w:val="005F1D71"/>
    <w:rsid w:val="005F385F"/>
    <w:rsid w:val="005F70F8"/>
    <w:rsid w:val="00663667"/>
    <w:rsid w:val="006731E7"/>
    <w:rsid w:val="00687C55"/>
    <w:rsid w:val="006C0C9E"/>
    <w:rsid w:val="006C3325"/>
    <w:rsid w:val="006D3733"/>
    <w:rsid w:val="006F326E"/>
    <w:rsid w:val="006F32B6"/>
    <w:rsid w:val="00763003"/>
    <w:rsid w:val="007A6A0A"/>
    <w:rsid w:val="00807AB0"/>
    <w:rsid w:val="008153B5"/>
    <w:rsid w:val="008176A2"/>
    <w:rsid w:val="008241C5"/>
    <w:rsid w:val="00853122"/>
    <w:rsid w:val="00870194"/>
    <w:rsid w:val="0087209B"/>
    <w:rsid w:val="008970E4"/>
    <w:rsid w:val="008A041B"/>
    <w:rsid w:val="008A4381"/>
    <w:rsid w:val="008A6153"/>
    <w:rsid w:val="008B6DCB"/>
    <w:rsid w:val="008C0766"/>
    <w:rsid w:val="00914F2D"/>
    <w:rsid w:val="00931385"/>
    <w:rsid w:val="00947CB6"/>
    <w:rsid w:val="00991988"/>
    <w:rsid w:val="00A1604D"/>
    <w:rsid w:val="00A421BA"/>
    <w:rsid w:val="00A66687"/>
    <w:rsid w:val="00A96D37"/>
    <w:rsid w:val="00A9769D"/>
    <w:rsid w:val="00AB1EE8"/>
    <w:rsid w:val="00AC2AFA"/>
    <w:rsid w:val="00AD1754"/>
    <w:rsid w:val="00AF6801"/>
    <w:rsid w:val="00B0337C"/>
    <w:rsid w:val="00B03C79"/>
    <w:rsid w:val="00B263D3"/>
    <w:rsid w:val="00B2655E"/>
    <w:rsid w:val="00B4321C"/>
    <w:rsid w:val="00B47B9D"/>
    <w:rsid w:val="00BE7594"/>
    <w:rsid w:val="00C03758"/>
    <w:rsid w:val="00C140DA"/>
    <w:rsid w:val="00C857C6"/>
    <w:rsid w:val="00C918AD"/>
    <w:rsid w:val="00CA5E1D"/>
    <w:rsid w:val="00CB5208"/>
    <w:rsid w:val="00CC71E5"/>
    <w:rsid w:val="00CE3CCA"/>
    <w:rsid w:val="00CF77E9"/>
    <w:rsid w:val="00D01DAB"/>
    <w:rsid w:val="00D03AA9"/>
    <w:rsid w:val="00D2738D"/>
    <w:rsid w:val="00DC4D74"/>
    <w:rsid w:val="00E1682F"/>
    <w:rsid w:val="00E46AD1"/>
    <w:rsid w:val="00E55354"/>
    <w:rsid w:val="00E65B10"/>
    <w:rsid w:val="00E75E02"/>
    <w:rsid w:val="00EA7817"/>
    <w:rsid w:val="00EC212B"/>
    <w:rsid w:val="00EC2A7C"/>
    <w:rsid w:val="00EF7700"/>
    <w:rsid w:val="00F14CCF"/>
    <w:rsid w:val="00F33735"/>
    <w:rsid w:val="00F62A38"/>
    <w:rsid w:val="00F649BC"/>
    <w:rsid w:val="00FA7B4C"/>
    <w:rsid w:val="00FC1371"/>
    <w:rsid w:val="00FF4B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3F659"/>
  <w15:chartTrackingRefBased/>
  <w15:docId w15:val="{B094AFD8-B162-4493-8863-CEBD7342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A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6A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96D37"/>
    <w:pPr>
      <w:keepNext/>
      <w:keepLines/>
      <w:spacing w:before="40" w:after="0"/>
      <w:outlineLvl w:val="2"/>
    </w:pPr>
    <w:rPr>
      <w:rFonts w:ascii="Times New Roman" w:eastAsiaTheme="majorEastAsia" w:hAnsi="Times New Roman"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87209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7A6A0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96D37"/>
    <w:rPr>
      <w:rFonts w:ascii="Times New Roman" w:eastAsiaTheme="majorEastAsia" w:hAnsi="Times New Roman" w:cstheme="majorBidi"/>
      <w:color w:val="000000" w:themeColor="text1"/>
      <w:szCs w:val="24"/>
    </w:rPr>
  </w:style>
  <w:style w:type="character" w:styleId="CommentReference">
    <w:name w:val="annotation reference"/>
    <w:basedOn w:val="DefaultParagraphFont"/>
    <w:uiPriority w:val="99"/>
    <w:semiHidden/>
    <w:unhideWhenUsed/>
    <w:rsid w:val="00E65B10"/>
    <w:rPr>
      <w:sz w:val="16"/>
      <w:szCs w:val="16"/>
    </w:rPr>
  </w:style>
  <w:style w:type="paragraph" w:styleId="CommentText">
    <w:name w:val="annotation text"/>
    <w:basedOn w:val="Normal"/>
    <w:link w:val="CommentTextChar"/>
    <w:uiPriority w:val="99"/>
    <w:unhideWhenUsed/>
    <w:rsid w:val="00E65B10"/>
    <w:pPr>
      <w:spacing w:line="240" w:lineRule="auto"/>
    </w:pPr>
    <w:rPr>
      <w:sz w:val="20"/>
      <w:szCs w:val="20"/>
    </w:rPr>
  </w:style>
  <w:style w:type="character" w:customStyle="1" w:styleId="CommentTextChar">
    <w:name w:val="Comment Text Char"/>
    <w:basedOn w:val="DefaultParagraphFont"/>
    <w:link w:val="CommentText"/>
    <w:uiPriority w:val="99"/>
    <w:rsid w:val="00E65B10"/>
    <w:rPr>
      <w:sz w:val="20"/>
      <w:szCs w:val="20"/>
    </w:rPr>
  </w:style>
  <w:style w:type="paragraph" w:styleId="CommentSubject">
    <w:name w:val="annotation subject"/>
    <w:basedOn w:val="CommentText"/>
    <w:next w:val="CommentText"/>
    <w:link w:val="CommentSubjectChar"/>
    <w:uiPriority w:val="99"/>
    <w:semiHidden/>
    <w:unhideWhenUsed/>
    <w:rsid w:val="00E65B10"/>
    <w:rPr>
      <w:b/>
      <w:bCs/>
    </w:rPr>
  </w:style>
  <w:style w:type="character" w:customStyle="1" w:styleId="CommentSubjectChar">
    <w:name w:val="Comment Subject Char"/>
    <w:basedOn w:val="CommentTextChar"/>
    <w:link w:val="CommentSubject"/>
    <w:uiPriority w:val="99"/>
    <w:semiHidden/>
    <w:rsid w:val="00E65B10"/>
    <w:rPr>
      <w:b/>
      <w:bCs/>
      <w:sz w:val="20"/>
      <w:szCs w:val="20"/>
    </w:rPr>
  </w:style>
  <w:style w:type="paragraph" w:styleId="BalloonText">
    <w:name w:val="Balloon Text"/>
    <w:basedOn w:val="Normal"/>
    <w:link w:val="BalloonTextChar"/>
    <w:uiPriority w:val="99"/>
    <w:semiHidden/>
    <w:unhideWhenUsed/>
    <w:rsid w:val="00E65B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B10"/>
    <w:rPr>
      <w:rFonts w:ascii="Segoe UI" w:hAnsi="Segoe UI" w:cs="Segoe UI"/>
      <w:sz w:val="18"/>
      <w:szCs w:val="18"/>
    </w:rPr>
  </w:style>
  <w:style w:type="paragraph" w:styleId="Bibliography">
    <w:name w:val="Bibliography"/>
    <w:basedOn w:val="Normal"/>
    <w:next w:val="Normal"/>
    <w:uiPriority w:val="37"/>
    <w:semiHidden/>
    <w:unhideWhenUsed/>
    <w:rsid w:val="00CC71E5"/>
  </w:style>
  <w:style w:type="character" w:customStyle="1" w:styleId="Heading1Char">
    <w:name w:val="Heading 1 Char"/>
    <w:basedOn w:val="DefaultParagraphFont"/>
    <w:link w:val="Heading1"/>
    <w:uiPriority w:val="9"/>
    <w:rsid w:val="00017A08"/>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6F32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89167">
      <w:bodyDiv w:val="1"/>
      <w:marLeft w:val="0"/>
      <w:marRight w:val="0"/>
      <w:marTop w:val="0"/>
      <w:marBottom w:val="0"/>
      <w:divBdr>
        <w:top w:val="none" w:sz="0" w:space="0" w:color="auto"/>
        <w:left w:val="none" w:sz="0" w:space="0" w:color="auto"/>
        <w:bottom w:val="none" w:sz="0" w:space="0" w:color="auto"/>
        <w:right w:val="none" w:sz="0" w:space="0" w:color="auto"/>
      </w:divBdr>
    </w:div>
    <w:div w:id="111169986">
      <w:bodyDiv w:val="1"/>
      <w:marLeft w:val="0"/>
      <w:marRight w:val="0"/>
      <w:marTop w:val="0"/>
      <w:marBottom w:val="0"/>
      <w:divBdr>
        <w:top w:val="none" w:sz="0" w:space="0" w:color="auto"/>
        <w:left w:val="none" w:sz="0" w:space="0" w:color="auto"/>
        <w:bottom w:val="none" w:sz="0" w:space="0" w:color="auto"/>
        <w:right w:val="none" w:sz="0" w:space="0" w:color="auto"/>
      </w:divBdr>
    </w:div>
    <w:div w:id="122895713">
      <w:bodyDiv w:val="1"/>
      <w:marLeft w:val="0"/>
      <w:marRight w:val="0"/>
      <w:marTop w:val="0"/>
      <w:marBottom w:val="0"/>
      <w:divBdr>
        <w:top w:val="none" w:sz="0" w:space="0" w:color="auto"/>
        <w:left w:val="none" w:sz="0" w:space="0" w:color="auto"/>
        <w:bottom w:val="none" w:sz="0" w:space="0" w:color="auto"/>
        <w:right w:val="none" w:sz="0" w:space="0" w:color="auto"/>
      </w:divBdr>
    </w:div>
    <w:div w:id="176311311">
      <w:bodyDiv w:val="1"/>
      <w:marLeft w:val="0"/>
      <w:marRight w:val="0"/>
      <w:marTop w:val="0"/>
      <w:marBottom w:val="0"/>
      <w:divBdr>
        <w:top w:val="none" w:sz="0" w:space="0" w:color="auto"/>
        <w:left w:val="none" w:sz="0" w:space="0" w:color="auto"/>
        <w:bottom w:val="none" w:sz="0" w:space="0" w:color="auto"/>
        <w:right w:val="none" w:sz="0" w:space="0" w:color="auto"/>
      </w:divBdr>
    </w:div>
    <w:div w:id="205024818">
      <w:bodyDiv w:val="1"/>
      <w:marLeft w:val="0"/>
      <w:marRight w:val="0"/>
      <w:marTop w:val="0"/>
      <w:marBottom w:val="0"/>
      <w:divBdr>
        <w:top w:val="none" w:sz="0" w:space="0" w:color="auto"/>
        <w:left w:val="none" w:sz="0" w:space="0" w:color="auto"/>
        <w:bottom w:val="none" w:sz="0" w:space="0" w:color="auto"/>
        <w:right w:val="none" w:sz="0" w:space="0" w:color="auto"/>
      </w:divBdr>
    </w:div>
    <w:div w:id="256062047">
      <w:bodyDiv w:val="1"/>
      <w:marLeft w:val="0"/>
      <w:marRight w:val="0"/>
      <w:marTop w:val="0"/>
      <w:marBottom w:val="0"/>
      <w:divBdr>
        <w:top w:val="none" w:sz="0" w:space="0" w:color="auto"/>
        <w:left w:val="none" w:sz="0" w:space="0" w:color="auto"/>
        <w:bottom w:val="none" w:sz="0" w:space="0" w:color="auto"/>
        <w:right w:val="none" w:sz="0" w:space="0" w:color="auto"/>
      </w:divBdr>
    </w:div>
    <w:div w:id="281809117">
      <w:bodyDiv w:val="1"/>
      <w:marLeft w:val="0"/>
      <w:marRight w:val="0"/>
      <w:marTop w:val="0"/>
      <w:marBottom w:val="0"/>
      <w:divBdr>
        <w:top w:val="none" w:sz="0" w:space="0" w:color="auto"/>
        <w:left w:val="none" w:sz="0" w:space="0" w:color="auto"/>
        <w:bottom w:val="none" w:sz="0" w:space="0" w:color="auto"/>
        <w:right w:val="none" w:sz="0" w:space="0" w:color="auto"/>
      </w:divBdr>
    </w:div>
    <w:div w:id="343046998">
      <w:bodyDiv w:val="1"/>
      <w:marLeft w:val="0"/>
      <w:marRight w:val="0"/>
      <w:marTop w:val="0"/>
      <w:marBottom w:val="0"/>
      <w:divBdr>
        <w:top w:val="none" w:sz="0" w:space="0" w:color="auto"/>
        <w:left w:val="none" w:sz="0" w:space="0" w:color="auto"/>
        <w:bottom w:val="none" w:sz="0" w:space="0" w:color="auto"/>
        <w:right w:val="none" w:sz="0" w:space="0" w:color="auto"/>
      </w:divBdr>
    </w:div>
    <w:div w:id="436755575">
      <w:bodyDiv w:val="1"/>
      <w:marLeft w:val="0"/>
      <w:marRight w:val="0"/>
      <w:marTop w:val="0"/>
      <w:marBottom w:val="0"/>
      <w:divBdr>
        <w:top w:val="none" w:sz="0" w:space="0" w:color="auto"/>
        <w:left w:val="none" w:sz="0" w:space="0" w:color="auto"/>
        <w:bottom w:val="none" w:sz="0" w:space="0" w:color="auto"/>
        <w:right w:val="none" w:sz="0" w:space="0" w:color="auto"/>
      </w:divBdr>
    </w:div>
    <w:div w:id="459883932">
      <w:bodyDiv w:val="1"/>
      <w:marLeft w:val="0"/>
      <w:marRight w:val="0"/>
      <w:marTop w:val="0"/>
      <w:marBottom w:val="0"/>
      <w:divBdr>
        <w:top w:val="none" w:sz="0" w:space="0" w:color="auto"/>
        <w:left w:val="none" w:sz="0" w:space="0" w:color="auto"/>
        <w:bottom w:val="none" w:sz="0" w:space="0" w:color="auto"/>
        <w:right w:val="none" w:sz="0" w:space="0" w:color="auto"/>
      </w:divBdr>
    </w:div>
    <w:div w:id="460345802">
      <w:bodyDiv w:val="1"/>
      <w:marLeft w:val="0"/>
      <w:marRight w:val="0"/>
      <w:marTop w:val="0"/>
      <w:marBottom w:val="0"/>
      <w:divBdr>
        <w:top w:val="none" w:sz="0" w:space="0" w:color="auto"/>
        <w:left w:val="none" w:sz="0" w:space="0" w:color="auto"/>
        <w:bottom w:val="none" w:sz="0" w:space="0" w:color="auto"/>
        <w:right w:val="none" w:sz="0" w:space="0" w:color="auto"/>
      </w:divBdr>
    </w:div>
    <w:div w:id="539174787">
      <w:bodyDiv w:val="1"/>
      <w:marLeft w:val="0"/>
      <w:marRight w:val="0"/>
      <w:marTop w:val="0"/>
      <w:marBottom w:val="0"/>
      <w:divBdr>
        <w:top w:val="none" w:sz="0" w:space="0" w:color="auto"/>
        <w:left w:val="none" w:sz="0" w:space="0" w:color="auto"/>
        <w:bottom w:val="none" w:sz="0" w:space="0" w:color="auto"/>
        <w:right w:val="none" w:sz="0" w:space="0" w:color="auto"/>
      </w:divBdr>
    </w:div>
    <w:div w:id="585766418">
      <w:bodyDiv w:val="1"/>
      <w:marLeft w:val="0"/>
      <w:marRight w:val="0"/>
      <w:marTop w:val="0"/>
      <w:marBottom w:val="0"/>
      <w:divBdr>
        <w:top w:val="none" w:sz="0" w:space="0" w:color="auto"/>
        <w:left w:val="none" w:sz="0" w:space="0" w:color="auto"/>
        <w:bottom w:val="none" w:sz="0" w:space="0" w:color="auto"/>
        <w:right w:val="none" w:sz="0" w:space="0" w:color="auto"/>
      </w:divBdr>
    </w:div>
    <w:div w:id="672101168">
      <w:bodyDiv w:val="1"/>
      <w:marLeft w:val="0"/>
      <w:marRight w:val="0"/>
      <w:marTop w:val="0"/>
      <w:marBottom w:val="0"/>
      <w:divBdr>
        <w:top w:val="none" w:sz="0" w:space="0" w:color="auto"/>
        <w:left w:val="none" w:sz="0" w:space="0" w:color="auto"/>
        <w:bottom w:val="none" w:sz="0" w:space="0" w:color="auto"/>
        <w:right w:val="none" w:sz="0" w:space="0" w:color="auto"/>
      </w:divBdr>
    </w:div>
    <w:div w:id="743141213">
      <w:bodyDiv w:val="1"/>
      <w:marLeft w:val="0"/>
      <w:marRight w:val="0"/>
      <w:marTop w:val="0"/>
      <w:marBottom w:val="0"/>
      <w:divBdr>
        <w:top w:val="none" w:sz="0" w:space="0" w:color="auto"/>
        <w:left w:val="none" w:sz="0" w:space="0" w:color="auto"/>
        <w:bottom w:val="none" w:sz="0" w:space="0" w:color="auto"/>
        <w:right w:val="none" w:sz="0" w:space="0" w:color="auto"/>
      </w:divBdr>
    </w:div>
    <w:div w:id="815220154">
      <w:bodyDiv w:val="1"/>
      <w:marLeft w:val="0"/>
      <w:marRight w:val="0"/>
      <w:marTop w:val="0"/>
      <w:marBottom w:val="0"/>
      <w:divBdr>
        <w:top w:val="none" w:sz="0" w:space="0" w:color="auto"/>
        <w:left w:val="none" w:sz="0" w:space="0" w:color="auto"/>
        <w:bottom w:val="none" w:sz="0" w:space="0" w:color="auto"/>
        <w:right w:val="none" w:sz="0" w:space="0" w:color="auto"/>
      </w:divBdr>
    </w:div>
    <w:div w:id="981227435">
      <w:bodyDiv w:val="1"/>
      <w:marLeft w:val="0"/>
      <w:marRight w:val="0"/>
      <w:marTop w:val="0"/>
      <w:marBottom w:val="0"/>
      <w:divBdr>
        <w:top w:val="none" w:sz="0" w:space="0" w:color="auto"/>
        <w:left w:val="none" w:sz="0" w:space="0" w:color="auto"/>
        <w:bottom w:val="none" w:sz="0" w:space="0" w:color="auto"/>
        <w:right w:val="none" w:sz="0" w:space="0" w:color="auto"/>
      </w:divBdr>
    </w:div>
    <w:div w:id="1127313452">
      <w:bodyDiv w:val="1"/>
      <w:marLeft w:val="0"/>
      <w:marRight w:val="0"/>
      <w:marTop w:val="0"/>
      <w:marBottom w:val="0"/>
      <w:divBdr>
        <w:top w:val="none" w:sz="0" w:space="0" w:color="auto"/>
        <w:left w:val="none" w:sz="0" w:space="0" w:color="auto"/>
        <w:bottom w:val="none" w:sz="0" w:space="0" w:color="auto"/>
        <w:right w:val="none" w:sz="0" w:space="0" w:color="auto"/>
      </w:divBdr>
    </w:div>
    <w:div w:id="1146773838">
      <w:bodyDiv w:val="1"/>
      <w:marLeft w:val="0"/>
      <w:marRight w:val="0"/>
      <w:marTop w:val="0"/>
      <w:marBottom w:val="0"/>
      <w:divBdr>
        <w:top w:val="none" w:sz="0" w:space="0" w:color="auto"/>
        <w:left w:val="none" w:sz="0" w:space="0" w:color="auto"/>
        <w:bottom w:val="none" w:sz="0" w:space="0" w:color="auto"/>
        <w:right w:val="none" w:sz="0" w:space="0" w:color="auto"/>
      </w:divBdr>
    </w:div>
    <w:div w:id="1210847759">
      <w:bodyDiv w:val="1"/>
      <w:marLeft w:val="0"/>
      <w:marRight w:val="0"/>
      <w:marTop w:val="0"/>
      <w:marBottom w:val="0"/>
      <w:divBdr>
        <w:top w:val="none" w:sz="0" w:space="0" w:color="auto"/>
        <w:left w:val="none" w:sz="0" w:space="0" w:color="auto"/>
        <w:bottom w:val="none" w:sz="0" w:space="0" w:color="auto"/>
        <w:right w:val="none" w:sz="0" w:space="0" w:color="auto"/>
      </w:divBdr>
    </w:div>
    <w:div w:id="1261991640">
      <w:bodyDiv w:val="1"/>
      <w:marLeft w:val="0"/>
      <w:marRight w:val="0"/>
      <w:marTop w:val="0"/>
      <w:marBottom w:val="0"/>
      <w:divBdr>
        <w:top w:val="none" w:sz="0" w:space="0" w:color="auto"/>
        <w:left w:val="none" w:sz="0" w:space="0" w:color="auto"/>
        <w:bottom w:val="none" w:sz="0" w:space="0" w:color="auto"/>
        <w:right w:val="none" w:sz="0" w:space="0" w:color="auto"/>
      </w:divBdr>
    </w:div>
    <w:div w:id="1430665290">
      <w:bodyDiv w:val="1"/>
      <w:marLeft w:val="0"/>
      <w:marRight w:val="0"/>
      <w:marTop w:val="0"/>
      <w:marBottom w:val="0"/>
      <w:divBdr>
        <w:top w:val="none" w:sz="0" w:space="0" w:color="auto"/>
        <w:left w:val="none" w:sz="0" w:space="0" w:color="auto"/>
        <w:bottom w:val="none" w:sz="0" w:space="0" w:color="auto"/>
        <w:right w:val="none" w:sz="0" w:space="0" w:color="auto"/>
      </w:divBdr>
    </w:div>
    <w:div w:id="1551459434">
      <w:bodyDiv w:val="1"/>
      <w:marLeft w:val="0"/>
      <w:marRight w:val="0"/>
      <w:marTop w:val="0"/>
      <w:marBottom w:val="0"/>
      <w:divBdr>
        <w:top w:val="none" w:sz="0" w:space="0" w:color="auto"/>
        <w:left w:val="none" w:sz="0" w:space="0" w:color="auto"/>
        <w:bottom w:val="none" w:sz="0" w:space="0" w:color="auto"/>
        <w:right w:val="none" w:sz="0" w:space="0" w:color="auto"/>
      </w:divBdr>
    </w:div>
    <w:div w:id="1591966886">
      <w:bodyDiv w:val="1"/>
      <w:marLeft w:val="0"/>
      <w:marRight w:val="0"/>
      <w:marTop w:val="0"/>
      <w:marBottom w:val="0"/>
      <w:divBdr>
        <w:top w:val="none" w:sz="0" w:space="0" w:color="auto"/>
        <w:left w:val="none" w:sz="0" w:space="0" w:color="auto"/>
        <w:bottom w:val="none" w:sz="0" w:space="0" w:color="auto"/>
        <w:right w:val="none" w:sz="0" w:space="0" w:color="auto"/>
      </w:divBdr>
    </w:div>
    <w:div w:id="1612738324">
      <w:bodyDiv w:val="1"/>
      <w:marLeft w:val="0"/>
      <w:marRight w:val="0"/>
      <w:marTop w:val="0"/>
      <w:marBottom w:val="0"/>
      <w:divBdr>
        <w:top w:val="none" w:sz="0" w:space="0" w:color="auto"/>
        <w:left w:val="none" w:sz="0" w:space="0" w:color="auto"/>
        <w:bottom w:val="none" w:sz="0" w:space="0" w:color="auto"/>
        <w:right w:val="none" w:sz="0" w:space="0" w:color="auto"/>
      </w:divBdr>
    </w:div>
    <w:div w:id="1628973850">
      <w:bodyDiv w:val="1"/>
      <w:marLeft w:val="0"/>
      <w:marRight w:val="0"/>
      <w:marTop w:val="0"/>
      <w:marBottom w:val="0"/>
      <w:divBdr>
        <w:top w:val="none" w:sz="0" w:space="0" w:color="auto"/>
        <w:left w:val="none" w:sz="0" w:space="0" w:color="auto"/>
        <w:bottom w:val="none" w:sz="0" w:space="0" w:color="auto"/>
        <w:right w:val="none" w:sz="0" w:space="0" w:color="auto"/>
      </w:divBdr>
    </w:div>
    <w:div w:id="1675187312">
      <w:bodyDiv w:val="1"/>
      <w:marLeft w:val="0"/>
      <w:marRight w:val="0"/>
      <w:marTop w:val="0"/>
      <w:marBottom w:val="0"/>
      <w:divBdr>
        <w:top w:val="none" w:sz="0" w:space="0" w:color="auto"/>
        <w:left w:val="none" w:sz="0" w:space="0" w:color="auto"/>
        <w:bottom w:val="none" w:sz="0" w:space="0" w:color="auto"/>
        <w:right w:val="none" w:sz="0" w:space="0" w:color="auto"/>
      </w:divBdr>
    </w:div>
    <w:div w:id="1692412192">
      <w:bodyDiv w:val="1"/>
      <w:marLeft w:val="0"/>
      <w:marRight w:val="0"/>
      <w:marTop w:val="0"/>
      <w:marBottom w:val="0"/>
      <w:divBdr>
        <w:top w:val="none" w:sz="0" w:space="0" w:color="auto"/>
        <w:left w:val="none" w:sz="0" w:space="0" w:color="auto"/>
        <w:bottom w:val="none" w:sz="0" w:space="0" w:color="auto"/>
        <w:right w:val="none" w:sz="0" w:space="0" w:color="auto"/>
      </w:divBdr>
    </w:div>
    <w:div w:id="1701398900">
      <w:bodyDiv w:val="1"/>
      <w:marLeft w:val="0"/>
      <w:marRight w:val="0"/>
      <w:marTop w:val="0"/>
      <w:marBottom w:val="0"/>
      <w:divBdr>
        <w:top w:val="none" w:sz="0" w:space="0" w:color="auto"/>
        <w:left w:val="none" w:sz="0" w:space="0" w:color="auto"/>
        <w:bottom w:val="none" w:sz="0" w:space="0" w:color="auto"/>
        <w:right w:val="none" w:sz="0" w:space="0" w:color="auto"/>
      </w:divBdr>
    </w:div>
    <w:div w:id="1761297292">
      <w:bodyDiv w:val="1"/>
      <w:marLeft w:val="0"/>
      <w:marRight w:val="0"/>
      <w:marTop w:val="0"/>
      <w:marBottom w:val="0"/>
      <w:divBdr>
        <w:top w:val="none" w:sz="0" w:space="0" w:color="auto"/>
        <w:left w:val="none" w:sz="0" w:space="0" w:color="auto"/>
        <w:bottom w:val="none" w:sz="0" w:space="0" w:color="auto"/>
        <w:right w:val="none" w:sz="0" w:space="0" w:color="auto"/>
      </w:divBdr>
    </w:div>
    <w:div w:id="1770853820">
      <w:bodyDiv w:val="1"/>
      <w:marLeft w:val="0"/>
      <w:marRight w:val="0"/>
      <w:marTop w:val="0"/>
      <w:marBottom w:val="0"/>
      <w:divBdr>
        <w:top w:val="none" w:sz="0" w:space="0" w:color="auto"/>
        <w:left w:val="none" w:sz="0" w:space="0" w:color="auto"/>
        <w:bottom w:val="none" w:sz="0" w:space="0" w:color="auto"/>
        <w:right w:val="none" w:sz="0" w:space="0" w:color="auto"/>
      </w:divBdr>
    </w:div>
    <w:div w:id="1905876232">
      <w:bodyDiv w:val="1"/>
      <w:marLeft w:val="0"/>
      <w:marRight w:val="0"/>
      <w:marTop w:val="0"/>
      <w:marBottom w:val="0"/>
      <w:divBdr>
        <w:top w:val="none" w:sz="0" w:space="0" w:color="auto"/>
        <w:left w:val="none" w:sz="0" w:space="0" w:color="auto"/>
        <w:bottom w:val="none" w:sz="0" w:space="0" w:color="auto"/>
        <w:right w:val="none" w:sz="0" w:space="0" w:color="auto"/>
      </w:divBdr>
    </w:div>
    <w:div w:id="1964844482">
      <w:bodyDiv w:val="1"/>
      <w:marLeft w:val="0"/>
      <w:marRight w:val="0"/>
      <w:marTop w:val="0"/>
      <w:marBottom w:val="0"/>
      <w:divBdr>
        <w:top w:val="none" w:sz="0" w:space="0" w:color="auto"/>
        <w:left w:val="none" w:sz="0" w:space="0" w:color="auto"/>
        <w:bottom w:val="none" w:sz="0" w:space="0" w:color="auto"/>
        <w:right w:val="none" w:sz="0" w:space="0" w:color="auto"/>
      </w:divBdr>
    </w:div>
    <w:div w:id="1967271012">
      <w:bodyDiv w:val="1"/>
      <w:marLeft w:val="0"/>
      <w:marRight w:val="0"/>
      <w:marTop w:val="0"/>
      <w:marBottom w:val="0"/>
      <w:divBdr>
        <w:top w:val="none" w:sz="0" w:space="0" w:color="auto"/>
        <w:left w:val="none" w:sz="0" w:space="0" w:color="auto"/>
        <w:bottom w:val="none" w:sz="0" w:space="0" w:color="auto"/>
        <w:right w:val="none" w:sz="0" w:space="0" w:color="auto"/>
      </w:divBdr>
    </w:div>
    <w:div w:id="1974435011">
      <w:bodyDiv w:val="1"/>
      <w:marLeft w:val="0"/>
      <w:marRight w:val="0"/>
      <w:marTop w:val="0"/>
      <w:marBottom w:val="0"/>
      <w:divBdr>
        <w:top w:val="none" w:sz="0" w:space="0" w:color="auto"/>
        <w:left w:val="none" w:sz="0" w:space="0" w:color="auto"/>
        <w:bottom w:val="none" w:sz="0" w:space="0" w:color="auto"/>
        <w:right w:val="none" w:sz="0" w:space="0" w:color="auto"/>
      </w:divBdr>
    </w:div>
    <w:div w:id="2030334630">
      <w:bodyDiv w:val="1"/>
      <w:marLeft w:val="0"/>
      <w:marRight w:val="0"/>
      <w:marTop w:val="0"/>
      <w:marBottom w:val="0"/>
      <w:divBdr>
        <w:top w:val="none" w:sz="0" w:space="0" w:color="auto"/>
        <w:left w:val="none" w:sz="0" w:space="0" w:color="auto"/>
        <w:bottom w:val="none" w:sz="0" w:space="0" w:color="auto"/>
        <w:right w:val="none" w:sz="0" w:space="0" w:color="auto"/>
      </w:divBdr>
    </w:div>
    <w:div w:id="2032218596">
      <w:bodyDiv w:val="1"/>
      <w:marLeft w:val="0"/>
      <w:marRight w:val="0"/>
      <w:marTop w:val="0"/>
      <w:marBottom w:val="0"/>
      <w:divBdr>
        <w:top w:val="none" w:sz="0" w:space="0" w:color="auto"/>
        <w:left w:val="none" w:sz="0" w:space="0" w:color="auto"/>
        <w:bottom w:val="none" w:sz="0" w:space="0" w:color="auto"/>
        <w:right w:val="none" w:sz="0" w:space="0" w:color="auto"/>
      </w:divBdr>
    </w:div>
    <w:div w:id="2044673915">
      <w:bodyDiv w:val="1"/>
      <w:marLeft w:val="0"/>
      <w:marRight w:val="0"/>
      <w:marTop w:val="0"/>
      <w:marBottom w:val="0"/>
      <w:divBdr>
        <w:top w:val="none" w:sz="0" w:space="0" w:color="auto"/>
        <w:left w:val="none" w:sz="0" w:space="0" w:color="auto"/>
        <w:bottom w:val="none" w:sz="0" w:space="0" w:color="auto"/>
        <w:right w:val="none" w:sz="0" w:space="0" w:color="auto"/>
      </w:divBdr>
    </w:div>
    <w:div w:id="2053261874">
      <w:bodyDiv w:val="1"/>
      <w:marLeft w:val="0"/>
      <w:marRight w:val="0"/>
      <w:marTop w:val="0"/>
      <w:marBottom w:val="0"/>
      <w:divBdr>
        <w:top w:val="none" w:sz="0" w:space="0" w:color="auto"/>
        <w:left w:val="none" w:sz="0" w:space="0" w:color="auto"/>
        <w:bottom w:val="none" w:sz="0" w:space="0" w:color="auto"/>
        <w:right w:val="none" w:sz="0" w:space="0" w:color="auto"/>
      </w:divBdr>
    </w:div>
    <w:div w:id="2053529421">
      <w:bodyDiv w:val="1"/>
      <w:marLeft w:val="0"/>
      <w:marRight w:val="0"/>
      <w:marTop w:val="0"/>
      <w:marBottom w:val="0"/>
      <w:divBdr>
        <w:top w:val="none" w:sz="0" w:space="0" w:color="auto"/>
        <w:left w:val="none" w:sz="0" w:space="0" w:color="auto"/>
        <w:bottom w:val="none" w:sz="0" w:space="0" w:color="auto"/>
        <w:right w:val="none" w:sz="0" w:space="0" w:color="auto"/>
      </w:divBdr>
    </w:div>
    <w:div w:id="2053572817">
      <w:bodyDiv w:val="1"/>
      <w:marLeft w:val="0"/>
      <w:marRight w:val="0"/>
      <w:marTop w:val="0"/>
      <w:marBottom w:val="0"/>
      <w:divBdr>
        <w:top w:val="none" w:sz="0" w:space="0" w:color="auto"/>
        <w:left w:val="none" w:sz="0" w:space="0" w:color="auto"/>
        <w:bottom w:val="none" w:sz="0" w:space="0" w:color="auto"/>
        <w:right w:val="none" w:sz="0" w:space="0" w:color="auto"/>
      </w:divBdr>
    </w:div>
    <w:div w:id="2057730209">
      <w:bodyDiv w:val="1"/>
      <w:marLeft w:val="0"/>
      <w:marRight w:val="0"/>
      <w:marTop w:val="0"/>
      <w:marBottom w:val="0"/>
      <w:divBdr>
        <w:top w:val="none" w:sz="0" w:space="0" w:color="auto"/>
        <w:left w:val="none" w:sz="0" w:space="0" w:color="auto"/>
        <w:bottom w:val="none" w:sz="0" w:space="0" w:color="auto"/>
        <w:right w:val="none" w:sz="0" w:space="0" w:color="auto"/>
      </w:divBdr>
    </w:div>
    <w:div w:id="2096825702">
      <w:bodyDiv w:val="1"/>
      <w:marLeft w:val="0"/>
      <w:marRight w:val="0"/>
      <w:marTop w:val="0"/>
      <w:marBottom w:val="0"/>
      <w:divBdr>
        <w:top w:val="none" w:sz="0" w:space="0" w:color="auto"/>
        <w:left w:val="none" w:sz="0" w:space="0" w:color="auto"/>
        <w:bottom w:val="none" w:sz="0" w:space="0" w:color="auto"/>
        <w:right w:val="none" w:sz="0" w:space="0" w:color="auto"/>
      </w:divBdr>
    </w:div>
    <w:div w:id="212037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34</Pages>
  <Words>147571</Words>
  <Characters>841155</Characters>
  <Application>Microsoft Office Word</Application>
  <DocSecurity>0</DocSecurity>
  <Lines>7009</Lines>
  <Paragraphs>1973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Cirad</Company>
  <LinksUpToDate>false</LinksUpToDate>
  <CharactersWithSpaces>986753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pret</dc:creator>
  <cp:keywords/>
  <dc:description/>
  <cp:lastModifiedBy>Pret, Valentin</cp:lastModifiedBy>
  <cp:revision>19</cp:revision>
  <cp:lastPrinted>2024-01-26T12:06:00Z</cp:lastPrinted>
  <dcterms:created xsi:type="dcterms:W3CDTF">2024-05-28T10:32:00Z</dcterms:created>
  <dcterms:modified xsi:type="dcterms:W3CDTF">2024-09-10T16:11:00Z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id="nqJtchDC"/&gt;&lt;style id="http://www.zotero.org/styles/agronomy-for-sustainable-development" hasBibliography="1" bibliographyStyleHasBeenSet="0"/&gt;&lt;prefs&gt;&lt;pref name="fieldType" value="Field"/&gt;&lt;/prefs&gt;</vt:lpwstr>
  </property>
  <property fmtid="{D5CDD505-2E9C-101B-9397-08002B2CF9AE}" pid="3" name="ZOTERO_PREF_2">
    <vt:lpwstr>&lt;/data&gt;</vt:lpwstr>
  </property>
</Properties>
</file>