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72BDF" w14:textId="5BB644BA" w:rsidR="00B16F99" w:rsidRPr="006C00BD" w:rsidRDefault="00B16F99" w:rsidP="00C65089">
      <w:pPr>
        <w:spacing w:line="360" w:lineRule="auto"/>
        <w:jc w:val="center"/>
        <w:rPr>
          <w:b/>
          <w:sz w:val="28"/>
          <w:szCs w:val="22"/>
        </w:rPr>
      </w:pPr>
      <w:r w:rsidRPr="006C00BD">
        <w:rPr>
          <w:b/>
          <w:sz w:val="28"/>
          <w:szCs w:val="22"/>
        </w:rPr>
        <w:t>Supp</w:t>
      </w:r>
      <w:r w:rsidR="00B73A1C" w:rsidRPr="006C00BD">
        <w:rPr>
          <w:b/>
          <w:sz w:val="28"/>
          <w:szCs w:val="22"/>
        </w:rPr>
        <w:t>orting</w:t>
      </w:r>
      <w:r w:rsidRPr="006C00BD">
        <w:rPr>
          <w:b/>
          <w:sz w:val="28"/>
          <w:szCs w:val="22"/>
        </w:rPr>
        <w:t xml:space="preserve"> Information for</w:t>
      </w:r>
    </w:p>
    <w:p w14:paraId="773A15B7" w14:textId="25D7E9A8" w:rsidR="00015F74" w:rsidRPr="006C00BD" w:rsidRDefault="00D72226" w:rsidP="00C65089">
      <w:pPr>
        <w:spacing w:line="360" w:lineRule="auto"/>
        <w:jc w:val="center"/>
        <w:rPr>
          <w:sz w:val="28"/>
          <w:szCs w:val="22"/>
        </w:rPr>
      </w:pPr>
      <w:r w:rsidRPr="006C00BD">
        <w:rPr>
          <w:sz w:val="28"/>
          <w:szCs w:val="22"/>
        </w:rPr>
        <w:t>Diversifying agriculture to enhance arthropod-driven ecosystem services: what kind of management matters?</w:t>
      </w:r>
    </w:p>
    <w:p w14:paraId="6985025A" w14:textId="77777777" w:rsidR="00B16F99" w:rsidRPr="006C00BD" w:rsidRDefault="00B16F99" w:rsidP="00C65089">
      <w:pPr>
        <w:spacing w:line="360" w:lineRule="auto"/>
        <w:rPr>
          <w:sz w:val="22"/>
          <w:szCs w:val="22"/>
        </w:rPr>
      </w:pPr>
    </w:p>
    <w:p w14:paraId="09028E08" w14:textId="77777777" w:rsidR="00D72226" w:rsidRPr="006C00BD" w:rsidRDefault="00D72226" w:rsidP="00C65089">
      <w:pPr>
        <w:spacing w:line="360" w:lineRule="auto"/>
        <w:jc w:val="both"/>
        <w:rPr>
          <w:sz w:val="22"/>
          <w:szCs w:val="22"/>
        </w:rPr>
      </w:pPr>
      <w:proofErr w:type="spellStart"/>
      <w:r w:rsidRPr="006C00BD">
        <w:rPr>
          <w:sz w:val="22"/>
          <w:szCs w:val="22"/>
        </w:rPr>
        <w:t>Gaëtan</w:t>
      </w:r>
      <w:proofErr w:type="spellEnd"/>
      <w:r w:rsidRPr="006C00BD">
        <w:rPr>
          <w:sz w:val="22"/>
          <w:szCs w:val="22"/>
        </w:rPr>
        <w:t xml:space="preserve"> Seimandi-Corda </w:t>
      </w:r>
      <w:r w:rsidRPr="006C00BD">
        <w:rPr>
          <w:sz w:val="22"/>
          <w:szCs w:val="22"/>
          <w:vertAlign w:val="superscript"/>
        </w:rPr>
        <w:t>1,2*</w:t>
      </w:r>
      <w:r w:rsidRPr="006C00BD">
        <w:rPr>
          <w:sz w:val="22"/>
          <w:szCs w:val="22"/>
        </w:rPr>
        <w:t xml:space="preserve">, Chloe </w:t>
      </w:r>
      <w:proofErr w:type="spellStart"/>
      <w:r w:rsidRPr="006C00BD">
        <w:rPr>
          <w:sz w:val="22"/>
          <w:szCs w:val="22"/>
        </w:rPr>
        <w:t>MacLaren</w:t>
      </w:r>
      <w:proofErr w:type="spellEnd"/>
      <w:r w:rsidRPr="006C00BD">
        <w:rPr>
          <w:sz w:val="22"/>
          <w:szCs w:val="22"/>
        </w:rPr>
        <w:t xml:space="preserve"> </w:t>
      </w:r>
      <w:r w:rsidRPr="006C00BD">
        <w:rPr>
          <w:sz w:val="22"/>
          <w:szCs w:val="22"/>
          <w:vertAlign w:val="superscript"/>
        </w:rPr>
        <w:t>1,3,4</w:t>
      </w:r>
      <w:r w:rsidRPr="006C00BD">
        <w:rPr>
          <w:sz w:val="22"/>
          <w:szCs w:val="22"/>
        </w:rPr>
        <w:t xml:space="preserve">, Kevin </w:t>
      </w:r>
      <w:proofErr w:type="spellStart"/>
      <w:r w:rsidRPr="006C00BD">
        <w:rPr>
          <w:sz w:val="22"/>
          <w:szCs w:val="22"/>
        </w:rPr>
        <w:t>Tougeron</w:t>
      </w:r>
      <w:proofErr w:type="spellEnd"/>
      <w:r w:rsidRPr="006C00BD">
        <w:rPr>
          <w:sz w:val="22"/>
          <w:szCs w:val="22"/>
        </w:rPr>
        <w:t xml:space="preserve"> </w:t>
      </w:r>
      <w:r w:rsidRPr="006C00BD">
        <w:rPr>
          <w:sz w:val="22"/>
          <w:szCs w:val="22"/>
          <w:vertAlign w:val="superscript"/>
        </w:rPr>
        <w:t>5</w:t>
      </w:r>
      <w:r w:rsidRPr="006C00BD">
        <w:rPr>
          <w:sz w:val="22"/>
          <w:szCs w:val="22"/>
        </w:rPr>
        <w:t xml:space="preserve">, Johannes </w:t>
      </w:r>
      <w:proofErr w:type="spellStart"/>
      <w:r w:rsidRPr="006C00BD">
        <w:rPr>
          <w:sz w:val="22"/>
          <w:szCs w:val="22"/>
        </w:rPr>
        <w:t>Forkman</w:t>
      </w:r>
      <w:proofErr w:type="spellEnd"/>
      <w:r w:rsidRPr="006C00BD">
        <w:rPr>
          <w:sz w:val="22"/>
          <w:szCs w:val="22"/>
        </w:rPr>
        <w:t xml:space="preserve"> </w:t>
      </w:r>
      <w:r w:rsidRPr="006C00BD">
        <w:rPr>
          <w:sz w:val="22"/>
          <w:szCs w:val="22"/>
          <w:vertAlign w:val="superscript"/>
        </w:rPr>
        <w:t>4</w:t>
      </w:r>
      <w:r w:rsidRPr="006C00BD">
        <w:rPr>
          <w:sz w:val="22"/>
          <w:szCs w:val="22"/>
        </w:rPr>
        <w:t xml:space="preserve">, Jess Hood </w:t>
      </w:r>
      <w:r w:rsidRPr="006C00BD">
        <w:rPr>
          <w:sz w:val="22"/>
          <w:szCs w:val="22"/>
          <w:vertAlign w:val="superscript"/>
        </w:rPr>
        <w:t>1</w:t>
      </w:r>
      <w:r w:rsidRPr="006C00BD">
        <w:rPr>
          <w:sz w:val="22"/>
          <w:szCs w:val="22"/>
        </w:rPr>
        <w:t xml:space="preserve">, Andrew Mead </w:t>
      </w:r>
      <w:r w:rsidRPr="006C00BD">
        <w:rPr>
          <w:sz w:val="22"/>
          <w:szCs w:val="22"/>
          <w:vertAlign w:val="superscript"/>
        </w:rPr>
        <w:t>1</w:t>
      </w:r>
      <w:r w:rsidRPr="006C00BD">
        <w:rPr>
          <w:sz w:val="22"/>
          <w:szCs w:val="22"/>
        </w:rPr>
        <w:t xml:space="preserve">, Amelia Dixon </w:t>
      </w:r>
      <w:r w:rsidRPr="006C00BD">
        <w:rPr>
          <w:sz w:val="22"/>
          <w:szCs w:val="22"/>
          <w:vertAlign w:val="superscript"/>
        </w:rPr>
        <w:t>1</w:t>
      </w:r>
      <w:r w:rsidRPr="006C00BD">
        <w:rPr>
          <w:sz w:val="22"/>
          <w:szCs w:val="22"/>
        </w:rPr>
        <w:t xml:space="preserve">, Samantha M. Cook </w:t>
      </w:r>
      <w:r w:rsidRPr="006C00BD">
        <w:rPr>
          <w:sz w:val="22"/>
          <w:szCs w:val="22"/>
          <w:vertAlign w:val="superscript"/>
        </w:rPr>
        <w:t>1</w:t>
      </w:r>
    </w:p>
    <w:p w14:paraId="1EBDE992" w14:textId="7D236978" w:rsidR="000F0DCE" w:rsidRPr="00536BC8" w:rsidRDefault="000F0DCE" w:rsidP="00C65089">
      <w:pPr>
        <w:spacing w:line="360" w:lineRule="auto"/>
        <w:rPr>
          <w:sz w:val="20"/>
          <w:szCs w:val="22"/>
        </w:rPr>
      </w:pPr>
    </w:p>
    <w:p w14:paraId="4B825DF6" w14:textId="77777777" w:rsidR="00536BC8" w:rsidRPr="00536BC8" w:rsidRDefault="00536BC8" w:rsidP="00536BC8">
      <w:pPr>
        <w:spacing w:before="120" w:after="100" w:afterAutospacing="1" w:line="360" w:lineRule="auto"/>
        <w:jc w:val="both"/>
        <w:rPr>
          <w:sz w:val="22"/>
          <w:lang w:val="en-GB"/>
        </w:rPr>
      </w:pPr>
      <w:r w:rsidRPr="00536BC8">
        <w:rPr>
          <w:sz w:val="22"/>
          <w:vertAlign w:val="superscript"/>
          <w:lang w:val="en-GB"/>
        </w:rPr>
        <w:t>1</w:t>
      </w:r>
      <w:r w:rsidRPr="00536BC8">
        <w:rPr>
          <w:sz w:val="22"/>
          <w:lang w:val="en-GB"/>
        </w:rPr>
        <w:t xml:space="preserve"> </w:t>
      </w:r>
      <w:proofErr w:type="spellStart"/>
      <w:r w:rsidRPr="00536BC8">
        <w:rPr>
          <w:sz w:val="22"/>
          <w:lang w:val="en-GB"/>
        </w:rPr>
        <w:t>Rothamsted</w:t>
      </w:r>
      <w:proofErr w:type="spellEnd"/>
      <w:r w:rsidRPr="00536BC8">
        <w:rPr>
          <w:sz w:val="22"/>
          <w:lang w:val="en-GB"/>
        </w:rPr>
        <w:t xml:space="preserve"> Research, Harpenden, Hertfordshire, UK</w:t>
      </w:r>
    </w:p>
    <w:p w14:paraId="635B8620" w14:textId="77777777" w:rsidR="00536BC8" w:rsidRPr="00536BC8" w:rsidRDefault="00536BC8" w:rsidP="00536BC8">
      <w:pPr>
        <w:spacing w:before="120" w:after="100" w:afterAutospacing="1" w:line="360" w:lineRule="auto"/>
        <w:jc w:val="both"/>
        <w:rPr>
          <w:sz w:val="22"/>
          <w:lang w:val="en-GB"/>
        </w:rPr>
      </w:pPr>
      <w:r w:rsidRPr="00536BC8">
        <w:rPr>
          <w:sz w:val="22"/>
          <w:vertAlign w:val="superscript"/>
          <w:lang w:val="en-GB"/>
        </w:rPr>
        <w:t>2</w:t>
      </w:r>
      <w:r w:rsidRPr="00536BC8">
        <w:rPr>
          <w:sz w:val="22"/>
          <w:lang w:val="en-GB"/>
        </w:rPr>
        <w:t xml:space="preserve"> </w:t>
      </w:r>
      <w:proofErr w:type="spellStart"/>
      <w:r w:rsidRPr="00536BC8">
        <w:rPr>
          <w:sz w:val="22"/>
          <w:lang w:val="en-GB"/>
        </w:rPr>
        <w:t>Université</w:t>
      </w:r>
      <w:proofErr w:type="spellEnd"/>
      <w:r w:rsidRPr="00536BC8">
        <w:rPr>
          <w:sz w:val="22"/>
          <w:lang w:val="en-GB"/>
        </w:rPr>
        <w:t xml:space="preserve"> de Toulouse, INRAE, UMR AGIR, Castanet-</w:t>
      </w:r>
      <w:proofErr w:type="spellStart"/>
      <w:r w:rsidRPr="00536BC8">
        <w:rPr>
          <w:sz w:val="22"/>
          <w:lang w:val="en-GB"/>
        </w:rPr>
        <w:t>Tolosan</w:t>
      </w:r>
      <w:proofErr w:type="spellEnd"/>
      <w:r w:rsidRPr="00536BC8">
        <w:rPr>
          <w:sz w:val="22"/>
          <w:lang w:val="en-GB"/>
        </w:rPr>
        <w:t xml:space="preserve"> F-31326, France </w:t>
      </w:r>
    </w:p>
    <w:p w14:paraId="493558B5" w14:textId="77777777" w:rsidR="00536BC8" w:rsidRPr="00536BC8" w:rsidRDefault="00536BC8" w:rsidP="00536BC8">
      <w:pPr>
        <w:spacing w:before="120" w:after="100" w:afterAutospacing="1" w:line="360" w:lineRule="auto"/>
        <w:jc w:val="both"/>
        <w:rPr>
          <w:sz w:val="22"/>
          <w:lang w:val="en-GB"/>
        </w:rPr>
      </w:pPr>
      <w:r w:rsidRPr="00536BC8">
        <w:rPr>
          <w:sz w:val="22"/>
          <w:vertAlign w:val="superscript"/>
          <w:lang w:val="en-GB"/>
        </w:rPr>
        <w:t>3</w:t>
      </w:r>
      <w:r w:rsidRPr="00536BC8">
        <w:rPr>
          <w:sz w:val="22"/>
          <w:lang w:val="en-GB"/>
        </w:rPr>
        <w:t xml:space="preserve"> International Maize &amp; Wheat Improvement Centre (CIMMYT), Southern Africa Regional Office (SARO), P.O. Box MP163, Harare, Zimbabwe</w:t>
      </w:r>
    </w:p>
    <w:p w14:paraId="1E9904DA" w14:textId="77777777" w:rsidR="00536BC8" w:rsidRPr="00536BC8" w:rsidRDefault="00536BC8" w:rsidP="00536BC8">
      <w:pPr>
        <w:spacing w:before="120" w:after="100" w:afterAutospacing="1" w:line="360" w:lineRule="auto"/>
        <w:jc w:val="both"/>
        <w:rPr>
          <w:sz w:val="22"/>
          <w:lang w:val="en-GB"/>
        </w:rPr>
      </w:pPr>
      <w:r w:rsidRPr="00536BC8">
        <w:rPr>
          <w:sz w:val="22"/>
          <w:vertAlign w:val="superscript"/>
          <w:lang w:val="en-GB"/>
        </w:rPr>
        <w:t>4</w:t>
      </w:r>
      <w:r w:rsidRPr="00536BC8">
        <w:rPr>
          <w:sz w:val="22"/>
          <w:lang w:val="en-GB"/>
        </w:rPr>
        <w:t xml:space="preserve"> Department of Crop Production Ecology, Swedish University of Agricultural Sciences, Uppsala 75007, Sweden</w:t>
      </w:r>
    </w:p>
    <w:p w14:paraId="6F5BE4A7" w14:textId="77777777" w:rsidR="00536BC8" w:rsidRPr="00536BC8" w:rsidRDefault="00536BC8" w:rsidP="00536BC8">
      <w:pPr>
        <w:spacing w:before="120" w:after="100" w:afterAutospacing="1" w:line="360" w:lineRule="auto"/>
        <w:jc w:val="both"/>
        <w:rPr>
          <w:sz w:val="22"/>
          <w:lang w:val="en-GB"/>
        </w:rPr>
      </w:pPr>
      <w:r w:rsidRPr="00536BC8">
        <w:rPr>
          <w:sz w:val="22"/>
          <w:vertAlign w:val="superscript"/>
          <w:lang w:val="en-GB"/>
        </w:rPr>
        <w:t>5</w:t>
      </w:r>
      <w:r w:rsidRPr="00536BC8">
        <w:rPr>
          <w:sz w:val="22"/>
          <w:lang w:val="en-GB"/>
        </w:rPr>
        <w:t xml:space="preserve"> Ecology of Interactions and Global Change Laboratory, Institute for Biosciences, </w:t>
      </w:r>
      <w:proofErr w:type="spellStart"/>
      <w:r w:rsidRPr="00536BC8">
        <w:rPr>
          <w:sz w:val="22"/>
          <w:lang w:val="en-GB"/>
        </w:rPr>
        <w:t>Université</w:t>
      </w:r>
      <w:proofErr w:type="spellEnd"/>
      <w:r w:rsidRPr="00536BC8">
        <w:rPr>
          <w:sz w:val="22"/>
          <w:lang w:val="en-GB"/>
        </w:rPr>
        <w:t xml:space="preserve"> de Mons, Mons, Belgium</w:t>
      </w:r>
    </w:p>
    <w:p w14:paraId="7BCD37D4" w14:textId="77777777" w:rsidR="00536BC8" w:rsidRPr="00536BC8" w:rsidRDefault="00536BC8" w:rsidP="00C65089">
      <w:pPr>
        <w:spacing w:line="360" w:lineRule="auto"/>
        <w:rPr>
          <w:sz w:val="22"/>
          <w:szCs w:val="22"/>
          <w:lang w:val="en-GB"/>
        </w:rPr>
      </w:pPr>
    </w:p>
    <w:p w14:paraId="55C4705F" w14:textId="1AC83960" w:rsidR="00D72226" w:rsidRPr="00013FFB" w:rsidRDefault="00D72226" w:rsidP="00C65089">
      <w:pPr>
        <w:spacing w:line="360" w:lineRule="auto"/>
        <w:jc w:val="both"/>
        <w:rPr>
          <w:sz w:val="22"/>
          <w:szCs w:val="22"/>
          <w:lang w:val="fr-FR"/>
        </w:rPr>
      </w:pPr>
      <w:r w:rsidRPr="00013FFB">
        <w:rPr>
          <w:sz w:val="22"/>
          <w:szCs w:val="22"/>
          <w:lang w:val="fr-FR"/>
        </w:rPr>
        <w:t>Gaëtan Seimandi-Corda</w:t>
      </w:r>
    </w:p>
    <w:p w14:paraId="4F297BDE" w14:textId="0141A6C0" w:rsidR="00943C3C" w:rsidRPr="00013FFB" w:rsidRDefault="00D72226" w:rsidP="00C65089">
      <w:pPr>
        <w:spacing w:line="360" w:lineRule="auto"/>
        <w:jc w:val="both"/>
        <w:rPr>
          <w:sz w:val="22"/>
          <w:szCs w:val="22"/>
          <w:lang w:val="fr-FR"/>
        </w:rPr>
      </w:pPr>
      <w:proofErr w:type="gramStart"/>
      <w:r w:rsidRPr="00013FFB">
        <w:rPr>
          <w:b/>
          <w:sz w:val="22"/>
          <w:szCs w:val="22"/>
          <w:lang w:val="fr-FR"/>
        </w:rPr>
        <w:t>Email:</w:t>
      </w:r>
      <w:proofErr w:type="gramEnd"/>
      <w:r w:rsidRPr="00013FFB">
        <w:rPr>
          <w:b/>
          <w:sz w:val="22"/>
          <w:szCs w:val="22"/>
          <w:lang w:val="fr-FR"/>
        </w:rPr>
        <w:t xml:space="preserve"> </w:t>
      </w:r>
      <w:r w:rsidRPr="00013FFB">
        <w:rPr>
          <w:sz w:val="22"/>
          <w:szCs w:val="22"/>
          <w:lang w:val="fr-FR"/>
        </w:rPr>
        <w:t xml:space="preserve"> gaetan.seimandi@outlook.fr</w:t>
      </w:r>
    </w:p>
    <w:p w14:paraId="773EDCFF" w14:textId="0E6289BD" w:rsidR="001C0975" w:rsidRPr="006C00BD" w:rsidRDefault="00D72226" w:rsidP="00536BC8">
      <w:pPr>
        <w:pStyle w:val="SMHeading"/>
        <w:numPr>
          <w:ilvl w:val="0"/>
          <w:numId w:val="16"/>
        </w:numPr>
        <w:spacing w:line="360" w:lineRule="auto"/>
        <w:rPr>
          <w:sz w:val="22"/>
          <w:szCs w:val="22"/>
        </w:rPr>
      </w:pPr>
      <w:bookmarkStart w:id="0" w:name="Tables"/>
      <w:bookmarkStart w:id="1" w:name="MaterialsMethods"/>
      <w:bookmarkEnd w:id="0"/>
      <w:bookmarkEnd w:id="1"/>
      <w:r w:rsidRPr="006C00BD">
        <w:rPr>
          <w:sz w:val="22"/>
          <w:szCs w:val="22"/>
        </w:rPr>
        <w:t>Literature search</w:t>
      </w:r>
    </w:p>
    <w:p w14:paraId="41565D83" w14:textId="20C91CDB" w:rsidR="001C0975" w:rsidRPr="006C00BD" w:rsidRDefault="00D72226" w:rsidP="00C65089">
      <w:pPr>
        <w:pStyle w:val="SMText"/>
        <w:spacing w:line="360" w:lineRule="auto"/>
        <w:ind w:firstLine="0"/>
        <w:jc w:val="both"/>
        <w:rPr>
          <w:sz w:val="22"/>
          <w:szCs w:val="22"/>
        </w:rPr>
      </w:pPr>
      <w:r w:rsidRPr="006C00BD">
        <w:rPr>
          <w:sz w:val="22"/>
          <w:szCs w:val="22"/>
        </w:rPr>
        <w:t>The literature search, was conducted using Web of Science database (Core Collection) the first time on the 7/01/20 using the terms: (</w:t>
      </w:r>
      <w:proofErr w:type="spellStart"/>
      <w:r w:rsidRPr="006C00BD">
        <w:rPr>
          <w:sz w:val="22"/>
          <w:szCs w:val="22"/>
        </w:rPr>
        <w:t>undersow</w:t>
      </w:r>
      <w:proofErr w:type="spellEnd"/>
      <w:r w:rsidRPr="006C00BD">
        <w:rPr>
          <w:sz w:val="22"/>
          <w:szCs w:val="22"/>
        </w:rPr>
        <w:t xml:space="preserve">* OR </w:t>
      </w:r>
      <w:proofErr w:type="spellStart"/>
      <w:r w:rsidRPr="006C00BD">
        <w:rPr>
          <w:sz w:val="22"/>
          <w:szCs w:val="22"/>
        </w:rPr>
        <w:t>underseed</w:t>
      </w:r>
      <w:proofErr w:type="spellEnd"/>
      <w:r w:rsidRPr="006C00BD">
        <w:rPr>
          <w:sz w:val="22"/>
          <w:szCs w:val="22"/>
        </w:rPr>
        <w:t xml:space="preserve">* OR </w:t>
      </w:r>
      <w:proofErr w:type="spellStart"/>
      <w:r w:rsidRPr="006C00BD">
        <w:rPr>
          <w:sz w:val="22"/>
          <w:szCs w:val="22"/>
        </w:rPr>
        <w:t>interseed</w:t>
      </w:r>
      <w:proofErr w:type="spellEnd"/>
      <w:r w:rsidRPr="006C00BD">
        <w:rPr>
          <w:sz w:val="22"/>
          <w:szCs w:val="22"/>
        </w:rPr>
        <w:t xml:space="preserve">* OR intercrop* OR “companion crop*” OR “companion plant*” OR “living mulch” OR interplant* OR “mixed crop” OR “flower strip*” OR “wildflower strip*” OR “flower margin” OR “field margin” OR "flower border" OR agroforestry OR "alley cropping" OR “trap crop*” OR hedgerow OR "field edge" OR "field boundaries" OR "crop diversification") AND (insect OR </w:t>
      </w:r>
      <w:proofErr w:type="spellStart"/>
      <w:r w:rsidRPr="006C00BD">
        <w:rPr>
          <w:sz w:val="22"/>
          <w:szCs w:val="22"/>
        </w:rPr>
        <w:t>pollinat</w:t>
      </w:r>
      <w:proofErr w:type="spellEnd"/>
      <w:r w:rsidRPr="006C00BD">
        <w:rPr>
          <w:sz w:val="22"/>
          <w:szCs w:val="22"/>
        </w:rPr>
        <w:t xml:space="preserve">* OR </w:t>
      </w:r>
      <w:proofErr w:type="spellStart"/>
      <w:r w:rsidRPr="006C00BD">
        <w:rPr>
          <w:sz w:val="22"/>
          <w:szCs w:val="22"/>
        </w:rPr>
        <w:t>herbivor</w:t>
      </w:r>
      <w:proofErr w:type="spellEnd"/>
      <w:r w:rsidRPr="006C00BD">
        <w:rPr>
          <w:sz w:val="22"/>
          <w:szCs w:val="22"/>
        </w:rPr>
        <w:t xml:space="preserve">* OR </w:t>
      </w:r>
      <w:proofErr w:type="spellStart"/>
      <w:r w:rsidRPr="006C00BD">
        <w:rPr>
          <w:sz w:val="22"/>
          <w:szCs w:val="22"/>
        </w:rPr>
        <w:t>predat</w:t>
      </w:r>
      <w:proofErr w:type="spellEnd"/>
      <w:r w:rsidRPr="006C00BD">
        <w:rPr>
          <w:sz w:val="22"/>
          <w:szCs w:val="22"/>
        </w:rPr>
        <w:t xml:space="preserve">* OR </w:t>
      </w:r>
      <w:proofErr w:type="spellStart"/>
      <w:r w:rsidRPr="006C00BD">
        <w:rPr>
          <w:sz w:val="22"/>
          <w:szCs w:val="22"/>
        </w:rPr>
        <w:t>parasit</w:t>
      </w:r>
      <w:proofErr w:type="spellEnd"/>
      <w:r w:rsidRPr="006C00BD">
        <w:rPr>
          <w:sz w:val="22"/>
          <w:szCs w:val="22"/>
        </w:rPr>
        <w:t xml:space="preserve">* OR biocontrol OR “biological control” OR “pest control” OR "natural </w:t>
      </w:r>
      <w:proofErr w:type="spellStart"/>
      <w:r w:rsidRPr="006C00BD">
        <w:rPr>
          <w:sz w:val="22"/>
          <w:szCs w:val="22"/>
        </w:rPr>
        <w:t>enem</w:t>
      </w:r>
      <w:proofErr w:type="spellEnd"/>
      <w:r w:rsidRPr="006C00BD">
        <w:rPr>
          <w:sz w:val="22"/>
          <w:szCs w:val="22"/>
        </w:rPr>
        <w:t xml:space="preserve">*"). Were removed from the search the terms: </w:t>
      </w:r>
      <w:proofErr w:type="spellStart"/>
      <w:r w:rsidRPr="006C00BD">
        <w:rPr>
          <w:sz w:val="22"/>
          <w:szCs w:val="22"/>
        </w:rPr>
        <w:t>nematod</w:t>
      </w:r>
      <w:proofErr w:type="spellEnd"/>
      <w:r w:rsidRPr="006C00BD">
        <w:rPr>
          <w:sz w:val="22"/>
          <w:szCs w:val="22"/>
        </w:rPr>
        <w:t xml:space="preserve">* OR pathogen* OR slug*. Only the research articles published in English were considered for this search. The first run of the search in Web of Science </w:t>
      </w:r>
      <w:r w:rsidRPr="006C00BD">
        <w:rPr>
          <w:sz w:val="22"/>
          <w:szCs w:val="22"/>
        </w:rPr>
        <w:lastRenderedPageBreak/>
        <w:t xml:space="preserve">yielded 2,130 articles. This search was updated to include recently published articles on 14/01/21 (194 articles), 29/09/23 (890 articles), 11/06/24 (232 articles), making a total of 3,447 articles. Titles and abstracts of these articles were then checked and 991 articles dealing with crop diversification practices, including agroforestry, intercropping, addition of flower resources, and adjacent semi-natural habitats, and Arthropods were kept for further inspection (Fig. S1). In addition to these articles, 22 studies identified in other meta-analyses </w:t>
      </w:r>
      <w:r w:rsidR="00C65089">
        <w:rPr>
          <w:sz w:val="22"/>
          <w:szCs w:val="22"/>
        </w:rPr>
        <w:fldChar w:fldCharType="begin"/>
      </w:r>
      <w:r w:rsidR="00C65089">
        <w:rPr>
          <w:sz w:val="22"/>
          <w:szCs w:val="22"/>
        </w:rPr>
        <w:instrText xml:space="preserve"> ADDIN ZOTERO_ITEM CSL_CITATION {"citationID":"KVacQrhU","properties":{"formattedCitation":"(Letourneau et al. 2011; Lichtenberg et al. 2017; Albrecht et al. 2020; Wan et al. 2020; Zamorano et al. 2020)","plainCitation":"(Letourneau et al. 2011; Lichtenberg et al. 2017; Albrecht et al. 2020; Wan et al. 2020; Zamorano et al. 2020)","noteIndex":0},"citationItems":[{"id":144,"uris":["http://zotero.org/users/11425136/items/75KENCEN"],"itemData":{"id":144,"type":"article-journal","abstract":"Predictive theory on how plant diversity promotes herbivore suppression through movement patterns, host associations, and predation promises a potential alternative to pesticide-intensive monoculture crop production. We used meta-analysis on 552 experiments in 45 articles published over the last 10 years to test if plant diversiﬁcation schemes reduce herbivores and/or increase the natural enemies of herbivores as predicted by associational resistance hypotheses, the enemies hypothesis, and attraction and repellency model applications in agriculture. We found extensive support for these models with intercropping schemes, inclusion of ﬂowering plants, and use of plants that repel herbivores or attract them away from the crop. Overall, herbivore suppression, enemy enhancement, and crop damage suppression effects were signiﬁcantly stronger on diversiﬁed crops than on crops with none or fewer associated plant species. However, a relatively small, but signiﬁcantly negative, mean effect size for crop yield indicated that pest-suppressive diversiﬁcation schemes interfered with production, in part because of reducing densities of the main crop by replacing it with intercrops or non-crop plants. This ﬁrst use of meta-analysis to evaluate the effects of diversiﬁcation schemes, a potentially more powerful tool than tallies of signiﬁcant positive and negative outcomes (vote-counting), revealed stronger overall effects on all parameters measured compared to previous reviews. Our analysis of the same articles used in a recent review facilitates comparisons of vote-counting and meta-analysis, and shows that pronounced results of the meta-analysis are not well explained by a reduction in articles that met its stricter criteria. Rather, compared to outcome counts, effect sizes were rarely neutral (equal to zero), and a mean effect size value for mixed outcomes could be calculated. Problematic statistical properties of vote-counting were avoided with meta-analysis, thus providing a more precise test of the hypotheses. The unambiguous and encouraging results from this meta-analysis of previous research should motivate ecologists to conduct more mechanistic experiments to improve the odds of designing effective crop diversiﬁcation schemes for improved pest regulation and enhanced crop yield.","container-title":"Ecological Applications","DOI":"10.1890/09-2026.1","ISSN":"1051-0761","issue":"1","journalAbbreviation":"Ecol Appl","language":"en","page":"9-21","source":"DOI.org (Crossref)","title":"Does plant diversity benefit agroecosystems? A synthetic review","title-short":"Does plant diversity benefit agroecosystems?","volume":"21","author":[{"family":"Letourneau","given":"Deborah K."},{"family":"Armbrecht","given":"Inge"},{"family":"Rivera","given":"Beatriz Salguero"},{"family":"Lerma","given":"James Montoya"},{"family":"Carmona","given":"Elizabeth Jiménez"},{"family":"Daza","given":"Martha Constanza"},{"family":"Escobar","given":"Selene"},{"family":"Galindo","given":"Víctor"},{"family":"Gutiérrez","given":"Catalina"},{"family":"López","given":"Sebastián Duque"},{"family":"Mejía","given":"Jessica López"},{"family":"Rangel","given":"Aleyda Maritza Acosta"},{"family":"Rangel","given":"Janine Herrera"},{"family":"Rivera","given":"Leonardo"},{"family":"Saavedra","given":"Carlos Arturo"},{"family":"Torres","given":"Alba Marina"},{"family":"Trujillo","given":"Aldemar Reyes"}],"issued":{"date-parts":[["2011",1]]}}},{"id":2489,"uris":["http://zotero.org/users/11425136/items/46K73YZL"],"itemData":{"id":2489,"type":"article-journal","abstract":"Abstract\n            Agricultural intensification is a leading cause of global biodiversity loss, which can reduce the provisioning of ecosystem services in managed ecosystems. Organic farming and plant diversification are farm management schemes that may mitigate potential ecological harm by increasing species richness and boosting related ecosystem services to agroecosystems. What remains unclear is the extent to which farm management schemes affect biodiversity components other than species richness, and whether impacts differ across spatial scales and landscape contexts. Using a global metadataset, we quantified the effects of organic farming and plant diversification on abundance, local diversity (communities within fields), and regional diversity (communities across fields) of arthropod pollinators, predators, herbivores, and detritivores. Both organic farming and higher in‐field plant diversity enhanced arthropod abundance, particularly for rare taxa. This resulted in increased richness but decreased evenness. While these responses were stronger at local relative to regional scales, richness and abundance increased at both scales, and richness on farms embedded in complex relative to simple landscapes. Overall, both organic farming and in‐field plant diversification exerted the strongest effects on pollinators and predators, suggesting these management schemes can facilitate ecosystem service providers without augmenting herbivore (pest) populations. Our results suggest that organic farming and plant diversification promote diverse arthropod metacommunities that may provide temporal and spatial stability of ecosystem service provisioning. Conserving diverse plant and arthropod communities in farming systems therefore requires sustainable practices that operate both within fields and across landscapes.","container-title":"Global Change Biology","DOI":"10.1111/gcb.13714","ISSN":"1354-1013, 1365-2486","issue":"11","journalAbbreviation":"Global Change Biology","language":"en","license":"http://onlinelibrary.wiley.com/termsAndConditions#vor","page":"4946-4957","source":"DOI.org (Crossref)","title":"A global synthesis of the effects of diversified farming systems on arthropod diversity within fields and across agricultural landscapes","volume":"23","author":[{"family":"Lichtenberg","given":"Elinor M."},{"family":"Kennedy","given":"Christina M."},{"family":"Kremen","given":"Claire"},{"family":"Batáry","given":"Péter"},{"family":"Berendse","given":"Frank"},{"family":"Bommarco","given":"Riccardo"},{"family":"Bosque‐Pérez","given":"Nilsa A."},{"family":"Carvalheiro","given":"Luísa G."},{"family":"Snyder","given":"William E."},{"family":"Williams","given":"Neal M."},{"family":"Winfree","given":"Rachael"},{"family":"Klatt","given":"Björn K."},{"family":"Åström","given":"Sandra"},{"family":"Benjamin","given":"Faye"},{"family":"Brittain","given":"Claire"},{"family":"Chaplin‐Kramer","given":"Rebecca"},{"family":"Clough","given":"Yann"},{"family":"Danforth","given":"Bryan"},{"family":"Diekötter","given":"Tim"},{"family":"Eigenbrode","given":"Sanford D."},{"family":"Ekroos","given":"Johan"},{"family":"Elle","given":"Elizabeth"},{"family":"Freitas","given":"Breno M."},{"family":"Fukuda","given":"Yuki"},{"family":"Gaines‐Day","given":"Hannah R."},{"family":"Grab","given":"Heather"},{"family":"Gratton","given":"Claudio"},{"family":"Holzschuh","given":"Andrea"},{"family":"Isaacs","given":"Rufus"},{"family":"Isaia","given":"Marco"},{"family":"Jha","given":"Shalene"},{"family":"Jonason","given":"Dennis"},{"family":"Jones","given":"Vincent P."},{"family":"Klein","given":"Alexandra‐Maria"},{"family":"Krauss","given":"Jochen"},{"family":"Letourneau","given":"Deborah K."},{"family":"Macfadyen","given":"Sarina"},{"family":"Mallinger","given":"Rachel E."},{"family":"Martin","given":"Emily A."},{"family":"Martinez","given":"Eliana"},{"family":"Memmott","given":"Jane"},{"family":"Morandin","given":"Lora"},{"family":"Neame","given":"Lisa"},{"family":"Otieno","given":"Mark"},{"family":"Park","given":"Mia G."},{"family":"Pfiffner","given":"Lukas"},{"family":"Pocock","given":"Michael J. O."},{"family":"Ponce","given":"Carlos"},{"family":"Potts","given":"Simon G."},{"family":"Poveda","given":"Katja"},{"family":"Ramos","given":"Mariangie"},{"family":"Rosenheim","given":"Jay A."},{"family":"Rundlöf","given":"Maj"},{"family":"Sardiñas","given":"Hillary"},{"family":"Saunders","given":"Manu E."},{"family":"Schon","given":"Nicole L."},{"family":"Sciligo","given":"Amber R."},{"family":"Sidhu","given":"C. Sheena"},{"family":"Steffan‐Dewenter","given":"Ingolf"},{"family":"Tscharntke","given":"Teja"},{"family":"Veselý","given":"Milan"},{"family":"Weisser","given":"Wolfgang W."},{"family":"Wilson","given":"Julianna K."},{"family":"Crowder","given":"David W."}],"issued":{"date-parts":[["2017",11]]}}},{"id":462,"uris":["http://zotero.org/users/11425136/items/9MSJ2Y4I"],"itemData":{"id":462,"type":"article-journal","abstract":"Floral plantings are promoted to foster ecological intensification of agriculture through provisioning of ecosystem services. However, a comprehensive assessment of the effectiveness of different floral plantings, their characteristics and consequences for crop yield is lacking. Here we quantified the impacts of flower strips and hedgerows on pest control (18 studies) and pollination services (17 studies) in adjacent crops in North America, Europe and New Zealand. Flower strips, but not hedgerows, enhanced pest control services in adjacent fields by 16% on average. However, effects on crop pollination and yield were more variable. Our synthesis identifies several important drivers of variability in effectiveness of plantings: pollination services declined exponentially with distance from plantings, and perennial and older flower strips with higher flowering plant diversity enhanced pollination more effectively. These findings provide promising pathways to optimise floral plantings to more effectively contribute to ecosystem service delivery and ecological intensification of agriculture in the future.","container-title":"Ecology Letters","DOI":"10.1111/ele.13576","ISSN":"1461-0248","issue":"10","language":"en","note":"_eprint: https://onlinelibrary.wiley.com/doi/pdf/10.1111/ele.13576","page":"1488-1498","source":"Wiley Online Library","title":"The effectiveness of flower strips and hedgerows on pest control, pollination services and crop yield: a quantitative synthesis","title-short":"The effectiveness of flower strips and hedgerows on pest control, pollination services and crop yield","volume":"23","author":[{"family":"Albrecht","given":"Matthias"},{"family":"Kleijn","given":"David"},{"family":"Williams","given":"Neal M."},{"family":"Tschumi","given":"Matthias"},{"family":"Blaauw","given":"Brett R."},{"family":"Bommarco","given":"Riccardo"},{"family":"Campbell","given":"Alistair J."},{"family":"Dainese","given":"Matteo"},{"family":"Drummond","given":"Francis A."},{"family":"Entling","given":"Martin H."},{"family":"Ganser","given":"Dominik"},{"family":"Arjen de Groot","given":"G."},{"family":"Goulson","given":"Dave"},{"family":"Grab","given":"Heather"},{"family":"Hamilton","given":"Hannah"},{"family":"Herzog","given":"Felix"},{"family":"Isaacs","given":"Rufus"},{"family":"Jacot","given":"Katja"},{"family":"Jeanneret","given":"Philippe"},{"family":"Jonsson","given":"Mattias"},{"family":"Knop","given":"Eva"},{"family":"Kremen","given":"Claire"},{"family":"Landis","given":"Douglas A."},{"family":"Loeb","given":"Gregory M."},{"family":"Marini","given":"Lorenzo"},{"family":"McKerchar","given":"Megan"},{"family":"Morandin","given":"Lora"},{"family":"Pfister","given":"Sonja C."},{"family":"Potts","given":"Simon G."},{"family":"Rundlöf","given":"Maj"},{"family":"Sardiñas","given":"Hillary"},{"family":"Sciligo","given":"Amber"},{"family":"Thies","given":"Carsten"},{"family":"Tscharntke","given":"Teja"},{"family":"Venturini","given":"Eric"},{"family":"Veromann","given":"Eve"},{"family":"Vollhardt","given":"Ines M.G."},{"family":"Wäckers","given":"Felix"},{"family":"Ward","given":"Kimiora"},{"family":"Westbury","given":"Duncan B."},{"family":"Wilby","given":"Andrew"},{"family":"Woltz","given":"Megan"},{"family":"Wratten","given":"Steve"},{"family":"Sutter","given":"Louis"}],"issued":{"date-parts":[["2020"]]}}},{"id":142,"uris":["http://zotero.org/users/11425136/items/RTLIED4A"],"itemData":{"id":142,"type":"article-journal","container-title":"Nature Plants","DOI":"10.1038/s41477-020-0654-y","ISSN":"2055-0278","issue":"5","journalAbbreviation":"Nat Plants","language":"en","page":"503-510","source":"DOI.org (Crossref)","title":"Global synthesis of effects of plant species diversity on trophic groups and interactions","volume":"6","author":[{"family":"Wan","given":"Nian-Feng"},{"family":"Zheng","given":"Xiang-Rong"},{"family":"Fu","given":"Li-Wan"},{"family":"Kiær","given":"Lars Pødenphant"},{"family":"Zhang","given":"Zhijie"},{"family":"Chaplin-Kramer","given":"Rebecca"},{"family":"Dainese","given":"Matteo"},{"family":"Tan","given":"Jiaqi"},{"family":"Qiu","given":"Shi-Yun"},{"family":"Hu","given":"Yue-Qing"},{"family":"Tian","given":"Wei-Dong"},{"family":"Nie","given":"Ming"},{"family":"Ju","given":"Rui-Ting"},{"family":"Deng","given":"Jian-Yu"},{"family":"Jiang","given":"Jie-Xian"},{"family":"Cai","given":"You-Ming"},{"family":"Li","given":"Bo"}],"issued":{"date-parts":[["2020",5]]}}},{"id":34,"uris":["http://zotero.org/users/11425136/items/PTLSQTWG"],"itemData":{"id":34,"type":"article-journal","abstract":"Abstract\n            \n              \n                \n                  Conventional intensification of agriculture has reduced the availability of resources for pollinators, reducing their diversity and affecting plant pollination, both in natural habitats and croplands. Field margin floral enhancements such as flower strips or restored field margins could counteract these negative effects.\n                \n                \n                  The approaches to assess the success of these management measures generally evaluate separately the pollinator response at the edge and within the crop, as proxies for pollinator conservation and pollination services, respectively.\n                \n                \n                  We performed a meta‐analysis to understand the influence of field margin floral enhancements on the abundance and richness of pollinators at the edge and within the field, and on crop yield.\n           </w:instrText>
      </w:r>
      <w:r w:rsidR="00C65089" w:rsidRPr="00C65089">
        <w:rPr>
          <w:sz w:val="22"/>
          <w:szCs w:val="22"/>
          <w:lang w:val="fr-FR"/>
        </w:rPr>
        <w:instrText xml:space="preserve">     \n                \n                  We estimated 137 effect sizes from 40 studies, all from the northern hemisphere. Overall, the field margin floral enhancements increased the abundance and richness of pollinators at the field edge but had no consistent effect in the interior of the crop fields. Few studies evaluated crop yield, and in these studies no effects were observed.\n                \n                \n                  These results suggest that field margin floral enhancements can constitute a positive conservation action for pollinators but not necessarily associated with pollination ecosystem service.","container-title":"Insect Conservation and Diversity","DOI":"10.1111/icad.12454","ISSN":"1752-458X, 1752-4598","issue":"6","journalAbbreviation":"Insect Conserv Diversity","language":"en","page":"519-531","source":"DOI.org (Crossref)","title":"Field margin floral enhancements increase pollinator diversity at the field edge but show no consistent spillover into the crop field: a meta‐analysis","title-short":"Field margin floral enhancements increase pollinator diversity at the field edge but show no consistent spillover into the crop field","volume":"13","author":[{"family":"Zamorano","given":"Jorge"},{"family":"Bartomeus","given":"Ignasi"},{"family":"Grez","given":"Audrey A."},{"family":"Garibaldi","given":"Lucas Alejandro"}],"issued":{"date-parts":[["2020",11]]}}}],"schema":"https://github.com/citation-style-language/schema/raw/master/csl-citation.json"} </w:instrText>
      </w:r>
      <w:r w:rsidR="00C65089">
        <w:rPr>
          <w:sz w:val="22"/>
          <w:szCs w:val="22"/>
        </w:rPr>
        <w:fldChar w:fldCharType="separate"/>
      </w:r>
      <w:r w:rsidR="00C65089" w:rsidRPr="00C65089">
        <w:rPr>
          <w:sz w:val="22"/>
          <w:lang w:val="fr-FR"/>
        </w:rPr>
        <w:t>(Letourneau et al. 2011; Lichtenberg et al. 2017; Albrecht et al. 2020; Wan et al. 2020; Zamorano et al. 2020)</w:t>
      </w:r>
      <w:r w:rsidR="00C65089">
        <w:rPr>
          <w:sz w:val="22"/>
          <w:szCs w:val="22"/>
        </w:rPr>
        <w:fldChar w:fldCharType="end"/>
      </w:r>
      <w:r w:rsidRPr="00C65089">
        <w:rPr>
          <w:sz w:val="22"/>
          <w:szCs w:val="22"/>
          <w:lang w:val="fr-FR"/>
        </w:rPr>
        <w:t xml:space="preserve"> </w:t>
      </w:r>
      <w:proofErr w:type="spellStart"/>
      <w:r w:rsidRPr="00C65089">
        <w:rPr>
          <w:sz w:val="22"/>
          <w:szCs w:val="22"/>
          <w:lang w:val="fr-FR"/>
        </w:rPr>
        <w:t>were</w:t>
      </w:r>
      <w:proofErr w:type="spellEnd"/>
      <w:r w:rsidRPr="00C65089">
        <w:rPr>
          <w:sz w:val="22"/>
          <w:szCs w:val="22"/>
          <w:lang w:val="fr-FR"/>
        </w:rPr>
        <w:t xml:space="preserve"> </w:t>
      </w:r>
      <w:proofErr w:type="spellStart"/>
      <w:r w:rsidRPr="00C65089">
        <w:rPr>
          <w:sz w:val="22"/>
          <w:szCs w:val="22"/>
          <w:lang w:val="fr-FR"/>
        </w:rPr>
        <w:t>added</w:t>
      </w:r>
      <w:proofErr w:type="spellEnd"/>
      <w:r w:rsidRPr="00C65089">
        <w:rPr>
          <w:sz w:val="22"/>
          <w:szCs w:val="22"/>
          <w:lang w:val="fr-FR"/>
        </w:rPr>
        <w:t xml:space="preserve">. </w:t>
      </w:r>
      <w:r w:rsidRPr="006C00BD">
        <w:rPr>
          <w:sz w:val="22"/>
          <w:szCs w:val="22"/>
        </w:rPr>
        <w:t>After a careful inspection of the content of the articles, 448 articles were kept for data extraction.</w:t>
      </w:r>
    </w:p>
    <w:p w14:paraId="41335DFC" w14:textId="6188399F" w:rsidR="00D72226" w:rsidRPr="006C00BD" w:rsidRDefault="00D72226" w:rsidP="00536BC8">
      <w:pPr>
        <w:pStyle w:val="SMHeading"/>
        <w:numPr>
          <w:ilvl w:val="0"/>
          <w:numId w:val="16"/>
        </w:numPr>
        <w:spacing w:line="360" w:lineRule="auto"/>
        <w:rPr>
          <w:sz w:val="22"/>
          <w:szCs w:val="22"/>
        </w:rPr>
      </w:pPr>
      <w:r w:rsidRPr="006C00BD">
        <w:rPr>
          <w:sz w:val="22"/>
          <w:szCs w:val="22"/>
        </w:rPr>
        <w:t>Data extraction</w:t>
      </w:r>
    </w:p>
    <w:p w14:paraId="66A2CB6A" w14:textId="1F49E686" w:rsidR="00D72226" w:rsidRPr="006C00BD" w:rsidRDefault="00D72226" w:rsidP="00C65089">
      <w:pPr>
        <w:pStyle w:val="SMText"/>
        <w:spacing w:line="360" w:lineRule="auto"/>
        <w:ind w:firstLine="0"/>
        <w:jc w:val="both"/>
        <w:rPr>
          <w:sz w:val="22"/>
          <w:szCs w:val="22"/>
        </w:rPr>
      </w:pPr>
      <w:r w:rsidRPr="006C00BD">
        <w:rPr>
          <w:sz w:val="22"/>
          <w:szCs w:val="22"/>
        </w:rPr>
        <w:t xml:space="preserve">Data belonging to eight response categories were considered for extraction: the abundance of arthropod herbivores, predators, parasitoids, and pollinators, the plant damage level, the predation level, the parasitism level, the pollination level. For arthropod abundance, data such as the number of individuals per trap, per plant, or the percentage of plants infested were recorded. For the pollination service, measurements such as seed or fruit set were considered, while for the predation service, the number or percentage of prey items predated were extracted. For the parasitism service, the number or percentage of </w:t>
      </w:r>
      <w:proofErr w:type="spellStart"/>
      <w:r w:rsidRPr="006C00BD">
        <w:rPr>
          <w:sz w:val="22"/>
          <w:szCs w:val="22"/>
        </w:rPr>
        <w:t>parasited</w:t>
      </w:r>
      <w:proofErr w:type="spellEnd"/>
      <w:r w:rsidRPr="006C00BD">
        <w:rPr>
          <w:sz w:val="22"/>
          <w:szCs w:val="22"/>
        </w:rPr>
        <w:t xml:space="preserve"> hosts were recorded. Values related to the crop such as herbivory damage (damage recorded with scales, percentage of plants with damage, </w:t>
      </w:r>
      <w:r w:rsidR="00C65089" w:rsidRPr="006C00BD">
        <w:rPr>
          <w:sz w:val="22"/>
          <w:szCs w:val="22"/>
        </w:rPr>
        <w:t>etc.</w:t>
      </w:r>
      <w:r w:rsidR="00C65089">
        <w:rPr>
          <w:sz w:val="22"/>
          <w:szCs w:val="22"/>
        </w:rPr>
        <w:t>)</w:t>
      </w:r>
      <w:r w:rsidRPr="006C00BD">
        <w:rPr>
          <w:sz w:val="22"/>
          <w:szCs w:val="22"/>
        </w:rPr>
        <w:t xml:space="preserve"> were also extracted. The mean or median values of the data presented for the control (low level of plant diversity) and treatments (high level of plant diversity) were extracted. If multiple data points were presented over a sampling season, values for each sampling occasion were collected. Data from illustrations were extracted using </w:t>
      </w:r>
      <w:proofErr w:type="spellStart"/>
      <w:r w:rsidRPr="006C00BD">
        <w:rPr>
          <w:sz w:val="22"/>
          <w:szCs w:val="22"/>
        </w:rPr>
        <w:t>WebPlotDigitizer</w:t>
      </w:r>
      <w:proofErr w:type="spellEnd"/>
      <w:r w:rsidRPr="006C00BD">
        <w:rPr>
          <w:sz w:val="22"/>
          <w:szCs w:val="22"/>
        </w:rPr>
        <w:t xml:space="preserve"> </w:t>
      </w:r>
      <w:r w:rsidR="00C65089">
        <w:rPr>
          <w:sz w:val="22"/>
          <w:szCs w:val="22"/>
        </w:rPr>
        <w:fldChar w:fldCharType="begin"/>
      </w:r>
      <w:r w:rsidR="00C65089">
        <w:rPr>
          <w:sz w:val="22"/>
          <w:szCs w:val="22"/>
        </w:rPr>
        <w:instrText xml:space="preserve"> ADDIN ZOTERO_ITEM CSL_CITATION {"citationID":"IF2QWRzw","properties":{"formattedCitation":"(Rohatgi 2015)","plainCitation":"(Rohatgi 2015)","noteIndex":0},"citationItems":[{"id":1054,"uris":["http://zotero.org/users/11425136/items/LXDEGQNZ"],"itemData":{"id":1054,"type":"article-journal","container-title":"Retrieved September","page":"2015","source":"Google Scholar","title":"WebPlotDigitizer Version 3.9","volume":"22","author":[{"family":"Rohatgi","given":"Ankit"}],"issued":{"date-parts":[["2015"]]}}}],"schema":"https://github.com/citation-style-language/schema/raw/master/csl-citation.json"} </w:instrText>
      </w:r>
      <w:r w:rsidR="00C65089">
        <w:rPr>
          <w:sz w:val="22"/>
          <w:szCs w:val="22"/>
        </w:rPr>
        <w:fldChar w:fldCharType="separate"/>
      </w:r>
      <w:r w:rsidR="00C65089" w:rsidRPr="00C65089">
        <w:rPr>
          <w:sz w:val="22"/>
        </w:rPr>
        <w:t>(Rohatgi 2015)</w:t>
      </w:r>
      <w:r w:rsidR="00C65089">
        <w:rPr>
          <w:sz w:val="22"/>
          <w:szCs w:val="22"/>
        </w:rPr>
        <w:fldChar w:fldCharType="end"/>
      </w:r>
      <w:r w:rsidRPr="006C00BD">
        <w:rPr>
          <w:sz w:val="22"/>
          <w:szCs w:val="22"/>
        </w:rPr>
        <w:t xml:space="preserve"> with a three digits precision. For six articles </w:t>
      </w:r>
      <w:r w:rsidR="00C65089">
        <w:rPr>
          <w:sz w:val="22"/>
          <w:szCs w:val="22"/>
        </w:rPr>
        <w:fldChar w:fldCharType="begin"/>
      </w:r>
      <w:r w:rsidR="00C65089">
        <w:rPr>
          <w:sz w:val="22"/>
          <w:szCs w:val="22"/>
        </w:rPr>
        <w:instrText xml:space="preserve"> ADDIN ZOTERO_ITEM CSL_CITATION {"citationID":"oWaK0PGl","properties":{"formattedCitation":"(Dainese et al. 2017; Boetzl et al. 2019; Pecheur et al. 2020; McHugh et al. 2020; Staton et al. 2021; Bishop et al. 2023)","plainCitation":"(Dainese et al. 2017; Boetzl et al. 2019; Pecheur et al. 2020; McHugh et al. 2020; Staton et al. 2021; Bishop et al. 2023)","noteIndex":0},"citationItems":[{"id":1058,"uris":["http://zotero.org/users/11425136/items/RLDYBI24"],"itemData":{"id":1058,"type":"article-journal","abstract":"Summary\n            \n              \n                \n                  Field‐margin diversification through conservation and restoration of hedgerows is becoming a prominent intervention for promoting biodiversity and associated ecosystem services in intensive agricultural landscapes. However, how increasing cover of hedgerows in the landscape can affect ecosystem services has rarely been considered.\n                \n                \n                  Here, we assessed the effect of increased field‐margin complexity at the local scale and increasing cover of hedgerows in the landscape on the provision of pest control, weed control and potential pollination. Locally, three types of field margin were compared as follows: (i) standard grass margin, (ii) simple hedgerow and (iii) complex hedgerow, along two independent gradients of hedgerow cover and arable land cover in the landscape. We performed an exclusion experiment to measure biological control of cereal aphids and assessed natural enemy and pest abundance in the field. We sampled plant weed communities and performed a phytometer experiment to test the effects of pollinators on plant reproductive success.\n                \n                \n                  At the local scale, planting a new hedgerow or improving its structural complexity and vegetation diversity did not enhance the delivery of ecosystem services in the neighbouring field.\n                \n                \n                  However, high cover of hedgerows in the landscape enhanced aphid parasitism (from 12 to 18%) and potential pollination (visitation rate and seed set increased up to 70%) irrespective of local margin quality. The cover of arable land in the landscape reduced the abundance of plant‐dwelling predators and weed diversity, but did not affect the delivery of the investigated ecosystem services.\n                \n                \n                  \n                    Synthesis and applications\n                    . Our results highlight the key importance of the surrounding landscape context, rather than local factors, to the delivery of ecosystem services. This suggests a need for new policies that pay particular attention to the conservation of hedgerows at large scales for promoting multiple ecosystem services in agroecosystems. Specifically, hedgerows can serve to develop a network of ecological corridors that can facilitate the movement of beneficial organisms, such as pollinators and natural enemies in the agricultural matrix. Such interventions may be a ‘low cost–high benefit solution’, since farmers can create or conserve high‐quality habitats taking little or no land from crop production and without the need to change their crop management.\n                  \n                \n              \n            \n          , \n            Our results highlight the key importance of the surrounding landscape context, rather than local factors, to the delivery of ecosystem services. This suggests a need for new policies that pay particular attention to the conservation of hedgerows at large scales for promoting multiple ecosystem services in agroecosystems. Specifically, hedgerows can serve to develop a network of ecological corridors that can facilitate the movement of beneficial organisms, such as pollinators and natural enemies in the agricultural matrix. Such interventions may be a ‘low cost–high benefit solution’, since farmers can create or conserve high‐quality habitats taking little or no land from crop production and without the need to change their crop management.","container-title":"Journal of Applied Ecology","DOI":"10.1111/1365-2664.12747","ISSN":"0021-8901, 1365-2664","issue":"2","journalAbbreviation":"Journal of Applied Ecology","language":"en","license":"http://onlinelibrary.wiley.com/termsAndConditions#vor","page":"380-388","source":"DOI.org (Crossref)","title":"High cover of hedgerows in the landscape supports multiple ecosystem services in &lt;span style=\"font-variant:small-caps;\"&gt;M&lt;/span&gt; editerranean cereal fields","title-short":"High cover of hedgerows in the landscape supports multiple ecosystem services in &lt;span style=\"font-variant","volume":"54","author":[{"family":"Dainese","given":"Matteo"},{"family":"Montecchiari","given":"Silvia"},{"family":"Sitzia","given":"Tommaso"},{"family":"Sigura","given":"Maurizia"},{"family":"Marini","given":"Lorenzo"}],"editor":[{"family":"Kleijn","given":"David"}],"issued":{"date-parts":[["2017",4]]}}},{"id":1056,"uris":["http://zotero.org/users/11425136/items/C7HKJJG2"],"itemData":{"id":1056,"type":"article-journal","abstract":"Abstract\n            \n              \n                \n                  \n                    Rising demands for agricultural products and high environmental costs of intensive agriculture reinforce the need for ecological replacements in agricultural management. In Europe, agri‐environmental schemes (\n                    AES\n                    ) are implemented to enhance species richness and provision of ecosystem services, but the effectiveness of different\n                    AES\n                    types and the spatial extent of possible beneficial effects are little understood. In this study, we assessed the effects of different\n                    AES\n                    types on diversity, species traits and distance‐decay functions of ground‐dwelling predators in adjacent crop fields.\n                  \n                \n                \n                  \n                    On 31 study sites with winter oilseed rape (\n                    OSR\n                    ) adjacent to four types of\n                    AES\n                    differing in management intensity and habitat age, we recorded ground‐dwelling predators (carabid beetles, staphylinid beetles and spiders) during\n                    OSR\n                    growth from April to July. Effects of the\n                    AES\n                    on species richness, activity densities and different traits of these taxa were examined with transects of pitfall traps running along a continuous distance gradient from the\n                    AES\n                    across the habitat border into the\n                    OSR\n                    fields.\n                  \n                \n                \n                  \n                    Ground‐dwelling predator communities benefitted similarly from the different\n                    AES\n                    types. In adjacent\n                    OSR\n                    , activity densities, carabid species richness and the proportion of predatory carabid beetles declined from the field edge, while mean body size increased. Adjacent\n                    AES\n                    increased the proportion of predatory species and simultaneously decreased the proportion of granivorous or frugivorous species in adjacent\n                    OSR\n                    fields.\n                  \n                \n                \n                  \n                    Synthesis and applications\n                    . Our results indicate a beneficial effect of adjacent agri‐environmental schemes (\n                    AES\n                    ) on ground‐dwelling predators in oilseed rape (\n                    OSR\n                    ), mostly irrespective of\n                    agri‐environmental schemes\n                    type and therefore management intensity and habitat age. The short‐ranged distance‐decay effects on natural enemies in\n                    oilseed rape\n                    underpin that a strategic spatial placement of\n                    agri‐environmental schemes\n                    in agricultural landscapes is required to maximize biological pest control. This could help replace anthropogenic input in modern agriculture and secure adequate yields.\n                  \n                \n              \n            \n          , \n            \n              Our results indicate a beneficial effect of adjacent agri‐environmental schemes (\n              AES\n              ) on ground‐dwelling predators in oilseed rape (\n              OSR\n              ), mostly irrespective of\n              agri‐environmental schemes\n              type and therefore management intensity and habitat age. The short‐ranged distance‐decay effects on natural enemies in\n              oilseed rape\n              underpin that a strategic spatial placement of\n              agri‐environmental schemes\n              in agricultural landscapes is required to maximize biological pest control. This could help replace anthropogenic input in modern agriculture and secure adequate yields.","container-title":"Journal of Applied Ecology","DOI":"10.1111/1365-2664.13162","ISSN":"0021-8901, 1365-2664","issue":"1","journalAbbreviation":"Journal of Applied Ecology","language":"en","page":"10-20","source":"DOI.org (Crossref)","title":"Agri‐environmental schemes promote ground‐dwelling predators in adjacent oilseed rape fields: Diversity, species traits and distance‐decay functions","title-short":"Agri‐environmental schemes promote ground‐dwelling predators in adjacent oilseed rape fields","volume":"56","author":[{"family":"Boetzl","given":"Fabian A."},{"family":"Krimmer","given":"Elena"},{"family":"Krauss","given":"Jochen"},{"family":"Steffan‐Dewenter","given":"Ingolf"}],"editor":[{"family":"Lewis","given":"Owen"}],"issued":{"date-parts":[["2019",1]]}}},{"id":1060,"uris":["http://zotero.org/users/11425136/items/EN4MVUQX"],"itemData":{"id":1060,"type":"article-journal","abstract":"Background. Conserving biodiversity and enhancing ecosystem services of interest in intensive agroecosystems is a major challenge. Perennial ecological infrastructures (EIs), such as hedges and grassy strips, and annual EI under Agri-Environment Schemes appear to be good candidates to promote both. Our study focused on carabids, an indicator group responding both at the species and functional trait level to disturbances and supporting pest control and weed seed consumption services. Methods. We compared carabid assemblages at the species and functional traits levels, sampled via pitfall trapping, in three types of EIs (hedges, grassy strips and annual flower strips) and crops. We also tested via GLMs the effect of (1) the type of EI at the crops’ border and (2) the distance from the crops’ border (two meters or 30 meters) on carabid assemblages of crops. Tested variables comprised: activity-density, species richness, functional dispersion metrics (FDis) and proportions of carabids by functional categories (Diet: generalist predators/specialist predators/seed-eaters; Size: small/medium/large/very large; Breeding period: spring/autumn).","container-title":"PeerJ","DOI":"10.7717/peerj.8094","ISSN":"2167-8359","language":"en","license":"https://creativecommons.org/licenses/by/4.0/","page":"e8094","source":"DOI.org (Crossref)","title":"The influence of ecological infrastructures adjacent to crops on their carabid assemblages in intensive agroecosystems","volume":"8","author":[{"family":"Pecheur","given":"Emilie"},{"family":"Piqueray","given":"Julien"},{"family":"Monty","given":"Arnaud"},{"family":"Dufrêne","given":"Marc"},{"family":"Mahy","given":"Grégory"}],"issued":{"date-parts":[["2020",1,10]]}}},{"id":1062,"uris":["http://zotero.org/users/11425136/items/CXIR7ZDN"],"itemData":{"id":1062,"type":"article-journal","abstract":"Abstract\n            \n              \n                \n                  It is widely recognized that landscape factors affect the biological control of weed seeds and insect pests in arable crops, but landscape effects have been found to be inconsistent between studies.\n                \n                \n                  Here, we compare six different types of sentinels (surrogate prey that was either live insects or seeds) to measure the effects of semi‐natural habitats at field to landscape scales on levels of biological control in winter wheat in the UK. Sentinels were located in fields adjacent to three boundary types: grassy margin, hedgerows or woodland to study the local scale effects and in landscapes of varying heterogeneity in study areas of 1‐km radius.\n                \n                \n                  \n                    Overall, mean levels of predation were higher for most insect prey (60.8%) located on the ground compared to the crop (12.2%) and was lower for seeds (5.8%). Predation of sentinels on the ground was attributed to generalist predators. Semi‐natural habitats had both positive and negative effects at field and landscape scales, but the response varied with the sentinel type. Herbaceous linear semi‐natural habitats had positive effects at local scales for\n                    Calliphora vomitoria\n                    and\n                    Sitobion avenae\n                    sentinels and provide evidence that farmers can introduce linear herbaceous features to benefit biological control. In contrast, our distance‐weighted kernel models identified a positive relationship between woody habitats and the predation of\n                    C. vomitoria\n                    and\n                    Chenopodium album\n                    . Natural aphid infestations were lower in landscapes with more semi‐natural habitat.\n                  \n                \n                \n                  \n                    Synthesis and applications\n                    . Sentinels may be sensitive enough to detect variation in levels of biological control influenced by semi‐natural habitats, but this study confirms that landscape effects differ for different types of sentinel prey. This implies that it may not be possible to categorize landscapes as pest suppressive using a single sentinel type. Future studies should therefore consider using multiple sentinels to give a better perspective on predation intensity. The resulting recommendations for farm management include planting woodland adjacent wheat fields infested with seed predators and positioning herbaceous linear habitats adjacent wheat fields infested with\n                    Sitobion avenae\n                    , particularly if fields are bordered by woody liner habitats due to their association with decreased\n                    S. avenae\n                    predation.","container-title":"Journal of Applied Ecology","DOI":"10.1111/1365-2664.13596","ISSN":"0021-8901, 1365-2664","issue":"5","journalAbbreviation":"Journal of Applied Ecology","language":"en","page":"914-925","source":"DOI.org (Crossref)","title":"The contribution of semi‐natural habitats to biological control is dependent on sentinel prey type","volume":"57","author":[{"family":"McHugh","given":"Niamh M."},{"family":"Moreby","given":"Steve"},{"family":"Lof","given":"Marjolein E."},{"family":"Van Der Werf","given":"Wopke"},{"family":"Holland","given":"John M."}],"editor":[{"family":"Corley","given":"Juan"}],"issued":{"date-parts":[["2020",5]]}}},{"id":1066,"uris":["http://zotero.org/users/11425136/items/ZRLL9NF3"],"itemData":{"id":1066,"type":"article-journal","abstract":"Diversified farming systems, for example those that incorporate agroforestry elements, have been proposed as a solution that could maintain and improve multiple ecosystem services. However, habitat diversification in and around arable fields has complex and inconsistent effects on invertebrate crop pests and their natural enemies. This hinders the development of policy recommendations to promote the adoption of such management strategies for the provision of natural pest control services. Here, for the first time, we conducted a trait-based approach to investigate the effect of farming system on plant, invertebrate herbivore, and invertebrate natural enemy communities. We then evaluated this approach by comparing the results to those generated using a traditional taxonomic approach. At each of three working farms, we sampled within an agroforestry field (a diverse farming system comprising alleys of arable crops separated by tree rows), and within a paired non-diversified area of the farm (arable control field). Each of 96 sample points was sampled between 8 and 10 times, yielding 393,318 invertebrate specimens from 344 taxonomic groups. Diet specialization or granivory, lack of a pupal stage, and wing traits in invertebrates, along with late flowering, short flowering duration, creeping habit, and perenniality in plants, were traits more strongly associated with agroforestry crop alleys than the arable control fields. We hypothesize that this is a result of reduced habitat disturbance and increased habitat complexity in the agroforestry system. Taxonomic richness and diversity were higher in the agroforestry crop alleys compared to the arable control fields, but these effects were stronger at lower trophic levels. However, functional trait diversity of natural enemies was significantly higher in the agroforestry crop alleys than the arable control fields, suggesting an improved level of biocontrol, which was not detected by traditional diversity metrics. Of eight key pest taxa, three were significantly suppressed in the agroforestry system, while two were more abundant, compared to the arable control fields. Trait-based approaches can provide a better mechanistic understanding of farming system effects on pests and their natural enemies, therefore we recommend their application and testing in future studies of diversified farming systems.","container-title":"Ecological Applications","DOI":"10.1002/eap.2294","ISSN":"1051-0761, 1939-5582","issue":"4","journalAbbreviation":"Ecological Applications","language":"en","page":"e02294","source":"DOI.org (Crossref)","title":"Evaluating a trait‐based approach to compare natural enemy and pest communities in agroforestry vs. arable systems","volume":"31","author":[{"family":"Staton","given":"Tom"},{"family":"Walters","given":"Richard J."},{"family":"Smith","given":"Jo"},{"family":"Breeze","given":"Tom D."},{"family":"Girling","given":"Robbie D."}],"issued":{"date-parts":[["2021",6]]}}},{"id":1064,"uris":["http://zotero.org/users/11425136/items/U74BGX2L"],"itemData":{"id":1064,"type":"article-journal","abstract":"Agricultural intensification has resulted in a decline in insect biodiversity and threatens the provision of valuable ecosystem services. Agri-environment schemes (AESs) have been implemented in an effort to conserve biodi­ versity on farmland and increase agricultural sustainability, but their effectiveness can vary widely. To better determine which factors influence AES effectiveness, the relative roles of local habitat features, habitat quality, and landscape context need to be further explored. The aim of this study was to determine the most important factors influencing field margin AES effectiveness in commercial apple orchards, in terms of arthropod biodi­ versity conservation and ecosystem service provision. We surveyed wild bees and aphid natural enemies in field margins and apple trees in 20 orchards, ten bordered by hedgerow field margins (an AES) and ten with her­ baceous field margins (no hedgerows present, not an AES). We considered field margin floral resources and the cover of semi-natural habitat in the surrounding landscape as indicators of local habitat quality and landscape context, respectively. We furthermore quantified pollination and pest control as measures of ecosystem service delivery and the relationship between arthropod communities and apple yield (initial and final fruit set) and quality. We found that hedgerow presence strongly predicted both pollinator and natural enemy communities and that these relationships were more pronounced than those with local habitat quality and landscape context. Hedgerows were negatively related to wild bee richness and abundance within the orchard, and positively related to natural enemy richness and abundance at the field margin but not within the orchard. We found no relationships between local and landscape factors and ecosystem service delivery, and no relationship between wild bee communities and apple yield, suggesting that apple is not pollen limited in our study system. There was, however, a negative relationship between natural enemy richness and initial fruit set. We conclude that annually cut hedgerows can benefit the conservation of natural enemies, but have limited arthropod-mediated private benefits for apple production, and likely need to be supplemented with additional local habitat resources for the conservation of wild bees. Our findings indicate that local habitat factors can strongly influence biodiversity regardless of landscape context, but that AESs likely need to be designed with separate biodiversity and ecosystem service targets, and specific taxonomic groups, in mind.","container-title":"Agriculture, Ecosystems &amp; Environment","DOI":"10.1016/j.agee.2023.108364","ISSN":"01678809","journalAbbreviation":"Agriculture, Ecosystems &amp; Environment","language":"en","page":"108364","source":"DOI.org (Crossref)","title":"Hedgerows have contrasting effects on pollinators and natural enemies and limited spillover effects on apple production","volume":"346","author":[{"family":"Bishop","given":"Gabriella A."},{"family":"Fijen","given":"Thijs P.M."},{"family":"Desposato","given":"Brooke N."},{"family":"Scheper","given":"Jeroen"},{"family":"Kleijn","given":"David"}],"issued":{"date-parts":[["2023",4]]}}}],"schema":"https://github.com/citation-style-language/schema/raw/master/csl-citation.json"} </w:instrText>
      </w:r>
      <w:r w:rsidR="00C65089">
        <w:rPr>
          <w:sz w:val="22"/>
          <w:szCs w:val="22"/>
        </w:rPr>
        <w:fldChar w:fldCharType="separate"/>
      </w:r>
      <w:r w:rsidR="00C65089" w:rsidRPr="00C65089">
        <w:rPr>
          <w:sz w:val="22"/>
        </w:rPr>
        <w:t>(Dainese et al. 2017; Boetzl et al. 2019; Pecheur et al. 2020; McHugh et al. 2020; Staton et al. 2021; Bishop et al. 2023)</w:t>
      </w:r>
      <w:r w:rsidR="00C65089">
        <w:rPr>
          <w:sz w:val="22"/>
          <w:szCs w:val="22"/>
        </w:rPr>
        <w:fldChar w:fldCharType="end"/>
      </w:r>
      <w:r w:rsidRPr="006C00BD">
        <w:rPr>
          <w:sz w:val="22"/>
          <w:szCs w:val="22"/>
        </w:rPr>
        <w:t xml:space="preserve"> data were retrieved from raw data available in </w:t>
      </w:r>
      <w:r w:rsidR="005F15B7">
        <w:rPr>
          <w:sz w:val="22"/>
          <w:szCs w:val="22"/>
        </w:rPr>
        <w:t>S</w:t>
      </w:r>
      <w:r w:rsidRPr="006C00BD">
        <w:rPr>
          <w:sz w:val="22"/>
          <w:szCs w:val="22"/>
        </w:rPr>
        <w:t xml:space="preserve">upporting </w:t>
      </w:r>
      <w:r w:rsidR="005F15B7">
        <w:rPr>
          <w:sz w:val="22"/>
          <w:szCs w:val="22"/>
        </w:rPr>
        <w:t>I</w:t>
      </w:r>
      <w:r w:rsidRPr="006C00BD">
        <w:rPr>
          <w:sz w:val="22"/>
          <w:szCs w:val="22"/>
        </w:rPr>
        <w:t>nformation. Mean values were computed directly from the data.</w:t>
      </w:r>
    </w:p>
    <w:p w14:paraId="3BC9D4C9" w14:textId="42D295DA" w:rsidR="00D72226" w:rsidRPr="006C00BD" w:rsidRDefault="00D72226" w:rsidP="00536BC8">
      <w:pPr>
        <w:pStyle w:val="SMHeading"/>
        <w:numPr>
          <w:ilvl w:val="0"/>
          <w:numId w:val="16"/>
        </w:numPr>
        <w:spacing w:line="360" w:lineRule="auto"/>
        <w:rPr>
          <w:sz w:val="22"/>
          <w:szCs w:val="22"/>
        </w:rPr>
      </w:pPr>
      <w:r w:rsidRPr="006C00BD">
        <w:rPr>
          <w:sz w:val="22"/>
          <w:szCs w:val="22"/>
        </w:rPr>
        <w:t>Data cleaning</w:t>
      </w:r>
    </w:p>
    <w:p w14:paraId="57CFCBE1" w14:textId="0DDB0A11" w:rsidR="00D72226" w:rsidRPr="006C00BD" w:rsidRDefault="00D72226" w:rsidP="00C65089">
      <w:pPr>
        <w:pStyle w:val="SMText"/>
        <w:spacing w:line="360" w:lineRule="auto"/>
        <w:ind w:firstLine="0"/>
        <w:jc w:val="both"/>
        <w:rPr>
          <w:sz w:val="22"/>
          <w:szCs w:val="22"/>
        </w:rPr>
      </w:pPr>
      <w:r w:rsidRPr="006C00BD">
        <w:rPr>
          <w:sz w:val="22"/>
          <w:szCs w:val="22"/>
        </w:rPr>
        <w:t>After the data extraction the dataset was cleaned to remove redundant points. When multiple data types that were potentially redundant were extracted from the same study, only one was kept. We tried to keep the most informative and the most commonly used type of data in the dataset. For example, the abundance of arthropods per plant was preferred over the percentage of plants with arthropods.</w:t>
      </w:r>
    </w:p>
    <w:p w14:paraId="3C60C956" w14:textId="23CBAD9B" w:rsidR="00D72226" w:rsidRPr="006C00BD" w:rsidRDefault="00D72226" w:rsidP="00C65089">
      <w:pPr>
        <w:pStyle w:val="SMText"/>
        <w:spacing w:line="360" w:lineRule="auto"/>
        <w:ind w:firstLine="0"/>
        <w:jc w:val="both"/>
        <w:rPr>
          <w:sz w:val="22"/>
          <w:szCs w:val="22"/>
        </w:rPr>
      </w:pPr>
      <w:r w:rsidRPr="006C00BD">
        <w:rPr>
          <w:sz w:val="22"/>
          <w:szCs w:val="22"/>
        </w:rPr>
        <w:t xml:space="preserve"> </w:t>
      </w:r>
    </w:p>
    <w:p w14:paraId="6818B365" w14:textId="6298FE0D" w:rsidR="00D72226" w:rsidRPr="006C00BD" w:rsidRDefault="00D72226" w:rsidP="00C65089">
      <w:pPr>
        <w:pStyle w:val="SMText"/>
        <w:spacing w:line="360" w:lineRule="auto"/>
        <w:ind w:firstLine="0"/>
        <w:jc w:val="both"/>
        <w:rPr>
          <w:sz w:val="22"/>
          <w:szCs w:val="22"/>
        </w:rPr>
      </w:pPr>
      <w:r w:rsidRPr="006C00BD">
        <w:rPr>
          <w:sz w:val="22"/>
          <w:szCs w:val="22"/>
        </w:rPr>
        <w:lastRenderedPageBreak/>
        <w:t>When multiple data points were presented from two or more types of measurements belonging to one of the response categories, Pearson’s correlations between those values were checked. If the correlation was strong (</w:t>
      </w:r>
      <w:r w:rsidRPr="005F15B7">
        <w:rPr>
          <w:i/>
          <w:sz w:val="22"/>
          <w:szCs w:val="22"/>
        </w:rPr>
        <w:t>r</w:t>
      </w:r>
      <w:r w:rsidRPr="006C00BD">
        <w:rPr>
          <w:sz w:val="22"/>
          <w:szCs w:val="22"/>
        </w:rPr>
        <w:t xml:space="preserve"> &gt; 0.5) the mo</w:t>
      </w:r>
      <w:r w:rsidR="005F15B7">
        <w:rPr>
          <w:sz w:val="22"/>
          <w:szCs w:val="22"/>
        </w:rPr>
        <w:t>st</w:t>
      </w:r>
      <w:r w:rsidRPr="006C00BD">
        <w:rPr>
          <w:sz w:val="22"/>
          <w:szCs w:val="22"/>
        </w:rPr>
        <w:t xml:space="preserve"> frequently observed type of measurement in the dataset was kept. In some publications, the same data were presented at different scales. This was the case when, for example, the abundance of a species was presented as an average value over the season and by the abundance on each sampling occasion. In this situation, the data points with the largest number of replicates were preferred if they allowed comparison with other response values when multiple types of data were collected. For example, if the abundance of an herbivore was presented both for the whole season and for each sampling occasion, but the abundance of predators presented only for each sampling occasion, the data collected for each occasion were preferred. Finally, redundant data points can be present if multiple taxonomic levels are presented. This was the case for example when the abundance of both the </w:t>
      </w:r>
      <w:r w:rsidR="005F15B7">
        <w:rPr>
          <w:sz w:val="22"/>
          <w:szCs w:val="22"/>
        </w:rPr>
        <w:t xml:space="preserve">total </w:t>
      </w:r>
      <w:r w:rsidRPr="006C00BD">
        <w:rPr>
          <w:sz w:val="22"/>
          <w:szCs w:val="22"/>
        </w:rPr>
        <w:t>number of predators and the abundance of different species of predators were presented in the same article. In this case, the higher taxonomic level was preferred to have higher abundance values. The preference for some types of data was subordinated to their quality. If redundant values were presented, the data points of higher quality were always preferred even if they did not respect the preferences presented above. The quality of the data was estimated by the quantity of information that can be related to the data points, such as the number of replicates, or the easiness by which the data can be retrieved from an illustration, and more generally of the quantity of information about the experiment (location, sampling occasion, treatment…) that can be retrieved from the data.</w:t>
      </w:r>
    </w:p>
    <w:p w14:paraId="047EF001" w14:textId="29B8A955" w:rsidR="00D72226" w:rsidRPr="006C00BD" w:rsidRDefault="00D72226" w:rsidP="00C65089">
      <w:pPr>
        <w:pStyle w:val="SMText"/>
        <w:spacing w:line="360" w:lineRule="auto"/>
        <w:ind w:firstLine="0"/>
        <w:jc w:val="both"/>
        <w:rPr>
          <w:sz w:val="22"/>
          <w:szCs w:val="22"/>
        </w:rPr>
      </w:pPr>
      <w:r w:rsidRPr="006C00BD">
        <w:rPr>
          <w:sz w:val="22"/>
          <w:szCs w:val="22"/>
        </w:rPr>
        <w:t>A total of 19</w:t>
      </w:r>
      <w:r w:rsidR="00C65089">
        <w:rPr>
          <w:sz w:val="22"/>
          <w:szCs w:val="22"/>
        </w:rPr>
        <w:t>,</w:t>
      </w:r>
      <w:r w:rsidRPr="006C00BD">
        <w:rPr>
          <w:sz w:val="22"/>
          <w:szCs w:val="22"/>
        </w:rPr>
        <w:t xml:space="preserve">421 observations including treatment and control values were extracted from the 449 articles. The list of articles and the number of observations extracted per article is presented in </w:t>
      </w:r>
      <w:r w:rsidR="00C65089">
        <w:rPr>
          <w:sz w:val="22"/>
          <w:szCs w:val="22"/>
        </w:rPr>
        <w:t>the section “References used in the meta-analysis”</w:t>
      </w:r>
      <w:r w:rsidRPr="006C00BD">
        <w:rPr>
          <w:sz w:val="22"/>
          <w:szCs w:val="22"/>
        </w:rPr>
        <w:t>.</w:t>
      </w:r>
    </w:p>
    <w:p w14:paraId="034A1566" w14:textId="77777777" w:rsidR="001A5116" w:rsidRPr="006C00BD" w:rsidRDefault="00D72226" w:rsidP="00536BC8">
      <w:pPr>
        <w:pStyle w:val="SMHeading"/>
        <w:numPr>
          <w:ilvl w:val="0"/>
          <w:numId w:val="16"/>
        </w:numPr>
        <w:spacing w:line="360" w:lineRule="auto"/>
        <w:rPr>
          <w:sz w:val="22"/>
          <w:szCs w:val="22"/>
        </w:rPr>
      </w:pPr>
      <w:r w:rsidRPr="006C00BD">
        <w:rPr>
          <w:sz w:val="22"/>
          <w:szCs w:val="22"/>
        </w:rPr>
        <w:t xml:space="preserve">Variable </w:t>
      </w:r>
      <w:proofErr w:type="spellStart"/>
      <w:r w:rsidRPr="006C00BD">
        <w:rPr>
          <w:sz w:val="22"/>
          <w:szCs w:val="22"/>
        </w:rPr>
        <w:t>standardisation</w:t>
      </w:r>
      <w:proofErr w:type="spellEnd"/>
    </w:p>
    <w:p w14:paraId="5C4F1B89" w14:textId="364F30A4" w:rsidR="00D72226" w:rsidRPr="006C00BD" w:rsidRDefault="00D72226" w:rsidP="00C65089">
      <w:pPr>
        <w:pStyle w:val="SMHeading"/>
        <w:spacing w:line="360" w:lineRule="auto"/>
        <w:jc w:val="both"/>
        <w:rPr>
          <w:sz w:val="22"/>
          <w:szCs w:val="22"/>
        </w:rPr>
      </w:pPr>
      <w:r w:rsidRPr="006C00BD">
        <w:rPr>
          <w:b w:val="0"/>
          <w:sz w:val="22"/>
          <w:szCs w:val="22"/>
        </w:rPr>
        <w:t xml:space="preserve">For each observation several variables were recorded to be used as moderators in the statistical analysis. Some of the variables were initially recorded as numeric values (distance from habitat, </w:t>
      </w:r>
      <w:r w:rsidR="001A5116" w:rsidRPr="006C00BD">
        <w:rPr>
          <w:b w:val="0"/>
          <w:sz w:val="22"/>
          <w:szCs w:val="22"/>
        </w:rPr>
        <w:t>etc.)</w:t>
      </w:r>
      <w:r w:rsidRPr="006C00BD">
        <w:rPr>
          <w:b w:val="0"/>
          <w:sz w:val="22"/>
          <w:szCs w:val="22"/>
        </w:rPr>
        <w:t xml:space="preserve"> but then transformed to categorical values to ensure the availability of a sufficient number of data points per category. When the information was not available in the article, a category “unspecified” was created to avoid the removal of the entire row when running models as it is normally the case when having non-attributed values (NAs). The variables considered are listed in Table S</w:t>
      </w:r>
      <w:r w:rsidR="001A5116" w:rsidRPr="006C00BD">
        <w:rPr>
          <w:b w:val="0"/>
          <w:sz w:val="22"/>
          <w:szCs w:val="22"/>
        </w:rPr>
        <w:t>1</w:t>
      </w:r>
      <w:r w:rsidRPr="006C00BD">
        <w:rPr>
          <w:b w:val="0"/>
          <w:sz w:val="22"/>
          <w:szCs w:val="22"/>
        </w:rPr>
        <w:t>.</w:t>
      </w:r>
    </w:p>
    <w:p w14:paraId="5ABE9460" w14:textId="2244B572" w:rsidR="001A5116" w:rsidRPr="006C00BD" w:rsidRDefault="001A5116" w:rsidP="00C65089">
      <w:pPr>
        <w:spacing w:line="360" w:lineRule="auto"/>
        <w:rPr>
          <w:b/>
          <w:bCs/>
          <w:kern w:val="32"/>
          <w:sz w:val="22"/>
          <w:szCs w:val="22"/>
        </w:rPr>
      </w:pPr>
      <w:r w:rsidRPr="006C00BD">
        <w:rPr>
          <w:sz w:val="22"/>
          <w:szCs w:val="22"/>
        </w:rPr>
        <w:br w:type="page"/>
      </w:r>
    </w:p>
    <w:p w14:paraId="40F19188" w14:textId="1941444E" w:rsidR="00D72226" w:rsidRPr="00AD71EE" w:rsidRDefault="00AD71EE" w:rsidP="00AD71EE">
      <w:pPr>
        <w:pStyle w:val="SMHeading"/>
        <w:numPr>
          <w:ilvl w:val="0"/>
          <w:numId w:val="16"/>
        </w:numPr>
        <w:spacing w:line="360" w:lineRule="auto"/>
        <w:rPr>
          <w:sz w:val="22"/>
          <w:szCs w:val="20"/>
        </w:rPr>
      </w:pPr>
      <w:r w:rsidRPr="00AD71EE">
        <w:rPr>
          <w:sz w:val="22"/>
          <w:szCs w:val="20"/>
        </w:rPr>
        <w:lastRenderedPageBreak/>
        <w:t>Figures</w:t>
      </w:r>
    </w:p>
    <w:p w14:paraId="08CAAD74" w14:textId="77777777" w:rsidR="005D088E" w:rsidRPr="006C00BD" w:rsidRDefault="005D088E" w:rsidP="00C65089">
      <w:pPr>
        <w:pStyle w:val="SMText"/>
        <w:spacing w:line="360" w:lineRule="auto"/>
        <w:ind w:firstLine="0"/>
        <w:rPr>
          <w:sz w:val="20"/>
        </w:rPr>
      </w:pPr>
    </w:p>
    <w:p w14:paraId="49F3457C" w14:textId="78380A98" w:rsidR="00D72226" w:rsidRPr="006C00BD" w:rsidRDefault="00D72226" w:rsidP="00C65089">
      <w:pPr>
        <w:pStyle w:val="SMHeading"/>
        <w:spacing w:line="360" w:lineRule="auto"/>
        <w:rPr>
          <w:b w:val="0"/>
          <w:sz w:val="20"/>
          <w:szCs w:val="20"/>
        </w:rPr>
      </w:pPr>
      <w:r w:rsidRPr="006C00BD">
        <w:rPr>
          <w:noProof/>
        </w:rPr>
        <w:drawing>
          <wp:inline distT="0" distB="0" distL="0" distR="0" wp14:anchorId="411C8C27" wp14:editId="7F398589">
            <wp:extent cx="4352441" cy="463238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721" cy="4636940"/>
                    </a:xfrm>
                    <a:prstGeom prst="rect">
                      <a:avLst/>
                    </a:prstGeom>
                    <a:noFill/>
                    <a:ln>
                      <a:noFill/>
                    </a:ln>
                  </pic:spPr>
                </pic:pic>
              </a:graphicData>
            </a:graphic>
          </wp:inline>
        </w:drawing>
      </w:r>
    </w:p>
    <w:p w14:paraId="18FB6587" w14:textId="1724F963" w:rsidR="00D72226" w:rsidRPr="00AD71EE" w:rsidRDefault="00AD71EE" w:rsidP="00C65089">
      <w:pPr>
        <w:pStyle w:val="SMHeading"/>
        <w:spacing w:line="360" w:lineRule="auto"/>
        <w:rPr>
          <w:b w:val="0"/>
          <w:sz w:val="22"/>
          <w:szCs w:val="20"/>
        </w:rPr>
      </w:pPr>
      <w:r w:rsidRPr="00AD71EE">
        <w:rPr>
          <w:sz w:val="22"/>
          <w:szCs w:val="20"/>
        </w:rPr>
        <w:t>Fig</w:t>
      </w:r>
      <w:r w:rsidR="00B400AA">
        <w:rPr>
          <w:sz w:val="22"/>
          <w:szCs w:val="20"/>
        </w:rPr>
        <w:t>ure</w:t>
      </w:r>
      <w:r w:rsidRPr="00AD71EE">
        <w:rPr>
          <w:sz w:val="22"/>
          <w:szCs w:val="20"/>
        </w:rPr>
        <w:t xml:space="preserve"> S1. </w:t>
      </w:r>
      <w:r w:rsidR="00D72226" w:rsidRPr="00AD71EE">
        <w:rPr>
          <w:rFonts w:ascii="Arial" w:hAnsi="Arial" w:cs="Arial"/>
          <w:b w:val="0"/>
          <w:sz w:val="20"/>
          <w:szCs w:val="20"/>
          <w:lang w:val="en-GB"/>
        </w:rPr>
        <w:t xml:space="preserve">PRISMA report based on </w:t>
      </w:r>
      <w:r w:rsidR="00C65089" w:rsidRPr="00C65089">
        <w:rPr>
          <w:rFonts w:ascii="Arial" w:hAnsi="Arial" w:cs="Arial"/>
          <w:b w:val="0"/>
          <w:sz w:val="20"/>
          <w:szCs w:val="20"/>
        </w:rPr>
        <w:fldChar w:fldCharType="begin"/>
      </w:r>
      <w:r w:rsidR="00C65089" w:rsidRPr="00AD71EE">
        <w:rPr>
          <w:rFonts w:ascii="Arial" w:hAnsi="Arial" w:cs="Arial"/>
          <w:b w:val="0"/>
          <w:sz w:val="20"/>
          <w:szCs w:val="20"/>
          <w:lang w:val="en-GB"/>
        </w:rPr>
        <w:instrText xml:space="preserve"> ADDIN ZOTERO_ITEM CSL_CITATION {"citationID":"umnePM8B","properties":{"formattedCitation":"(Page et al. 2021)","plainCitation":"(Page et al. 2021)","noteIndex":0},"citationItems":[{"id":1067,"uris":["http://zotero.org/users/11425136/items/MKDZV4Z2"],"itemData":{"id":1067,"type":"article-journal","abstract":"The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reviews.","container-title":"BMJ (Clinical research ed.)","DOI":"10.1136/bmj.n71","ISSN":"1756-1833","journalAbbreviation":"BMJ","language":"eng","note":"PMID: 33782057\nPMCID: PMC8005924","page":"n71","source":"PubMed","title":"The PRISMA 2020 statement: an updated guideline for reporting systematic reviews","title-short":"The PRISMA 2020 statement","volume":"372","author":[{"family":"Page","given":"Matthew J."},{"family":"McKenzie","given":"Joanne E."},{"family":"Bossuyt","given":"Patrick M."},{"family":"Boutron","given":"Isabelle"},{"family":"Hoffmann","given":"Tammy C."},{"family":"Mulrow","given":"Cynthia D."},{"family":"Shamseer","given":"Larissa"},{"family":"Tetzlaff","given":"Jennifer M."},{"family":"Akl","given":"Elie A."},{"family":"Brennan","given":"Sue E."},{"family":"Chou","given":"Roger"},{"family":"Glanville","given":"Julie"},{"family":"Grimshaw","given":"Jeremy M."},{"family":"Hróbjartsson","given":"Asbjørn"},{"family":"Lalu","given":"Manoj M."},{"family":"Li","given":"Tianjing"},{"family":"Loder","given":"Elizabeth W."},{"family":"Mayo-Wilson","given":"Evan"},{"family":"McDonald","given":"Steve"},{"family":"McGuinness","given":"Luke A."},{"family":"Stewart","given":"Lesley A."},{"family":"Thomas","given":"James"},{"family":"Tricco","given":"Andrea C."},{"family":"Welch","given":"Vivian A."},{"family":"Whiting","given":"Penny"},{"family":"Moher","given":"David"}],"issued":{"date-parts":[["2021",3,29]]}}}],"schema":"https://github.com/citation-style-language/schema/raw/master/csl-citation.json"} </w:instrText>
      </w:r>
      <w:r w:rsidR="00C65089" w:rsidRPr="00C65089">
        <w:rPr>
          <w:rFonts w:ascii="Arial" w:hAnsi="Arial" w:cs="Arial"/>
          <w:b w:val="0"/>
          <w:sz w:val="20"/>
          <w:szCs w:val="20"/>
        </w:rPr>
        <w:fldChar w:fldCharType="separate"/>
      </w:r>
      <w:r w:rsidR="00C65089" w:rsidRPr="00AD71EE">
        <w:rPr>
          <w:rFonts w:ascii="Arial" w:hAnsi="Arial" w:cs="Arial"/>
          <w:b w:val="0"/>
          <w:sz w:val="20"/>
          <w:lang w:val="en-GB"/>
        </w:rPr>
        <w:t>(Page et al. 2021)</w:t>
      </w:r>
      <w:r w:rsidR="00C65089" w:rsidRPr="00C65089">
        <w:rPr>
          <w:rFonts w:ascii="Arial" w:hAnsi="Arial" w:cs="Arial"/>
          <w:b w:val="0"/>
          <w:sz w:val="20"/>
          <w:szCs w:val="20"/>
        </w:rPr>
        <w:fldChar w:fldCharType="end"/>
      </w:r>
      <w:r w:rsidR="00D72226" w:rsidRPr="00AD71EE">
        <w:rPr>
          <w:rFonts w:ascii="Arial" w:hAnsi="Arial" w:cs="Arial"/>
          <w:b w:val="0"/>
          <w:sz w:val="20"/>
          <w:szCs w:val="20"/>
          <w:lang w:val="en-GB"/>
        </w:rPr>
        <w:t>.</w:t>
      </w:r>
    </w:p>
    <w:p w14:paraId="419317AB" w14:textId="77777777" w:rsidR="009A5287" w:rsidRPr="00AD71EE" w:rsidRDefault="009A5287" w:rsidP="00C65089">
      <w:pPr>
        <w:pStyle w:val="SMcaption"/>
        <w:spacing w:line="360" w:lineRule="auto"/>
        <w:rPr>
          <w:sz w:val="20"/>
          <w:lang w:val="en-GB"/>
        </w:rPr>
      </w:pPr>
    </w:p>
    <w:p w14:paraId="6645A5EB" w14:textId="77777777" w:rsidR="00D72226" w:rsidRPr="00AD71EE" w:rsidRDefault="00D72226" w:rsidP="00C65089">
      <w:pPr>
        <w:spacing w:line="360" w:lineRule="auto"/>
        <w:rPr>
          <w:sz w:val="20"/>
          <w:lang w:val="en-GB"/>
        </w:rPr>
      </w:pPr>
      <w:r w:rsidRPr="00AD71EE">
        <w:rPr>
          <w:b/>
          <w:bCs/>
          <w:sz w:val="20"/>
          <w:lang w:val="en-GB"/>
        </w:rPr>
        <w:br w:type="page"/>
      </w:r>
    </w:p>
    <w:p w14:paraId="50E9F812" w14:textId="77777777" w:rsidR="00280BCD" w:rsidRPr="006C00BD" w:rsidRDefault="00280BCD" w:rsidP="00C65089">
      <w:pPr>
        <w:pStyle w:val="SMHeading"/>
        <w:spacing w:line="360" w:lineRule="auto"/>
        <w:rPr>
          <w:sz w:val="20"/>
          <w:szCs w:val="20"/>
        </w:rPr>
      </w:pPr>
    </w:p>
    <w:p w14:paraId="02A95C9C" w14:textId="77777777" w:rsidR="00280BCD" w:rsidRPr="006C00BD" w:rsidRDefault="00280BCD" w:rsidP="00AD71EE">
      <w:pPr>
        <w:pBdr>
          <w:top w:val="nil"/>
          <w:left w:val="nil"/>
          <w:bottom w:val="nil"/>
          <w:right w:val="nil"/>
          <w:between w:val="nil"/>
        </w:pBdr>
        <w:spacing w:line="360" w:lineRule="auto"/>
        <w:jc w:val="both"/>
        <w:rPr>
          <w:rFonts w:eastAsia="Arial"/>
        </w:rPr>
      </w:pPr>
      <w:r w:rsidRPr="006C00BD">
        <w:rPr>
          <w:rFonts w:eastAsia="Arial"/>
          <w:noProof/>
        </w:rPr>
        <w:drawing>
          <wp:inline distT="114300" distB="114300" distL="114300" distR="114300" wp14:anchorId="188926C5" wp14:editId="7EFEA7FA">
            <wp:extent cx="5305425" cy="6353175"/>
            <wp:effectExtent l="0" t="0" r="9525" b="9525"/>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305726" cy="6353536"/>
                    </a:xfrm>
                    <a:prstGeom prst="rect">
                      <a:avLst/>
                    </a:prstGeom>
                    <a:ln/>
                  </pic:spPr>
                </pic:pic>
              </a:graphicData>
            </a:graphic>
          </wp:inline>
        </w:drawing>
      </w:r>
    </w:p>
    <w:p w14:paraId="365290C8" w14:textId="58EF1CA9" w:rsidR="00280BCD" w:rsidRPr="00AD71EE" w:rsidRDefault="00AD71EE" w:rsidP="00AD71EE">
      <w:pPr>
        <w:pStyle w:val="SMHeading"/>
        <w:spacing w:line="360" w:lineRule="auto"/>
        <w:jc w:val="both"/>
        <w:rPr>
          <w:sz w:val="20"/>
          <w:szCs w:val="20"/>
        </w:rPr>
      </w:pPr>
      <w:r w:rsidRPr="006C00BD">
        <w:rPr>
          <w:sz w:val="20"/>
          <w:szCs w:val="20"/>
        </w:rPr>
        <w:t>Fig</w:t>
      </w:r>
      <w:r w:rsidR="00B400AA">
        <w:rPr>
          <w:sz w:val="20"/>
          <w:szCs w:val="20"/>
        </w:rPr>
        <w:t>ure</w:t>
      </w:r>
      <w:r w:rsidRPr="006C00BD">
        <w:rPr>
          <w:sz w:val="20"/>
          <w:szCs w:val="20"/>
        </w:rPr>
        <w:t xml:space="preserve"> S2. </w:t>
      </w:r>
      <w:r>
        <w:rPr>
          <w:sz w:val="20"/>
          <w:szCs w:val="20"/>
        </w:rPr>
        <w:t xml:space="preserve"> </w:t>
      </w:r>
      <w:r w:rsidR="00280BCD" w:rsidRPr="00AD71EE">
        <w:rPr>
          <w:rFonts w:ascii="Arial" w:eastAsia="Arial" w:hAnsi="Arial" w:cs="Arial"/>
          <w:b w:val="0"/>
          <w:sz w:val="20"/>
          <w:szCs w:val="18"/>
        </w:rPr>
        <w:t>Distribution of the diversification practice categories used in the meta-analysis. A) Percentage (number) of observations used in the analysis per response type for different plant diversification practices. B) Percentage (number) of studies used in the analysis per response type for different plant diversification practices. red = agroforestry, blue = flower resource addition, green = intercropping, yellow = semi-natural habitats.</w:t>
      </w:r>
    </w:p>
    <w:p w14:paraId="19386069" w14:textId="11A8E61B" w:rsidR="00280BCD" w:rsidRPr="006C00BD" w:rsidRDefault="00280BCD" w:rsidP="00C65089">
      <w:pPr>
        <w:spacing w:line="360" w:lineRule="auto"/>
        <w:rPr>
          <w:rFonts w:eastAsia="Arial"/>
          <w:sz w:val="20"/>
          <w:szCs w:val="18"/>
        </w:rPr>
      </w:pPr>
      <w:r w:rsidRPr="006C00BD">
        <w:rPr>
          <w:rFonts w:eastAsia="Arial"/>
          <w:sz w:val="20"/>
          <w:szCs w:val="18"/>
        </w:rPr>
        <w:br w:type="page"/>
      </w:r>
    </w:p>
    <w:p w14:paraId="3AC864E8" w14:textId="53877283" w:rsidR="00280BCD" w:rsidRPr="006C00BD" w:rsidRDefault="00280BCD" w:rsidP="00C65089">
      <w:pPr>
        <w:pBdr>
          <w:top w:val="nil"/>
          <w:left w:val="nil"/>
          <w:bottom w:val="nil"/>
          <w:right w:val="nil"/>
          <w:between w:val="nil"/>
        </w:pBdr>
        <w:spacing w:line="360" w:lineRule="auto"/>
        <w:jc w:val="both"/>
        <w:rPr>
          <w:rFonts w:eastAsia="Arial"/>
          <w:sz w:val="20"/>
          <w:szCs w:val="18"/>
        </w:rPr>
      </w:pPr>
      <w:r w:rsidRPr="006C00BD">
        <w:rPr>
          <w:noProof/>
        </w:rPr>
        <w:lastRenderedPageBreak/>
        <w:drawing>
          <wp:inline distT="0" distB="0" distL="0" distR="0" wp14:anchorId="16385FFB" wp14:editId="7CFE16F8">
            <wp:extent cx="6378702" cy="3333750"/>
            <wp:effectExtent l="0" t="0" r="317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82055" cy="3335502"/>
                    </a:xfrm>
                    <a:prstGeom prst="rect">
                      <a:avLst/>
                    </a:prstGeom>
                    <a:noFill/>
                    <a:ln>
                      <a:noFill/>
                    </a:ln>
                  </pic:spPr>
                </pic:pic>
              </a:graphicData>
            </a:graphic>
          </wp:inline>
        </w:drawing>
      </w:r>
    </w:p>
    <w:p w14:paraId="0E40E7C1" w14:textId="76E168C4" w:rsidR="00280BCD" w:rsidRPr="006C00BD" w:rsidRDefault="00280BCD" w:rsidP="00C65089">
      <w:pPr>
        <w:pBdr>
          <w:top w:val="nil"/>
          <w:left w:val="nil"/>
          <w:bottom w:val="nil"/>
          <w:right w:val="nil"/>
          <w:between w:val="nil"/>
        </w:pBdr>
        <w:spacing w:line="360" w:lineRule="auto"/>
        <w:jc w:val="both"/>
        <w:rPr>
          <w:rFonts w:eastAsia="Arial"/>
          <w:sz w:val="20"/>
          <w:szCs w:val="18"/>
        </w:rPr>
      </w:pPr>
      <w:r w:rsidRPr="006C00BD">
        <w:rPr>
          <w:noProof/>
        </w:rPr>
        <w:drawing>
          <wp:inline distT="0" distB="0" distL="0" distR="0" wp14:anchorId="5B133E17" wp14:editId="669EEBA2">
            <wp:extent cx="6561580" cy="32099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67940" cy="3213036"/>
                    </a:xfrm>
                    <a:prstGeom prst="rect">
                      <a:avLst/>
                    </a:prstGeom>
                    <a:noFill/>
                    <a:ln>
                      <a:noFill/>
                    </a:ln>
                  </pic:spPr>
                </pic:pic>
              </a:graphicData>
            </a:graphic>
          </wp:inline>
        </w:drawing>
      </w:r>
    </w:p>
    <w:p w14:paraId="407D1BB8" w14:textId="21529362" w:rsidR="00280BCD" w:rsidRPr="006C00BD" w:rsidRDefault="00280BCD" w:rsidP="00C65089">
      <w:pPr>
        <w:pBdr>
          <w:top w:val="nil"/>
          <w:left w:val="nil"/>
          <w:bottom w:val="nil"/>
          <w:right w:val="nil"/>
          <w:between w:val="nil"/>
        </w:pBdr>
        <w:spacing w:line="360" w:lineRule="auto"/>
        <w:jc w:val="both"/>
        <w:rPr>
          <w:rFonts w:eastAsia="Arial"/>
          <w:sz w:val="20"/>
          <w:szCs w:val="18"/>
        </w:rPr>
      </w:pPr>
      <w:r w:rsidRPr="006C00BD">
        <w:rPr>
          <w:noProof/>
        </w:rPr>
        <w:lastRenderedPageBreak/>
        <w:drawing>
          <wp:inline distT="0" distB="0" distL="0" distR="0" wp14:anchorId="1329E241" wp14:editId="23333D10">
            <wp:extent cx="6524625" cy="6080393"/>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30375" cy="6085751"/>
                    </a:xfrm>
                    <a:prstGeom prst="rect">
                      <a:avLst/>
                    </a:prstGeom>
                    <a:noFill/>
                    <a:ln>
                      <a:noFill/>
                    </a:ln>
                  </pic:spPr>
                </pic:pic>
              </a:graphicData>
            </a:graphic>
          </wp:inline>
        </w:drawing>
      </w:r>
    </w:p>
    <w:p w14:paraId="77ECCBCC" w14:textId="7FA7F742" w:rsidR="00280BCD" w:rsidRPr="006C00BD" w:rsidRDefault="00280BCD" w:rsidP="00AD71EE">
      <w:pPr>
        <w:pBdr>
          <w:top w:val="nil"/>
          <w:left w:val="nil"/>
          <w:bottom w:val="nil"/>
          <w:right w:val="nil"/>
          <w:between w:val="nil"/>
        </w:pBdr>
        <w:spacing w:line="360" w:lineRule="auto"/>
        <w:jc w:val="both"/>
        <w:rPr>
          <w:rFonts w:eastAsia="Arial"/>
          <w:sz w:val="20"/>
          <w:szCs w:val="18"/>
        </w:rPr>
      </w:pPr>
      <w:r w:rsidRPr="006C00BD">
        <w:rPr>
          <w:noProof/>
        </w:rPr>
        <w:lastRenderedPageBreak/>
        <w:drawing>
          <wp:inline distT="0" distB="0" distL="0" distR="0" wp14:anchorId="3A0E0CA6" wp14:editId="560F73AB">
            <wp:extent cx="6515100" cy="6071516"/>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19928" cy="6076015"/>
                    </a:xfrm>
                    <a:prstGeom prst="rect">
                      <a:avLst/>
                    </a:prstGeom>
                    <a:noFill/>
                    <a:ln>
                      <a:noFill/>
                    </a:ln>
                  </pic:spPr>
                </pic:pic>
              </a:graphicData>
            </a:graphic>
          </wp:inline>
        </w:drawing>
      </w:r>
    </w:p>
    <w:p w14:paraId="7A89C073" w14:textId="75DF12C3" w:rsidR="00280BCD" w:rsidRPr="00AD71EE" w:rsidRDefault="00AD71EE" w:rsidP="00AD71EE">
      <w:pPr>
        <w:spacing w:line="360" w:lineRule="auto"/>
        <w:jc w:val="both"/>
        <w:rPr>
          <w:rFonts w:eastAsia="Arial"/>
          <w:b/>
          <w:sz w:val="20"/>
          <w:szCs w:val="18"/>
        </w:rPr>
      </w:pPr>
      <w:r w:rsidRPr="006C00BD">
        <w:rPr>
          <w:rFonts w:eastAsia="Arial"/>
          <w:b/>
          <w:sz w:val="20"/>
          <w:szCs w:val="18"/>
        </w:rPr>
        <w:t>Fig</w:t>
      </w:r>
      <w:r w:rsidR="00B400AA">
        <w:rPr>
          <w:rFonts w:eastAsia="Arial"/>
          <w:b/>
          <w:sz w:val="20"/>
          <w:szCs w:val="18"/>
        </w:rPr>
        <w:t>ure</w:t>
      </w:r>
      <w:r w:rsidRPr="006C00BD">
        <w:rPr>
          <w:rFonts w:eastAsia="Arial"/>
          <w:b/>
          <w:sz w:val="20"/>
          <w:szCs w:val="18"/>
        </w:rPr>
        <w:t xml:space="preserve"> S3.</w:t>
      </w:r>
      <w:r>
        <w:rPr>
          <w:rFonts w:eastAsia="Arial"/>
          <w:b/>
          <w:sz w:val="20"/>
          <w:szCs w:val="18"/>
        </w:rPr>
        <w:t xml:space="preserve"> </w:t>
      </w:r>
      <w:r w:rsidR="00280BCD" w:rsidRPr="00C65089">
        <w:rPr>
          <w:rFonts w:ascii="Arial" w:eastAsia="Arial" w:hAnsi="Arial" w:cs="Arial"/>
          <w:sz w:val="20"/>
          <w:szCs w:val="18"/>
        </w:rPr>
        <w:t>Percentage (number of observations / studies) used in the analysis per plant diversification practice for each category of management variables. a) agroforestry, b) semi-natural habitats (SNH), c) flower resource addition, and d) intercropping.</w:t>
      </w:r>
    </w:p>
    <w:p w14:paraId="47B4B332" w14:textId="5A7A2B94" w:rsidR="00596700" w:rsidRPr="00596700" w:rsidRDefault="00280BCD" w:rsidP="00596700">
      <w:pPr>
        <w:rPr>
          <w:rFonts w:eastAsia="Arial"/>
          <w:sz w:val="20"/>
          <w:szCs w:val="18"/>
        </w:rPr>
      </w:pPr>
      <w:r w:rsidRPr="006C00BD">
        <w:rPr>
          <w:rFonts w:eastAsia="Arial"/>
          <w:sz w:val="20"/>
          <w:szCs w:val="18"/>
        </w:rPr>
        <w:br w:type="page"/>
      </w:r>
      <w:r w:rsidR="00596700">
        <w:rPr>
          <w:noProof/>
        </w:rPr>
        <w:lastRenderedPageBreak/>
        <w:drawing>
          <wp:inline distT="0" distB="0" distL="0" distR="0" wp14:anchorId="77FC8F17" wp14:editId="79076F9E">
            <wp:extent cx="5486400" cy="6582094"/>
            <wp:effectExtent l="0" t="0" r="0" b="9525"/>
            <wp:docPr id="545871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6582094"/>
                    </a:xfrm>
                    <a:prstGeom prst="rect">
                      <a:avLst/>
                    </a:prstGeom>
                    <a:noFill/>
                  </pic:spPr>
                </pic:pic>
              </a:graphicData>
            </a:graphic>
          </wp:inline>
        </w:drawing>
      </w:r>
    </w:p>
    <w:p w14:paraId="7A4B6BD0" w14:textId="5F6093B3" w:rsidR="00596700" w:rsidRPr="00596700" w:rsidRDefault="00596700" w:rsidP="00596700">
      <w:pPr>
        <w:spacing w:line="360" w:lineRule="auto"/>
        <w:jc w:val="both"/>
        <w:rPr>
          <w:rFonts w:ascii="Arial" w:eastAsia="Arial" w:hAnsi="Arial" w:cs="Arial"/>
          <w:sz w:val="20"/>
          <w:szCs w:val="18"/>
        </w:rPr>
      </w:pPr>
      <w:r w:rsidRPr="00596700">
        <w:rPr>
          <w:rFonts w:ascii="Arial" w:eastAsia="Arial" w:hAnsi="Arial" w:cs="Arial"/>
          <w:b/>
          <w:sz w:val="20"/>
          <w:szCs w:val="18"/>
        </w:rPr>
        <w:t xml:space="preserve">Figure </w:t>
      </w:r>
      <w:r w:rsidRPr="00596700">
        <w:rPr>
          <w:rFonts w:ascii="Arial" w:eastAsia="Arial" w:hAnsi="Arial" w:cs="Arial"/>
          <w:b/>
          <w:sz w:val="20"/>
          <w:szCs w:val="18"/>
        </w:rPr>
        <w:t>S4</w:t>
      </w:r>
      <w:r w:rsidRPr="00596700">
        <w:rPr>
          <w:rFonts w:ascii="Arial" w:eastAsia="Arial" w:hAnsi="Arial" w:cs="Arial"/>
          <w:b/>
          <w:sz w:val="20"/>
          <w:szCs w:val="18"/>
        </w:rPr>
        <w:t>:</w:t>
      </w:r>
      <w:r w:rsidRPr="00596700">
        <w:rPr>
          <w:rFonts w:ascii="Arial" w:eastAsia="Arial" w:hAnsi="Arial" w:cs="Arial"/>
          <w:sz w:val="20"/>
          <w:szCs w:val="18"/>
        </w:rPr>
        <w:t xml:space="preserve"> Funnel plots showing the mean effect size within each study in relation to the inverse square root of the number of replicates in each study. Data are grouped into tests of effects on ‘antagonists and disservices’ (left column) and on ‘</w:t>
      </w:r>
      <w:proofErr w:type="spellStart"/>
      <w:r w:rsidRPr="00596700">
        <w:rPr>
          <w:rFonts w:ascii="Arial" w:eastAsia="Arial" w:hAnsi="Arial" w:cs="Arial"/>
          <w:sz w:val="20"/>
          <w:szCs w:val="18"/>
        </w:rPr>
        <w:t>beneficials</w:t>
      </w:r>
      <w:proofErr w:type="spellEnd"/>
      <w:r w:rsidRPr="00596700">
        <w:rPr>
          <w:rFonts w:ascii="Arial" w:eastAsia="Arial" w:hAnsi="Arial" w:cs="Arial"/>
          <w:sz w:val="20"/>
          <w:szCs w:val="18"/>
        </w:rPr>
        <w:t xml:space="preserve"> and services’ (right column). The dashed vertical lines indicate the mean effect size across all studies within each group, while the ‘funnels’ indicate an expectation of increasing precision in effect size estimates as the number of replicates increases (these are calculated as the effect size plus or minus one over the square root of the number of replicates, multiplied by 1.96). Asymmetry in the spread of points on the funnel </w:t>
      </w:r>
      <w:r w:rsidRPr="00596700">
        <w:rPr>
          <w:rFonts w:ascii="Arial" w:eastAsia="Arial" w:hAnsi="Arial" w:cs="Arial"/>
          <w:sz w:val="20"/>
          <w:szCs w:val="18"/>
        </w:rPr>
        <w:lastRenderedPageBreak/>
        <w:t xml:space="preserve">plots, particularly in the lower part of the plot, can indicate publication bias. We do not see any cause for concern in these plots, with points in the lower parts of each plot typically spread evenly to both left and right of the </w:t>
      </w:r>
      <w:proofErr w:type="spellStart"/>
      <w:r w:rsidRPr="00596700">
        <w:rPr>
          <w:rFonts w:ascii="Arial" w:eastAsia="Arial" w:hAnsi="Arial" w:cs="Arial"/>
          <w:sz w:val="20"/>
          <w:szCs w:val="18"/>
        </w:rPr>
        <w:t>centre</w:t>
      </w:r>
      <w:proofErr w:type="spellEnd"/>
      <w:r w:rsidRPr="00596700">
        <w:rPr>
          <w:rFonts w:ascii="Arial" w:eastAsia="Arial" w:hAnsi="Arial" w:cs="Arial"/>
          <w:sz w:val="20"/>
          <w:szCs w:val="18"/>
        </w:rPr>
        <w:t xml:space="preserve">. Possibly, there are a few missing studies for </w:t>
      </w:r>
      <w:proofErr w:type="spellStart"/>
      <w:r w:rsidRPr="00596700">
        <w:rPr>
          <w:rFonts w:ascii="Arial" w:eastAsia="Arial" w:hAnsi="Arial" w:cs="Arial"/>
          <w:sz w:val="20"/>
          <w:szCs w:val="18"/>
        </w:rPr>
        <w:t>beneficials</w:t>
      </w:r>
      <w:proofErr w:type="spellEnd"/>
      <w:r w:rsidRPr="00596700">
        <w:rPr>
          <w:rFonts w:ascii="Arial" w:eastAsia="Arial" w:hAnsi="Arial" w:cs="Arial"/>
          <w:sz w:val="20"/>
          <w:szCs w:val="18"/>
        </w:rPr>
        <w:t xml:space="preserve"> and antagonists with intercropping and flower resources showing a lower than expected or negative effect size (points with few replicates spread further to the right). However, given most studies in our dataset are further up the plots with more replicates, and where many points are spread to both sides, we do not expect this hint of publication bias to have strongly influenced our results.</w:t>
      </w:r>
    </w:p>
    <w:p w14:paraId="69C5A578" w14:textId="51AB4667" w:rsidR="00596700" w:rsidRDefault="00596700" w:rsidP="00596700">
      <w:pPr>
        <w:spacing w:line="360" w:lineRule="auto"/>
        <w:jc w:val="both"/>
        <w:rPr>
          <w:rFonts w:ascii="Arial" w:eastAsia="Arial" w:hAnsi="Arial" w:cs="Arial"/>
          <w:sz w:val="20"/>
          <w:szCs w:val="18"/>
        </w:rPr>
      </w:pPr>
      <w:r w:rsidRPr="00596700">
        <w:rPr>
          <w:rFonts w:ascii="Arial" w:eastAsia="Arial" w:hAnsi="Arial" w:cs="Arial"/>
          <w:sz w:val="20"/>
          <w:szCs w:val="18"/>
        </w:rPr>
        <w:t xml:space="preserve">NB: two outliers with large effect sizes are not shown (one for flower resources – antagonists and disservices, and the other </w:t>
      </w:r>
      <w:r w:rsidRPr="00596700">
        <w:rPr>
          <w:rFonts w:ascii="Arial" w:eastAsia="Arial" w:hAnsi="Arial" w:cs="Arial"/>
          <w:sz w:val="20"/>
          <w:szCs w:val="18"/>
        </w:rPr>
        <w:t>for;</w:t>
      </w:r>
      <w:r w:rsidRPr="00596700">
        <w:rPr>
          <w:rFonts w:ascii="Arial" w:eastAsia="Arial" w:hAnsi="Arial" w:cs="Arial"/>
          <w:sz w:val="20"/>
          <w:szCs w:val="18"/>
        </w:rPr>
        <w:t xml:space="preserve"> these were caused by studies reporting zero values that were replaced by 0.0001 for log transformation, and thus resulted in apparently large effect sizes. Given the arm-based model does not rely on within-study effect sizes, these points would not have influenced our analyses.</w:t>
      </w:r>
    </w:p>
    <w:p w14:paraId="6AC9CAE9" w14:textId="77777777" w:rsidR="00596700" w:rsidRDefault="00596700" w:rsidP="00596700">
      <w:pPr>
        <w:spacing w:line="360" w:lineRule="auto"/>
        <w:jc w:val="both"/>
        <w:rPr>
          <w:rFonts w:ascii="Arial" w:eastAsia="Arial" w:hAnsi="Arial" w:cs="Arial"/>
          <w:sz w:val="20"/>
          <w:szCs w:val="18"/>
        </w:rPr>
      </w:pPr>
      <w:r>
        <w:rPr>
          <w:rFonts w:ascii="Arial" w:eastAsia="Arial" w:hAnsi="Arial" w:cs="Arial"/>
          <w:sz w:val="20"/>
          <w:szCs w:val="18"/>
        </w:rPr>
        <w:br w:type="page"/>
      </w:r>
    </w:p>
    <w:p w14:paraId="07BCD840" w14:textId="77777777" w:rsidR="00596700" w:rsidRPr="00596700" w:rsidRDefault="00596700" w:rsidP="00596700">
      <w:pPr>
        <w:rPr>
          <w:rFonts w:ascii="Arial" w:eastAsia="Arial" w:hAnsi="Arial" w:cs="Arial"/>
          <w:sz w:val="20"/>
          <w:szCs w:val="18"/>
        </w:rPr>
      </w:pPr>
    </w:p>
    <w:p w14:paraId="69DBCFE1" w14:textId="77777777" w:rsidR="00280BCD" w:rsidRPr="006C00BD" w:rsidRDefault="00280BCD" w:rsidP="00AD71EE">
      <w:pPr>
        <w:spacing w:line="360" w:lineRule="auto"/>
        <w:jc w:val="both"/>
        <w:rPr>
          <w:rFonts w:eastAsia="Arial"/>
          <w:sz w:val="20"/>
          <w:szCs w:val="18"/>
        </w:rPr>
      </w:pPr>
    </w:p>
    <w:p w14:paraId="6C3D9036" w14:textId="780E34A7" w:rsidR="00280BCD" w:rsidRPr="006C00BD" w:rsidRDefault="00280BCD" w:rsidP="00AD71EE">
      <w:pPr>
        <w:spacing w:line="360" w:lineRule="auto"/>
        <w:jc w:val="both"/>
        <w:rPr>
          <w:rFonts w:eastAsia="Arial"/>
          <w:sz w:val="20"/>
          <w:szCs w:val="18"/>
        </w:rPr>
      </w:pPr>
      <w:r w:rsidRPr="006C00BD">
        <w:rPr>
          <w:rFonts w:eastAsia="Arial"/>
          <w:noProof/>
        </w:rPr>
        <w:drawing>
          <wp:inline distT="114300" distB="114300" distL="114300" distR="114300" wp14:anchorId="706D517C" wp14:editId="752305C0">
            <wp:extent cx="6391275" cy="5391150"/>
            <wp:effectExtent l="0" t="0" r="9525"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6391486" cy="5391328"/>
                    </a:xfrm>
                    <a:prstGeom prst="rect">
                      <a:avLst/>
                    </a:prstGeom>
                    <a:ln/>
                  </pic:spPr>
                </pic:pic>
              </a:graphicData>
            </a:graphic>
          </wp:inline>
        </w:drawing>
      </w:r>
    </w:p>
    <w:p w14:paraId="67D8D1EC" w14:textId="0825FAF9" w:rsidR="00280BCD" w:rsidRPr="00AD71EE" w:rsidRDefault="00AD71EE" w:rsidP="00AD71EE">
      <w:pPr>
        <w:spacing w:line="360" w:lineRule="auto"/>
        <w:jc w:val="both"/>
        <w:rPr>
          <w:rFonts w:eastAsia="Arial"/>
          <w:b/>
          <w:sz w:val="20"/>
          <w:szCs w:val="18"/>
        </w:rPr>
      </w:pPr>
      <w:r w:rsidRPr="006C00BD">
        <w:rPr>
          <w:rFonts w:eastAsia="Arial"/>
          <w:b/>
          <w:sz w:val="20"/>
          <w:szCs w:val="18"/>
        </w:rPr>
        <w:t>Fig</w:t>
      </w:r>
      <w:r w:rsidR="00B400AA">
        <w:rPr>
          <w:rFonts w:eastAsia="Arial"/>
          <w:b/>
          <w:sz w:val="20"/>
          <w:szCs w:val="18"/>
        </w:rPr>
        <w:t>ure</w:t>
      </w:r>
      <w:r w:rsidRPr="006C00BD">
        <w:rPr>
          <w:rFonts w:eastAsia="Arial"/>
          <w:b/>
          <w:sz w:val="20"/>
          <w:szCs w:val="18"/>
        </w:rPr>
        <w:t xml:space="preserve"> S</w:t>
      </w:r>
      <w:r w:rsidR="00596700">
        <w:rPr>
          <w:rFonts w:eastAsia="Arial"/>
          <w:b/>
          <w:sz w:val="20"/>
          <w:szCs w:val="18"/>
        </w:rPr>
        <w:t>5</w:t>
      </w:r>
      <w:bookmarkStart w:id="2" w:name="_GoBack"/>
      <w:bookmarkEnd w:id="2"/>
      <w:r w:rsidRPr="006C00BD">
        <w:rPr>
          <w:rFonts w:eastAsia="Arial"/>
          <w:b/>
          <w:sz w:val="20"/>
          <w:szCs w:val="18"/>
        </w:rPr>
        <w:t>.</w:t>
      </w:r>
      <w:r>
        <w:rPr>
          <w:rFonts w:eastAsia="Arial"/>
          <w:b/>
          <w:sz w:val="20"/>
          <w:szCs w:val="18"/>
        </w:rPr>
        <w:t xml:space="preserve"> </w:t>
      </w:r>
      <w:r w:rsidR="00280BCD" w:rsidRPr="00C65089">
        <w:rPr>
          <w:rFonts w:ascii="Arial" w:eastAsia="Arial" w:hAnsi="Arial" w:cs="Arial"/>
          <w:sz w:val="20"/>
          <w:szCs w:val="18"/>
        </w:rPr>
        <w:t xml:space="preserve">Log of ratio (± CI 95 %) of the effect of plant diversification practices on different response types depending on the management variables tested in three diversification practices. No significant effects of variables are observed for the management variables related to agroforestry and consequently are not represented. * denotes significant differences between control and diversified treatments. </w:t>
      </w:r>
    </w:p>
    <w:p w14:paraId="5406D896" w14:textId="77777777" w:rsidR="00280BCD" w:rsidRPr="006C00BD" w:rsidRDefault="00280BCD" w:rsidP="00C65089">
      <w:pPr>
        <w:spacing w:line="360" w:lineRule="auto"/>
        <w:rPr>
          <w:rFonts w:eastAsia="Arial"/>
          <w:sz w:val="20"/>
          <w:szCs w:val="18"/>
        </w:rPr>
      </w:pPr>
    </w:p>
    <w:p w14:paraId="7865C9CA" w14:textId="579C48EC" w:rsidR="00280BCD" w:rsidRPr="006C00BD" w:rsidRDefault="00280BCD" w:rsidP="00C65089">
      <w:pPr>
        <w:spacing w:line="360" w:lineRule="auto"/>
        <w:rPr>
          <w:rFonts w:eastAsia="Arial"/>
          <w:sz w:val="20"/>
          <w:szCs w:val="18"/>
        </w:rPr>
      </w:pPr>
      <w:r w:rsidRPr="006C00BD">
        <w:rPr>
          <w:rFonts w:eastAsia="Arial"/>
          <w:sz w:val="20"/>
          <w:szCs w:val="18"/>
        </w:rPr>
        <w:br w:type="page"/>
      </w:r>
    </w:p>
    <w:p w14:paraId="21A66D5D" w14:textId="3E0C44AB" w:rsidR="00280BCD" w:rsidRPr="00AD71EE" w:rsidRDefault="00AD71EE" w:rsidP="00AD71EE">
      <w:pPr>
        <w:pStyle w:val="Paragraphedeliste"/>
        <w:numPr>
          <w:ilvl w:val="0"/>
          <w:numId w:val="16"/>
        </w:numPr>
        <w:pBdr>
          <w:top w:val="nil"/>
          <w:left w:val="nil"/>
          <w:bottom w:val="nil"/>
          <w:right w:val="nil"/>
          <w:between w:val="nil"/>
        </w:pBdr>
        <w:spacing w:line="360" w:lineRule="auto"/>
        <w:jc w:val="both"/>
        <w:rPr>
          <w:rFonts w:eastAsia="Arial"/>
          <w:b/>
          <w:sz w:val="22"/>
          <w:szCs w:val="18"/>
        </w:rPr>
      </w:pPr>
      <w:r w:rsidRPr="00AD71EE">
        <w:rPr>
          <w:rFonts w:eastAsia="Arial"/>
          <w:b/>
          <w:sz w:val="22"/>
          <w:szCs w:val="18"/>
        </w:rPr>
        <w:lastRenderedPageBreak/>
        <w:t>Tables</w:t>
      </w:r>
    </w:p>
    <w:p w14:paraId="096F52AC" w14:textId="042522BD" w:rsidR="00D72226" w:rsidRPr="00AD71EE" w:rsidRDefault="00015F74" w:rsidP="00AD71EE">
      <w:pPr>
        <w:pStyle w:val="SMHeading"/>
        <w:spacing w:line="360" w:lineRule="auto"/>
        <w:rPr>
          <w:rFonts w:ascii="Arial" w:eastAsia="Arial" w:hAnsi="Arial" w:cs="Arial"/>
          <w:sz w:val="20"/>
          <w:szCs w:val="20"/>
        </w:rPr>
      </w:pPr>
      <w:r w:rsidRPr="00AD71EE">
        <w:rPr>
          <w:rFonts w:ascii="Arial" w:hAnsi="Arial" w:cs="Arial"/>
          <w:sz w:val="20"/>
          <w:szCs w:val="20"/>
        </w:rPr>
        <w:t>Table S</w:t>
      </w:r>
      <w:r w:rsidR="00D72226" w:rsidRPr="00AD71EE">
        <w:rPr>
          <w:rFonts w:ascii="Arial" w:hAnsi="Arial" w:cs="Arial"/>
          <w:sz w:val="20"/>
          <w:szCs w:val="20"/>
        </w:rPr>
        <w:t>1</w:t>
      </w:r>
      <w:r w:rsidRPr="00AD71EE">
        <w:rPr>
          <w:rFonts w:ascii="Arial" w:hAnsi="Arial" w:cs="Arial"/>
          <w:b w:val="0"/>
          <w:sz w:val="20"/>
          <w:szCs w:val="20"/>
        </w:rPr>
        <w:t>.</w:t>
      </w:r>
      <w:r w:rsidR="00B42F9C" w:rsidRPr="00AD71EE">
        <w:rPr>
          <w:rFonts w:ascii="Arial" w:hAnsi="Arial" w:cs="Arial"/>
          <w:b w:val="0"/>
          <w:sz w:val="20"/>
          <w:szCs w:val="20"/>
        </w:rPr>
        <w:t xml:space="preserve"> </w:t>
      </w:r>
      <w:r w:rsidR="00D72226" w:rsidRPr="00AD71EE">
        <w:rPr>
          <w:rFonts w:ascii="Arial" w:eastAsia="Arial" w:hAnsi="Arial" w:cs="Arial"/>
          <w:b w:val="0"/>
          <w:sz w:val="20"/>
          <w:szCs w:val="20"/>
        </w:rPr>
        <w:t>List of the variables collected during the data extraction</w:t>
      </w:r>
    </w:p>
    <w:tbl>
      <w:tblPr>
        <w:tblStyle w:val="Grilledutableau"/>
        <w:tblW w:w="9252" w:type="dxa"/>
        <w:tblLook w:val="04A0" w:firstRow="1" w:lastRow="0" w:firstColumn="1" w:lastColumn="0" w:noHBand="0" w:noVBand="1"/>
      </w:tblPr>
      <w:tblGrid>
        <w:gridCol w:w="2241"/>
        <w:gridCol w:w="2076"/>
        <w:gridCol w:w="4935"/>
      </w:tblGrid>
      <w:tr w:rsidR="00D72226" w:rsidRPr="006C00BD" w14:paraId="10A50C54" w14:textId="77777777" w:rsidTr="00280BCD">
        <w:trPr>
          <w:trHeight w:val="495"/>
        </w:trPr>
        <w:tc>
          <w:tcPr>
            <w:tcW w:w="2241" w:type="dxa"/>
            <w:hideMark/>
          </w:tcPr>
          <w:p w14:paraId="66310983"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b/>
                <w:bCs/>
                <w:sz w:val="18"/>
              </w:rPr>
            </w:pPr>
            <w:r w:rsidRPr="006C00BD">
              <w:rPr>
                <w:rFonts w:ascii="Times New Roman" w:eastAsia="Arial" w:hAnsi="Times New Roman" w:cs="Times New Roman"/>
                <w:b/>
                <w:bCs/>
                <w:sz w:val="18"/>
              </w:rPr>
              <w:t>Variables</w:t>
            </w:r>
          </w:p>
        </w:tc>
        <w:tc>
          <w:tcPr>
            <w:tcW w:w="2076" w:type="dxa"/>
            <w:hideMark/>
          </w:tcPr>
          <w:p w14:paraId="0246E4B3"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b/>
                <w:bCs/>
                <w:sz w:val="18"/>
              </w:rPr>
            </w:pPr>
            <w:r w:rsidRPr="006C00BD">
              <w:rPr>
                <w:rFonts w:ascii="Times New Roman" w:eastAsia="Arial" w:hAnsi="Times New Roman" w:cs="Times New Roman"/>
                <w:b/>
                <w:bCs/>
                <w:sz w:val="18"/>
              </w:rPr>
              <w:t>Diversification practice related</w:t>
            </w:r>
          </w:p>
        </w:tc>
        <w:tc>
          <w:tcPr>
            <w:tcW w:w="4935" w:type="dxa"/>
            <w:hideMark/>
          </w:tcPr>
          <w:p w14:paraId="74C04F09"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b/>
                <w:bCs/>
                <w:sz w:val="18"/>
              </w:rPr>
            </w:pPr>
            <w:r w:rsidRPr="006C00BD">
              <w:rPr>
                <w:rFonts w:ascii="Times New Roman" w:eastAsia="Arial" w:hAnsi="Times New Roman" w:cs="Times New Roman"/>
                <w:b/>
                <w:bCs/>
                <w:sz w:val="18"/>
              </w:rPr>
              <w:t>Description</w:t>
            </w:r>
          </w:p>
        </w:tc>
      </w:tr>
      <w:tr w:rsidR="00D72226" w:rsidRPr="006C00BD" w14:paraId="29FAABFF" w14:textId="77777777" w:rsidTr="00280BCD">
        <w:trPr>
          <w:trHeight w:val="300"/>
        </w:trPr>
        <w:tc>
          <w:tcPr>
            <w:tcW w:w="2241" w:type="dxa"/>
            <w:vMerge w:val="restart"/>
            <w:hideMark/>
          </w:tcPr>
          <w:p w14:paraId="26D6A6E4"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Type of diversification practice</w:t>
            </w:r>
          </w:p>
        </w:tc>
        <w:tc>
          <w:tcPr>
            <w:tcW w:w="2076" w:type="dxa"/>
            <w:vMerge w:val="restart"/>
            <w:hideMark/>
          </w:tcPr>
          <w:p w14:paraId="13CD516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w:t>
            </w:r>
          </w:p>
        </w:tc>
        <w:tc>
          <w:tcPr>
            <w:tcW w:w="4935" w:type="dxa"/>
            <w:hideMark/>
          </w:tcPr>
          <w:p w14:paraId="46B85DF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Four practices were considered: </w:t>
            </w:r>
          </w:p>
        </w:tc>
      </w:tr>
      <w:tr w:rsidR="00D72226" w:rsidRPr="006C00BD" w14:paraId="78814851" w14:textId="77777777" w:rsidTr="00280BCD">
        <w:trPr>
          <w:trHeight w:val="720"/>
        </w:trPr>
        <w:tc>
          <w:tcPr>
            <w:tcW w:w="2241" w:type="dxa"/>
            <w:vMerge/>
            <w:hideMark/>
          </w:tcPr>
          <w:p w14:paraId="10A51D7F"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29694C08"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47969FE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1) Agroforestry includes any crop (perennial or annual) grown in the vicinity of perennial woody plants and includes cropping systems in alley cropping or shaded forest of cacao plantation (see below).</w:t>
            </w:r>
          </w:p>
        </w:tc>
      </w:tr>
      <w:tr w:rsidR="00D72226" w:rsidRPr="006C00BD" w14:paraId="07B804EA" w14:textId="77777777" w:rsidTr="00280BCD">
        <w:trPr>
          <w:trHeight w:val="960"/>
        </w:trPr>
        <w:tc>
          <w:tcPr>
            <w:tcW w:w="2241" w:type="dxa"/>
            <w:vMerge/>
            <w:hideMark/>
          </w:tcPr>
          <w:p w14:paraId="12C03EB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7433C77A"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017885F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2) Flower resources addition includes any condition where the main purpose of the diversification practice is to deliver nectar or pollen to ecosystem service providers. Most often this practice is applied with flower margins or strips, but flowers can also be mixed spatially within the crop. </w:t>
            </w:r>
          </w:p>
        </w:tc>
      </w:tr>
      <w:tr w:rsidR="00D72226" w:rsidRPr="006C00BD" w14:paraId="0D953EE3" w14:textId="77777777" w:rsidTr="00280BCD">
        <w:trPr>
          <w:trHeight w:val="960"/>
        </w:trPr>
        <w:tc>
          <w:tcPr>
            <w:tcW w:w="2241" w:type="dxa"/>
            <w:vMerge/>
            <w:hideMark/>
          </w:tcPr>
          <w:p w14:paraId="39A1309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77D2F7CC"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73793FE6"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3) Intercropping considers all types of plant association where the main purpose of the additional plant species is not to bring flower resources and do not fit in the agroforestry criteria. This includes for example, but not only, trap cropping, relay cropping, strip cropping, pixel planting. </w:t>
            </w:r>
          </w:p>
        </w:tc>
      </w:tr>
      <w:tr w:rsidR="00D72226" w:rsidRPr="006C00BD" w14:paraId="199AD005" w14:textId="77777777" w:rsidTr="00280BCD">
        <w:trPr>
          <w:trHeight w:val="495"/>
        </w:trPr>
        <w:tc>
          <w:tcPr>
            <w:tcW w:w="2241" w:type="dxa"/>
            <w:vMerge/>
            <w:hideMark/>
          </w:tcPr>
          <w:p w14:paraId="319A465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068909B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52476FDA"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4) Semi-natural habitat (SNH) considered experiments with crops alongside hedgerows, forests, grasslands or grassy strips.</w:t>
            </w:r>
          </w:p>
        </w:tc>
      </w:tr>
      <w:tr w:rsidR="00D72226" w:rsidRPr="006C00BD" w14:paraId="6D10488F" w14:textId="77777777" w:rsidTr="00280BCD">
        <w:trPr>
          <w:trHeight w:val="735"/>
        </w:trPr>
        <w:tc>
          <w:tcPr>
            <w:tcW w:w="2241" w:type="dxa"/>
            <w:hideMark/>
          </w:tcPr>
          <w:p w14:paraId="632B10C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Distance between the flowers or SNH and the sampling point</w:t>
            </w:r>
          </w:p>
        </w:tc>
        <w:tc>
          <w:tcPr>
            <w:tcW w:w="2076" w:type="dxa"/>
            <w:hideMark/>
          </w:tcPr>
          <w:p w14:paraId="062F8EA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Flower resources and semi-natural habitats</w:t>
            </w:r>
          </w:p>
        </w:tc>
        <w:tc>
          <w:tcPr>
            <w:tcW w:w="4935" w:type="dxa"/>
            <w:hideMark/>
          </w:tcPr>
          <w:p w14:paraId="697FF614"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This variable is categorised as mixed within the crop (1 m or less) or separated (more than 1 m away from the crop).</w:t>
            </w:r>
          </w:p>
        </w:tc>
      </w:tr>
      <w:tr w:rsidR="00D72226" w:rsidRPr="006C00BD" w14:paraId="204797C2" w14:textId="77777777" w:rsidTr="00280BCD">
        <w:trPr>
          <w:trHeight w:val="315"/>
        </w:trPr>
        <w:tc>
          <w:tcPr>
            <w:tcW w:w="2241" w:type="dxa"/>
            <w:hideMark/>
          </w:tcPr>
          <w:p w14:paraId="24BC9A59"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Number of wildflower species</w:t>
            </w:r>
          </w:p>
        </w:tc>
        <w:tc>
          <w:tcPr>
            <w:tcW w:w="2076" w:type="dxa"/>
            <w:hideMark/>
          </w:tcPr>
          <w:p w14:paraId="727A20AB"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Flower resources</w:t>
            </w:r>
          </w:p>
        </w:tc>
        <w:tc>
          <w:tcPr>
            <w:tcW w:w="4935" w:type="dxa"/>
            <w:hideMark/>
          </w:tcPr>
          <w:p w14:paraId="5244463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equal or less than 5 species, and greater than 5 species.</w:t>
            </w:r>
          </w:p>
        </w:tc>
      </w:tr>
      <w:tr w:rsidR="00D72226" w:rsidRPr="006C00BD" w14:paraId="5605AA10" w14:textId="77777777" w:rsidTr="00280BCD">
        <w:trPr>
          <w:trHeight w:val="315"/>
        </w:trPr>
        <w:tc>
          <w:tcPr>
            <w:tcW w:w="2241" w:type="dxa"/>
            <w:hideMark/>
          </w:tcPr>
          <w:p w14:paraId="7595C22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Size of the flower plot</w:t>
            </w:r>
          </w:p>
        </w:tc>
        <w:tc>
          <w:tcPr>
            <w:tcW w:w="2076" w:type="dxa"/>
            <w:hideMark/>
          </w:tcPr>
          <w:p w14:paraId="0D45E906"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Flower resources</w:t>
            </w:r>
          </w:p>
        </w:tc>
        <w:tc>
          <w:tcPr>
            <w:tcW w:w="4935" w:type="dxa"/>
            <w:hideMark/>
          </w:tcPr>
          <w:p w14:paraId="4E094E1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less than 100 m² and greater than 100 m²</w:t>
            </w:r>
          </w:p>
        </w:tc>
      </w:tr>
      <w:tr w:rsidR="00D72226" w:rsidRPr="006C00BD" w14:paraId="66682D43" w14:textId="77777777" w:rsidTr="00280BCD">
        <w:trPr>
          <w:trHeight w:val="315"/>
        </w:trPr>
        <w:tc>
          <w:tcPr>
            <w:tcW w:w="2241" w:type="dxa"/>
            <w:hideMark/>
          </w:tcPr>
          <w:p w14:paraId="3259FC42"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Age of the flower plot</w:t>
            </w:r>
          </w:p>
        </w:tc>
        <w:tc>
          <w:tcPr>
            <w:tcW w:w="2076" w:type="dxa"/>
            <w:hideMark/>
          </w:tcPr>
          <w:p w14:paraId="412F3EA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Flower resources</w:t>
            </w:r>
          </w:p>
        </w:tc>
        <w:tc>
          <w:tcPr>
            <w:tcW w:w="4935" w:type="dxa"/>
            <w:hideMark/>
          </w:tcPr>
          <w:p w14:paraId="4C835BD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1 year or older.</w:t>
            </w:r>
          </w:p>
        </w:tc>
      </w:tr>
      <w:tr w:rsidR="00D72226" w:rsidRPr="006C00BD" w14:paraId="37EC36A4" w14:textId="77777777" w:rsidTr="00280BCD">
        <w:trPr>
          <w:trHeight w:val="315"/>
        </w:trPr>
        <w:tc>
          <w:tcPr>
            <w:tcW w:w="2241" w:type="dxa"/>
            <w:hideMark/>
          </w:tcPr>
          <w:p w14:paraId="459D4678"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Type of semi-natural habitats</w:t>
            </w:r>
          </w:p>
        </w:tc>
        <w:tc>
          <w:tcPr>
            <w:tcW w:w="2076" w:type="dxa"/>
            <w:hideMark/>
          </w:tcPr>
          <w:p w14:paraId="3DA54F59"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Semi-natural habitats</w:t>
            </w:r>
          </w:p>
        </w:tc>
        <w:tc>
          <w:tcPr>
            <w:tcW w:w="4935" w:type="dxa"/>
            <w:hideMark/>
          </w:tcPr>
          <w:p w14:paraId="09E1D670"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woody (forest, hedgerows) or herbaceous (grassland, grassy strip).</w:t>
            </w:r>
          </w:p>
        </w:tc>
      </w:tr>
      <w:tr w:rsidR="00D72226" w:rsidRPr="006C00BD" w14:paraId="6654E662" w14:textId="77777777" w:rsidTr="00280BCD">
        <w:trPr>
          <w:trHeight w:val="315"/>
        </w:trPr>
        <w:tc>
          <w:tcPr>
            <w:tcW w:w="2241" w:type="dxa"/>
            <w:hideMark/>
          </w:tcPr>
          <w:p w14:paraId="7BF91501"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Type of trees in agroforestry </w:t>
            </w:r>
          </w:p>
        </w:tc>
        <w:tc>
          <w:tcPr>
            <w:tcW w:w="2076" w:type="dxa"/>
            <w:hideMark/>
          </w:tcPr>
          <w:p w14:paraId="1DA7C8F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Agroforestry</w:t>
            </w:r>
          </w:p>
        </w:tc>
        <w:tc>
          <w:tcPr>
            <w:tcW w:w="4935" w:type="dxa"/>
            <w:hideMark/>
          </w:tcPr>
          <w:p w14:paraId="48D6750A"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fruit and nut trees, or diverse (wild and timber trees).</w:t>
            </w:r>
          </w:p>
        </w:tc>
      </w:tr>
      <w:tr w:rsidR="00D72226" w:rsidRPr="006C00BD" w14:paraId="51071E27" w14:textId="77777777" w:rsidTr="00280BCD">
        <w:trPr>
          <w:trHeight w:val="495"/>
        </w:trPr>
        <w:tc>
          <w:tcPr>
            <w:tcW w:w="2241" w:type="dxa"/>
            <w:hideMark/>
          </w:tcPr>
          <w:p w14:paraId="62173110"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Spatial configuration of agroforestry</w:t>
            </w:r>
          </w:p>
        </w:tc>
        <w:tc>
          <w:tcPr>
            <w:tcW w:w="2076" w:type="dxa"/>
            <w:hideMark/>
          </w:tcPr>
          <w:p w14:paraId="2EC22F7F"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Agroforestry</w:t>
            </w:r>
          </w:p>
        </w:tc>
        <w:tc>
          <w:tcPr>
            <w:tcW w:w="4935" w:type="dxa"/>
            <w:hideMark/>
          </w:tcPr>
          <w:p w14:paraId="6AA4D833"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Categorised as alley cropping (lines of trees interplanted with crops), or managed forest (crops growing under the canopy of a forest receiving low maintenance by humans).</w:t>
            </w:r>
          </w:p>
        </w:tc>
      </w:tr>
      <w:tr w:rsidR="00D72226" w:rsidRPr="006C00BD" w14:paraId="1E81FC74" w14:textId="77777777" w:rsidTr="00280BCD">
        <w:trPr>
          <w:trHeight w:val="495"/>
        </w:trPr>
        <w:tc>
          <w:tcPr>
            <w:tcW w:w="2241" w:type="dxa"/>
            <w:hideMark/>
          </w:tcPr>
          <w:p w14:paraId="191CA12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Type of crops</w:t>
            </w:r>
          </w:p>
        </w:tc>
        <w:tc>
          <w:tcPr>
            <w:tcW w:w="2076" w:type="dxa"/>
            <w:hideMark/>
          </w:tcPr>
          <w:p w14:paraId="7A5F069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Intercropping</w:t>
            </w:r>
          </w:p>
        </w:tc>
        <w:tc>
          <w:tcPr>
            <w:tcW w:w="4935" w:type="dxa"/>
            <w:hideMark/>
          </w:tcPr>
          <w:p w14:paraId="2A8DD71B"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Plot having only cash-crops (plants that are harvested and commercialised) or association with a companion plant (plant providing a service but not used for commercial purpose).</w:t>
            </w:r>
          </w:p>
        </w:tc>
      </w:tr>
      <w:tr w:rsidR="00D72226" w:rsidRPr="006C00BD" w14:paraId="5B4D636D" w14:textId="77777777" w:rsidTr="00280BCD">
        <w:trPr>
          <w:trHeight w:val="300"/>
        </w:trPr>
        <w:tc>
          <w:tcPr>
            <w:tcW w:w="2241" w:type="dxa"/>
            <w:vMerge w:val="restart"/>
            <w:hideMark/>
          </w:tcPr>
          <w:p w14:paraId="7BBEB937"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Spatial configuration of intercropping</w:t>
            </w:r>
          </w:p>
        </w:tc>
        <w:tc>
          <w:tcPr>
            <w:tcW w:w="2076" w:type="dxa"/>
            <w:vMerge w:val="restart"/>
            <w:hideMark/>
          </w:tcPr>
          <w:p w14:paraId="5ED4735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Intercropping</w:t>
            </w:r>
          </w:p>
        </w:tc>
        <w:tc>
          <w:tcPr>
            <w:tcW w:w="4935" w:type="dxa"/>
            <w:hideMark/>
          </w:tcPr>
          <w:p w14:paraId="17596391"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The spatial configuration is categorised between:</w:t>
            </w:r>
          </w:p>
        </w:tc>
      </w:tr>
      <w:tr w:rsidR="00D72226" w:rsidRPr="006C00BD" w14:paraId="16233B21" w14:textId="77777777" w:rsidTr="00280BCD">
        <w:trPr>
          <w:trHeight w:val="480"/>
        </w:trPr>
        <w:tc>
          <w:tcPr>
            <w:tcW w:w="2241" w:type="dxa"/>
            <w:vMerge/>
            <w:hideMark/>
          </w:tcPr>
          <w:p w14:paraId="42EC3DD0"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7C0C4002"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7D0078B2"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1) border cropping, also called perimeter cropping, which is often observed for trap-crop systems,</w:t>
            </w:r>
          </w:p>
        </w:tc>
      </w:tr>
      <w:tr w:rsidR="00D72226" w:rsidRPr="006C00BD" w14:paraId="6433CC3F" w14:textId="77777777" w:rsidTr="00280BCD">
        <w:trPr>
          <w:trHeight w:val="480"/>
        </w:trPr>
        <w:tc>
          <w:tcPr>
            <w:tcW w:w="2241" w:type="dxa"/>
            <w:vMerge/>
            <w:hideMark/>
          </w:tcPr>
          <w:p w14:paraId="60A01B35"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79409F43"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3F2AB378"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2) mixed cropping when plant species are sown without specific spatial pattern or alternated at a very fine scale (pixel cropping), </w:t>
            </w:r>
          </w:p>
        </w:tc>
      </w:tr>
      <w:tr w:rsidR="00D72226" w:rsidRPr="006C00BD" w14:paraId="6206369D" w14:textId="77777777" w:rsidTr="00280BCD">
        <w:trPr>
          <w:trHeight w:val="495"/>
        </w:trPr>
        <w:tc>
          <w:tcPr>
            <w:tcW w:w="2241" w:type="dxa"/>
            <w:vMerge/>
            <w:hideMark/>
          </w:tcPr>
          <w:p w14:paraId="322F7BEE"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2076" w:type="dxa"/>
            <w:vMerge/>
            <w:hideMark/>
          </w:tcPr>
          <w:p w14:paraId="62B23AA4"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p>
        </w:tc>
        <w:tc>
          <w:tcPr>
            <w:tcW w:w="4935" w:type="dxa"/>
            <w:hideMark/>
          </w:tcPr>
          <w:p w14:paraId="6A8095F8"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3) and strip cropping including systems with different strips allowing mechanical harvest or alternate rows of different species.</w:t>
            </w:r>
          </w:p>
        </w:tc>
      </w:tr>
      <w:tr w:rsidR="00D72226" w:rsidRPr="006C00BD" w14:paraId="39DB29E7" w14:textId="77777777" w:rsidTr="00280BCD">
        <w:trPr>
          <w:trHeight w:val="495"/>
        </w:trPr>
        <w:tc>
          <w:tcPr>
            <w:tcW w:w="2241" w:type="dxa"/>
            <w:hideMark/>
          </w:tcPr>
          <w:p w14:paraId="236A17FA"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Number of plant species</w:t>
            </w:r>
          </w:p>
        </w:tc>
        <w:tc>
          <w:tcPr>
            <w:tcW w:w="2076" w:type="dxa"/>
            <w:hideMark/>
          </w:tcPr>
          <w:p w14:paraId="38269DB9"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Intercropping</w:t>
            </w:r>
          </w:p>
        </w:tc>
        <w:tc>
          <w:tcPr>
            <w:tcW w:w="4935" w:type="dxa"/>
            <w:hideMark/>
          </w:tcPr>
          <w:p w14:paraId="3C7D9C1F"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 xml:space="preserve">The number of plant species grown simultaneously categorised as </w:t>
            </w:r>
            <w:proofErr w:type="spellStart"/>
            <w:r w:rsidRPr="006C00BD">
              <w:rPr>
                <w:rFonts w:ascii="Times New Roman" w:eastAsia="Arial" w:hAnsi="Times New Roman" w:cs="Times New Roman"/>
                <w:sz w:val="18"/>
              </w:rPr>
              <w:t>bicrop</w:t>
            </w:r>
            <w:proofErr w:type="spellEnd"/>
            <w:r w:rsidRPr="006C00BD">
              <w:rPr>
                <w:rFonts w:ascii="Times New Roman" w:eastAsia="Arial" w:hAnsi="Times New Roman" w:cs="Times New Roman"/>
                <w:sz w:val="18"/>
              </w:rPr>
              <w:t xml:space="preserve">, </w:t>
            </w:r>
            <w:proofErr w:type="spellStart"/>
            <w:r w:rsidRPr="006C00BD">
              <w:rPr>
                <w:rFonts w:ascii="Times New Roman" w:eastAsia="Arial" w:hAnsi="Times New Roman" w:cs="Times New Roman"/>
                <w:sz w:val="18"/>
              </w:rPr>
              <w:t>tricrop</w:t>
            </w:r>
            <w:proofErr w:type="spellEnd"/>
            <w:r w:rsidRPr="006C00BD">
              <w:rPr>
                <w:rFonts w:ascii="Times New Roman" w:eastAsia="Arial" w:hAnsi="Times New Roman" w:cs="Times New Roman"/>
                <w:sz w:val="18"/>
              </w:rPr>
              <w:t xml:space="preserve"> and more than 3 crops.</w:t>
            </w:r>
          </w:p>
        </w:tc>
      </w:tr>
      <w:tr w:rsidR="00D72226" w:rsidRPr="006C00BD" w14:paraId="00CC7F06" w14:textId="77777777" w:rsidTr="00280BCD">
        <w:trPr>
          <w:trHeight w:val="315"/>
        </w:trPr>
        <w:tc>
          <w:tcPr>
            <w:tcW w:w="2241" w:type="dxa"/>
            <w:hideMark/>
          </w:tcPr>
          <w:p w14:paraId="27E35830"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Sowing time</w:t>
            </w:r>
          </w:p>
        </w:tc>
        <w:tc>
          <w:tcPr>
            <w:tcW w:w="2076" w:type="dxa"/>
            <w:hideMark/>
          </w:tcPr>
          <w:p w14:paraId="57BAF809"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Intercropping</w:t>
            </w:r>
          </w:p>
        </w:tc>
        <w:tc>
          <w:tcPr>
            <w:tcW w:w="4935" w:type="dxa"/>
            <w:hideMark/>
          </w:tcPr>
          <w:p w14:paraId="3ACA5FDD" w14:textId="77777777" w:rsidR="00D72226" w:rsidRPr="006C00BD" w:rsidRDefault="00D72226" w:rsidP="00C65089">
            <w:pPr>
              <w:pBdr>
                <w:top w:val="nil"/>
                <w:left w:val="nil"/>
                <w:bottom w:val="nil"/>
                <w:right w:val="nil"/>
                <w:between w:val="nil"/>
              </w:pBdr>
              <w:spacing w:line="360" w:lineRule="auto"/>
              <w:jc w:val="both"/>
              <w:rPr>
                <w:rFonts w:ascii="Times New Roman" w:eastAsia="Arial" w:hAnsi="Times New Roman" w:cs="Times New Roman"/>
                <w:sz w:val="18"/>
              </w:rPr>
            </w:pPr>
            <w:r w:rsidRPr="006C00BD">
              <w:rPr>
                <w:rFonts w:ascii="Times New Roman" w:eastAsia="Arial" w:hAnsi="Times New Roman" w:cs="Times New Roman"/>
                <w:sz w:val="18"/>
              </w:rPr>
              <w:t>If the secondary crops are sown or planted before, at the same time or after the main crop.</w:t>
            </w:r>
          </w:p>
        </w:tc>
      </w:tr>
    </w:tbl>
    <w:p w14:paraId="256AB35A" w14:textId="77777777" w:rsidR="00D72226" w:rsidRPr="006C00BD" w:rsidRDefault="00D72226" w:rsidP="00C65089">
      <w:pPr>
        <w:pStyle w:val="SMHeading"/>
        <w:spacing w:line="360" w:lineRule="auto"/>
        <w:rPr>
          <w:sz w:val="20"/>
        </w:rPr>
      </w:pPr>
    </w:p>
    <w:p w14:paraId="1B4BA4F4" w14:textId="50755B50" w:rsidR="00D72226" w:rsidRPr="006C00BD" w:rsidRDefault="00D72226" w:rsidP="00C65089">
      <w:pPr>
        <w:spacing w:line="360" w:lineRule="auto"/>
        <w:rPr>
          <w:sz w:val="20"/>
        </w:rPr>
      </w:pPr>
      <w:r w:rsidRPr="006C00BD">
        <w:rPr>
          <w:sz w:val="20"/>
        </w:rPr>
        <w:br w:type="page"/>
      </w:r>
    </w:p>
    <w:p w14:paraId="2359A9EC" w14:textId="0BB32DAF" w:rsidR="00D72226" w:rsidRPr="00C65089" w:rsidRDefault="00D72226" w:rsidP="00C65089">
      <w:pPr>
        <w:pStyle w:val="SMcaption"/>
        <w:spacing w:line="360" w:lineRule="auto"/>
        <w:rPr>
          <w:rFonts w:ascii="Arial" w:eastAsia="Arial" w:hAnsi="Arial" w:cs="Arial"/>
          <w:sz w:val="20"/>
        </w:rPr>
      </w:pPr>
      <w:r w:rsidRPr="006C00BD">
        <w:rPr>
          <w:b/>
          <w:sz w:val="20"/>
        </w:rPr>
        <w:lastRenderedPageBreak/>
        <w:t>Table S2</w:t>
      </w:r>
      <w:r w:rsidR="00AD71EE">
        <w:rPr>
          <w:b/>
          <w:sz w:val="20"/>
        </w:rPr>
        <w:t xml:space="preserve">. </w:t>
      </w:r>
      <w:r w:rsidRPr="00C65089">
        <w:rPr>
          <w:rFonts w:ascii="Arial" w:eastAsia="Arial" w:hAnsi="Arial" w:cs="Arial"/>
          <w:sz w:val="20"/>
        </w:rPr>
        <w:t>Results of the ANOVAs performed on the models (see Fig. 1) used in the meta-analysis. Bold cells represent significant results.</w:t>
      </w:r>
    </w:p>
    <w:p w14:paraId="6BD9A9FB" w14:textId="77777777" w:rsidR="00D72226" w:rsidRPr="006C00BD" w:rsidRDefault="00D72226" w:rsidP="00C65089">
      <w:pPr>
        <w:pStyle w:val="SMcaption"/>
        <w:spacing w:line="360" w:lineRule="auto"/>
        <w:rPr>
          <w:rFonts w:eastAsia="Arial"/>
          <w:sz w:val="20"/>
        </w:rPr>
      </w:pPr>
    </w:p>
    <w:tbl>
      <w:tblPr>
        <w:tblW w:w="10853" w:type="dxa"/>
        <w:tblInd w:w="-1139" w:type="dxa"/>
        <w:tblBorders>
          <w:top w:val="nil"/>
          <w:left w:val="nil"/>
          <w:bottom w:val="nil"/>
          <w:right w:val="nil"/>
          <w:insideH w:val="nil"/>
          <w:insideV w:val="nil"/>
        </w:tblBorders>
        <w:tblLayout w:type="fixed"/>
        <w:tblLook w:val="0600" w:firstRow="0" w:lastRow="0" w:firstColumn="0" w:lastColumn="0" w:noHBand="1" w:noVBand="1"/>
      </w:tblPr>
      <w:tblGrid>
        <w:gridCol w:w="2131"/>
        <w:gridCol w:w="1210"/>
        <w:gridCol w:w="1212"/>
        <w:gridCol w:w="1210"/>
        <w:gridCol w:w="1210"/>
        <w:gridCol w:w="1222"/>
        <w:gridCol w:w="1433"/>
        <w:gridCol w:w="1210"/>
        <w:gridCol w:w="15"/>
      </w:tblGrid>
      <w:tr w:rsidR="00D72226" w:rsidRPr="006C00BD" w14:paraId="0B92762A" w14:textId="77777777" w:rsidTr="00C65089">
        <w:trPr>
          <w:trHeight w:val="740"/>
        </w:trPr>
        <w:tc>
          <w:tcPr>
            <w:tcW w:w="213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78872C"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Response aggregation</w:t>
            </w:r>
          </w:p>
        </w:tc>
        <w:tc>
          <w:tcPr>
            <w:tcW w:w="2422"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E67170" w14:textId="77777777" w:rsidR="00D72226" w:rsidRPr="00C65089" w:rsidRDefault="00D72226" w:rsidP="00C65089">
            <w:pPr>
              <w:spacing w:line="360" w:lineRule="auto"/>
              <w:jc w:val="center"/>
              <w:rPr>
                <w:rFonts w:eastAsia="Arial"/>
                <w:b/>
                <w:sz w:val="18"/>
                <w:szCs w:val="18"/>
              </w:rPr>
            </w:pPr>
            <w:r w:rsidRPr="00C65089">
              <w:rPr>
                <w:rFonts w:eastAsia="Arial"/>
                <w:b/>
                <w:sz w:val="18"/>
                <w:szCs w:val="18"/>
              </w:rPr>
              <w:t>Beneficial and services / Antagonists and disservices</w:t>
            </w:r>
          </w:p>
        </w:tc>
        <w:tc>
          <w:tcPr>
            <w:tcW w:w="6300" w:type="dxa"/>
            <w:gridSpan w:val="6"/>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39A8FFB" w14:textId="77777777" w:rsidR="00D72226" w:rsidRPr="00C65089" w:rsidRDefault="00D72226" w:rsidP="00C65089">
            <w:pPr>
              <w:spacing w:line="360" w:lineRule="auto"/>
              <w:jc w:val="center"/>
              <w:rPr>
                <w:rFonts w:eastAsia="Arial"/>
                <w:b/>
                <w:sz w:val="18"/>
                <w:szCs w:val="18"/>
              </w:rPr>
            </w:pPr>
            <w:r w:rsidRPr="00C65089">
              <w:rPr>
                <w:rFonts w:eastAsia="Arial"/>
                <w:b/>
                <w:sz w:val="18"/>
                <w:szCs w:val="18"/>
              </w:rPr>
              <w:t>Separated response types</w:t>
            </w:r>
          </w:p>
        </w:tc>
      </w:tr>
      <w:tr w:rsidR="00D72226" w:rsidRPr="006C00BD" w14:paraId="75C5F491"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CCBE4FB"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Practices aggregation</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51C1BBF"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All practices together</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2612875"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Separated practices</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459E195"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Separated practices</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72FB2C7"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Agroforestry</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BEA1EC2"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Flower resource</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FAAE798"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Intercropping</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A839A5F" w14:textId="77777777" w:rsidR="00D72226" w:rsidRPr="00C65089" w:rsidRDefault="00D72226" w:rsidP="00C65089">
            <w:pPr>
              <w:spacing w:line="360" w:lineRule="auto"/>
              <w:jc w:val="both"/>
              <w:rPr>
                <w:rFonts w:eastAsia="Arial"/>
                <w:b/>
                <w:sz w:val="18"/>
                <w:szCs w:val="18"/>
              </w:rPr>
            </w:pPr>
            <w:r w:rsidRPr="00C65089">
              <w:rPr>
                <w:rFonts w:eastAsia="Arial"/>
                <w:b/>
                <w:sz w:val="18"/>
                <w:szCs w:val="18"/>
              </w:rPr>
              <w:t>Semi-natural habitat</w:t>
            </w:r>
          </w:p>
        </w:tc>
      </w:tr>
      <w:tr w:rsidR="00D72226" w:rsidRPr="006C00BD" w14:paraId="099854F6" w14:textId="77777777" w:rsidTr="00C65089">
        <w:trPr>
          <w:gridAfter w:val="1"/>
          <w:wAfter w:w="15" w:type="dxa"/>
          <w:trHeight w:val="5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644588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7045A8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D12BF93"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34C108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823696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1907EFF"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F64D4E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A487AB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1984A59A" w14:textId="77777777" w:rsidTr="00C65089">
        <w:trPr>
          <w:gridAfter w:val="1"/>
          <w:wAfter w:w="15" w:type="dxa"/>
          <w:trHeight w:val="5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40027B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Variables</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500D38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1</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BC09EE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2</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79D56E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A1C3C0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4</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837BD7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5</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D6C9821"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6</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A152DA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Model 7</w:t>
            </w:r>
          </w:p>
        </w:tc>
      </w:tr>
      <w:tr w:rsidR="00D72226" w:rsidRPr="006C00BD" w14:paraId="61E8CC7D"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0D1C144" w14:textId="77777777" w:rsidR="00D72226" w:rsidRPr="006C00BD" w:rsidRDefault="00D72226" w:rsidP="00C65089">
            <w:pPr>
              <w:spacing w:line="360" w:lineRule="auto"/>
              <w:jc w:val="both"/>
              <w:rPr>
                <w:rFonts w:eastAsia="Arial"/>
                <w:sz w:val="18"/>
                <w:szCs w:val="18"/>
              </w:rPr>
            </w:pPr>
            <w:r w:rsidRPr="006C00BD">
              <w:rPr>
                <w:rFonts w:eastAsia="Arial"/>
                <w:sz w:val="18"/>
                <w:szCs w:val="18"/>
              </w:rPr>
              <w:t>Response type</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9F009A5"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28, df = 1, p &lt; 0.001</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8AEE4C4"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28.7, df = 1,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88B2DA4"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41.4, df = 7,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E62986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5 df = 6, p = 0.547</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77DD7F4"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30.35, df = 7, p &lt; 0.001</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D25D05"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28.87, df = 7,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475732"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22.48, df = 7, p = 0.002</w:t>
            </w:r>
          </w:p>
        </w:tc>
      </w:tr>
      <w:tr w:rsidR="00D72226" w:rsidRPr="006C00BD" w14:paraId="428D2F60"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AF9C18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Diversification practice</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A8179D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0.8, df = 1, p = 0.371</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42CBA6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9.2, df = 4, p = 0.057</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2F7ADD9"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13, df = 4, p = 0.011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2D55319"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CE1A3E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75982C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FFAC61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1B552628"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D5F4E5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C4E337C"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833.3, df = 488, p &lt; 0.001</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F19CC87"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810.4, df = 448,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BC81E87"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917.1, df = 448,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747DF76"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71.6, df = 26, p &lt; 0.001</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B54711B"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150.3 df = 105, p = 0.003</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183FE56"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680.3 df = 287,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FC107CE"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91.76, df = 35, p &lt; 0.001</w:t>
            </w:r>
          </w:p>
        </w:tc>
      </w:tr>
      <w:tr w:rsidR="00D72226" w:rsidRPr="006C00BD" w14:paraId="25D564EA"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CA5887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Response type: Diversification practice</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5716FC8"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105.6, df = 1, p &lt; 0.001</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BDA4617"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94.8, df = 4,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FBFB28E"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138.7, df = 28,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831AF0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8.6, df = 7, p = 0.284</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5147749"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20.4, df = 8, p &lt; 0.001</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D30F9E4"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67.7, df = 8,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AEF9FE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14.26, df = 8, p = 0.075</w:t>
            </w:r>
          </w:p>
        </w:tc>
      </w:tr>
      <w:tr w:rsidR="00D72226" w:rsidRPr="006C00BD" w14:paraId="70D52664"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68D274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Agroforestry configuration</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027653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263CEB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9FD4E1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5AAAB5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3.05, df = 6, p = 0.803</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F7D002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97BAB3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863342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1B2298B2"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C2EC33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Type of trees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902E1D3"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E9E503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A79264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4BE3DC5"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11.1, df = 4, p = 0.025</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1548F7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410034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55B504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064E9EAA"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948984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Distance from flowers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1072E7F"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B8F68E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7B8F4B6"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D90AED3"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28FC426"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23.5, df = 16, p = 0.1</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064A41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FF71E3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0151FB74"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1299735" w14:textId="77777777" w:rsidR="00D72226" w:rsidRPr="006C00BD" w:rsidRDefault="00D72226" w:rsidP="00C65089">
            <w:pPr>
              <w:spacing w:line="360" w:lineRule="auto"/>
              <w:jc w:val="both"/>
              <w:rPr>
                <w:rFonts w:eastAsia="Arial"/>
                <w:sz w:val="18"/>
                <w:szCs w:val="18"/>
              </w:rPr>
            </w:pPr>
            <w:r w:rsidRPr="006C00BD">
              <w:rPr>
                <w:rFonts w:eastAsia="Arial"/>
                <w:sz w:val="18"/>
                <w:szCs w:val="18"/>
              </w:rPr>
              <w:lastRenderedPageBreak/>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Number of flowers: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39A8F9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B845F3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0449686"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24F3D3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4ED2D99"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6.59, df = 16, p = 0.98</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9FAFFA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D2F796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5E6D8EF2"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128551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Patch size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355969F"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5801E5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F18BB8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2DE4424"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3E8F1B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15.6, df = 16, p = 0.484</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A8DF51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3012824"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56E4FF71"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C11B7A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Duration of flower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EBF551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D2F270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4F8CD59"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7EAA3B3"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F96F81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12.39, df = 14, p = 0.575</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DB8AA7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070EA9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7E81F416"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A2888A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Type of intercropping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00FA9D6"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3F36CE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CA5C4F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830D6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4A60D0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14F5D08"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36.23, df = 10,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CB09CF3"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2BF31B0E"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A7DE52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Intercropping configuration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ACDF2D9"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9EA4034"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AADEEC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DADDA4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19BA00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A57C66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24.8, df = 19, p = 0.167</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46403D0"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5A2F644D"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861AF6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Number of species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69372B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1A49DF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34CCB2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41A300B"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BB1FB8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60B2250"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47.16, df = 16, p &lt; 0.001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43040B6"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10472BD8"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727C42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Sowing timing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B9DC2E4"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E4AAF2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22E044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A669F35"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DF6B3C8"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C5BDF7E"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33.78, df = 20, p = 0.028</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B99A47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r>
      <w:tr w:rsidR="00D72226" w:rsidRPr="006C00BD" w14:paraId="3C7A0075"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569C34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distance to SNH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57645E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5647C17"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AF9820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FD3FBF"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E8364FE"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1C63F9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D832D9F" w14:textId="77777777" w:rsidR="00D72226" w:rsidRPr="006C00BD" w:rsidRDefault="00D72226" w:rsidP="00C65089">
            <w:pPr>
              <w:spacing w:line="360" w:lineRule="auto"/>
              <w:jc w:val="both"/>
              <w:rPr>
                <w:rFonts w:eastAsia="Arial"/>
                <w:b/>
                <w:sz w:val="18"/>
                <w:szCs w:val="18"/>
              </w:rPr>
            </w:pPr>
            <w:r w:rsidRPr="006C00BD">
              <w:rPr>
                <w:rFonts w:eastAsia="Arial"/>
                <w:b/>
                <w:sz w:val="18"/>
                <w:szCs w:val="18"/>
              </w:rPr>
              <w:t>χ² = 40, df = 11, p &lt; 0.001</w:t>
            </w:r>
          </w:p>
        </w:tc>
      </w:tr>
      <w:tr w:rsidR="00D72226" w:rsidRPr="006C00BD" w14:paraId="39F93621" w14:textId="77777777" w:rsidTr="00C65089">
        <w:trPr>
          <w:gridAfter w:val="1"/>
          <w:wAfter w:w="15" w:type="dxa"/>
          <w:trHeight w:val="800"/>
        </w:trPr>
        <w:tc>
          <w:tcPr>
            <w:tcW w:w="213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F705E39"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Response type: Diversification </w:t>
            </w:r>
            <w:proofErr w:type="gramStart"/>
            <w:r w:rsidRPr="006C00BD">
              <w:rPr>
                <w:rFonts w:eastAsia="Arial"/>
                <w:sz w:val="18"/>
                <w:szCs w:val="18"/>
              </w:rPr>
              <w:t>practice :</w:t>
            </w:r>
            <w:proofErr w:type="gramEnd"/>
            <w:r w:rsidRPr="006C00BD">
              <w:rPr>
                <w:rFonts w:eastAsia="Arial"/>
                <w:sz w:val="18"/>
                <w:szCs w:val="18"/>
              </w:rPr>
              <w:t xml:space="preserve"> Type of SNH : Study</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4DB82C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433FBFA"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956AC2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D17BB5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2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727A207D"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23D443C" w14:textId="77777777" w:rsidR="00D72226" w:rsidRPr="006C00BD" w:rsidRDefault="00D72226" w:rsidP="00C65089">
            <w:pPr>
              <w:spacing w:line="360" w:lineRule="auto"/>
              <w:jc w:val="both"/>
              <w:rPr>
                <w:rFonts w:eastAsia="Arial"/>
                <w:sz w:val="18"/>
                <w:szCs w:val="18"/>
              </w:rPr>
            </w:pPr>
            <w:r w:rsidRPr="006C00BD">
              <w:rPr>
                <w:rFonts w:eastAsia="Arial"/>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36F9022" w14:textId="77777777" w:rsidR="00D72226" w:rsidRPr="006C00BD" w:rsidRDefault="00D72226" w:rsidP="00C65089">
            <w:pPr>
              <w:spacing w:line="360" w:lineRule="auto"/>
              <w:jc w:val="both"/>
              <w:rPr>
                <w:rFonts w:eastAsia="Arial"/>
                <w:sz w:val="18"/>
                <w:szCs w:val="18"/>
              </w:rPr>
            </w:pPr>
            <w:r w:rsidRPr="006C00BD">
              <w:rPr>
                <w:rFonts w:eastAsia="Arial"/>
                <w:sz w:val="18"/>
                <w:szCs w:val="18"/>
              </w:rPr>
              <w:t>χ² = 11, df = 9, p = 0.274</w:t>
            </w:r>
          </w:p>
        </w:tc>
      </w:tr>
    </w:tbl>
    <w:p w14:paraId="7304E956" w14:textId="77777777" w:rsidR="00D72226" w:rsidRPr="006C00BD" w:rsidRDefault="00D72226" w:rsidP="00C65089">
      <w:pPr>
        <w:pStyle w:val="SMcaption"/>
        <w:spacing w:line="360" w:lineRule="auto"/>
        <w:rPr>
          <w:rFonts w:eastAsia="Arial"/>
          <w:sz w:val="20"/>
        </w:rPr>
      </w:pPr>
    </w:p>
    <w:p w14:paraId="6A2C77AA" w14:textId="0D8289C7" w:rsidR="00280BCD" w:rsidRPr="006C00BD" w:rsidRDefault="00280BCD" w:rsidP="00C65089">
      <w:pPr>
        <w:spacing w:line="360" w:lineRule="auto"/>
        <w:rPr>
          <w:b/>
          <w:sz w:val="20"/>
        </w:rPr>
      </w:pPr>
      <w:r w:rsidRPr="006C00BD">
        <w:rPr>
          <w:b/>
          <w:sz w:val="20"/>
        </w:rPr>
        <w:br w:type="page"/>
      </w:r>
    </w:p>
    <w:p w14:paraId="63EC5CAD" w14:textId="09F9E0A1" w:rsidR="00D72226" w:rsidRPr="00C65089" w:rsidRDefault="00D72226" w:rsidP="00C65089">
      <w:pPr>
        <w:pStyle w:val="SMcaption"/>
        <w:spacing w:line="360" w:lineRule="auto"/>
        <w:rPr>
          <w:rFonts w:ascii="Arial" w:hAnsi="Arial" w:cs="Arial"/>
          <w:b/>
          <w:sz w:val="20"/>
        </w:rPr>
      </w:pPr>
    </w:p>
    <w:p w14:paraId="712B2100" w14:textId="4DA0CBDB" w:rsidR="00280BCD" w:rsidRPr="00C65089" w:rsidRDefault="00280BCD" w:rsidP="00AD71EE">
      <w:pPr>
        <w:pStyle w:val="SMcaption"/>
        <w:spacing w:line="360" w:lineRule="auto"/>
        <w:rPr>
          <w:rFonts w:ascii="Arial" w:hAnsi="Arial" w:cs="Arial"/>
          <w:sz w:val="20"/>
        </w:rPr>
      </w:pPr>
      <w:r w:rsidRPr="00C65089">
        <w:rPr>
          <w:rFonts w:ascii="Arial" w:hAnsi="Arial" w:cs="Arial"/>
          <w:b/>
          <w:sz w:val="20"/>
        </w:rPr>
        <w:t>Table S</w:t>
      </w:r>
      <w:r w:rsidR="001A5116" w:rsidRPr="00C65089">
        <w:rPr>
          <w:rFonts w:ascii="Arial" w:hAnsi="Arial" w:cs="Arial"/>
          <w:b/>
          <w:sz w:val="20"/>
        </w:rPr>
        <w:t>3</w:t>
      </w:r>
      <w:r w:rsidRPr="00C65089">
        <w:rPr>
          <w:rFonts w:ascii="Arial" w:hAnsi="Arial" w:cs="Arial"/>
          <w:b/>
          <w:sz w:val="20"/>
        </w:rPr>
        <w:t>.</w:t>
      </w:r>
      <w:r w:rsidR="00AD71EE">
        <w:rPr>
          <w:rFonts w:ascii="Arial" w:hAnsi="Arial" w:cs="Arial"/>
          <w:b/>
          <w:sz w:val="20"/>
        </w:rPr>
        <w:t xml:space="preserve"> </w:t>
      </w:r>
      <w:r w:rsidRPr="00C65089">
        <w:rPr>
          <w:rFonts w:ascii="Arial" w:hAnsi="Arial" w:cs="Arial"/>
          <w:sz w:val="20"/>
        </w:rPr>
        <w:t xml:space="preserve">Summary of the effect of different management factors in studies using selected plant diversification practices compared to monocrops on different response categories. Red arrows indicate a decrease of the response for a level of the variable tested, a green arrow indicates an increase, and a bared zero (ø) indicates that not enough points were available to test this effect. </w:t>
      </w:r>
      <w:proofErr w:type="spellStart"/>
      <w:r w:rsidRPr="00C65089">
        <w:rPr>
          <w:rFonts w:ascii="Arial" w:hAnsi="Arial" w:cs="Arial"/>
          <w:sz w:val="20"/>
        </w:rPr>
        <w:t>Coloured</w:t>
      </w:r>
      <w:proofErr w:type="spellEnd"/>
      <w:r w:rsidRPr="00C65089">
        <w:rPr>
          <w:rFonts w:ascii="Arial" w:hAnsi="Arial" w:cs="Arial"/>
          <w:sz w:val="20"/>
        </w:rPr>
        <w:t xml:space="preserve"> cells (red or green) show significant results while the number associated represents the number of observations of the diversified treatment (and number of studies) available. SNH: Semi-Natural Habitats.</w:t>
      </w:r>
    </w:p>
    <w:p w14:paraId="4112F6A8" w14:textId="3EF909F6" w:rsidR="00280BCD" w:rsidRPr="006C00BD" w:rsidRDefault="00280BCD" w:rsidP="00C65089">
      <w:pPr>
        <w:pStyle w:val="SMcaption"/>
        <w:spacing w:line="360" w:lineRule="auto"/>
        <w:jc w:val="both"/>
        <w:rPr>
          <w:sz w:val="20"/>
        </w:rPr>
      </w:pPr>
    </w:p>
    <w:tbl>
      <w:tblPr>
        <w:tblW w:w="11214" w:type="dxa"/>
        <w:tblInd w:w="-1134" w:type="dxa"/>
        <w:tblLook w:val="04A0" w:firstRow="1" w:lastRow="0" w:firstColumn="1" w:lastColumn="0" w:noHBand="0" w:noVBand="1"/>
      </w:tblPr>
      <w:tblGrid>
        <w:gridCol w:w="541"/>
        <w:gridCol w:w="2020"/>
        <w:gridCol w:w="1336"/>
        <w:gridCol w:w="1156"/>
        <w:gridCol w:w="1100"/>
        <w:gridCol w:w="976"/>
        <w:gridCol w:w="1006"/>
        <w:gridCol w:w="1036"/>
        <w:gridCol w:w="986"/>
        <w:gridCol w:w="1057"/>
      </w:tblGrid>
      <w:tr w:rsidR="00280BCD" w:rsidRPr="006C00BD" w14:paraId="754E3282" w14:textId="77777777" w:rsidTr="00013FFB">
        <w:trPr>
          <w:trHeight w:val="300"/>
        </w:trPr>
        <w:tc>
          <w:tcPr>
            <w:tcW w:w="541" w:type="dxa"/>
            <w:tcBorders>
              <w:top w:val="nil"/>
              <w:left w:val="nil"/>
              <w:bottom w:val="single" w:sz="4" w:space="0" w:color="auto"/>
              <w:right w:val="nil"/>
            </w:tcBorders>
            <w:shd w:val="clear" w:color="000000" w:fill="DBDBDB"/>
            <w:noWrap/>
            <w:vAlign w:val="bottom"/>
            <w:hideMark/>
          </w:tcPr>
          <w:p w14:paraId="09F6EDBA"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 </w:t>
            </w:r>
          </w:p>
        </w:tc>
        <w:tc>
          <w:tcPr>
            <w:tcW w:w="2020" w:type="dxa"/>
            <w:tcBorders>
              <w:top w:val="nil"/>
              <w:left w:val="nil"/>
              <w:bottom w:val="single" w:sz="4" w:space="0" w:color="auto"/>
              <w:right w:val="single" w:sz="4" w:space="0" w:color="auto"/>
            </w:tcBorders>
            <w:shd w:val="clear" w:color="000000" w:fill="DBDBDB"/>
            <w:noWrap/>
            <w:vAlign w:val="bottom"/>
            <w:hideMark/>
          </w:tcPr>
          <w:p w14:paraId="610AB1E4"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 </w:t>
            </w:r>
          </w:p>
        </w:tc>
        <w:tc>
          <w:tcPr>
            <w:tcW w:w="1336" w:type="dxa"/>
            <w:tcBorders>
              <w:top w:val="single" w:sz="4" w:space="0" w:color="auto"/>
              <w:left w:val="nil"/>
              <w:bottom w:val="single" w:sz="4" w:space="0" w:color="auto"/>
              <w:right w:val="single" w:sz="4" w:space="0" w:color="auto"/>
            </w:tcBorders>
            <w:shd w:val="clear" w:color="000000" w:fill="DBDBDB"/>
            <w:noWrap/>
            <w:vAlign w:val="bottom"/>
            <w:hideMark/>
          </w:tcPr>
          <w:p w14:paraId="72574FF1"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Herbivore</w:t>
            </w:r>
          </w:p>
        </w:tc>
        <w:tc>
          <w:tcPr>
            <w:tcW w:w="1156" w:type="dxa"/>
            <w:tcBorders>
              <w:top w:val="single" w:sz="4" w:space="0" w:color="auto"/>
              <w:left w:val="nil"/>
              <w:bottom w:val="single" w:sz="4" w:space="0" w:color="auto"/>
              <w:right w:val="single" w:sz="4" w:space="0" w:color="auto"/>
            </w:tcBorders>
            <w:shd w:val="clear" w:color="000000" w:fill="DBDBDB"/>
            <w:noWrap/>
            <w:vAlign w:val="bottom"/>
            <w:hideMark/>
          </w:tcPr>
          <w:p w14:paraId="1AA2C1C5"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Damage</w:t>
            </w:r>
          </w:p>
        </w:tc>
        <w:tc>
          <w:tcPr>
            <w:tcW w:w="1100" w:type="dxa"/>
            <w:tcBorders>
              <w:top w:val="single" w:sz="4" w:space="0" w:color="auto"/>
              <w:left w:val="nil"/>
              <w:bottom w:val="single" w:sz="4" w:space="0" w:color="auto"/>
              <w:right w:val="single" w:sz="4" w:space="0" w:color="auto"/>
            </w:tcBorders>
            <w:shd w:val="clear" w:color="000000" w:fill="DBDBDB"/>
            <w:noWrap/>
            <w:vAlign w:val="bottom"/>
            <w:hideMark/>
          </w:tcPr>
          <w:p w14:paraId="70F067B9"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Predator</w:t>
            </w:r>
          </w:p>
        </w:tc>
        <w:tc>
          <w:tcPr>
            <w:tcW w:w="976" w:type="dxa"/>
            <w:tcBorders>
              <w:top w:val="single" w:sz="4" w:space="0" w:color="auto"/>
              <w:left w:val="nil"/>
              <w:bottom w:val="single" w:sz="4" w:space="0" w:color="auto"/>
              <w:right w:val="single" w:sz="4" w:space="0" w:color="auto"/>
            </w:tcBorders>
            <w:shd w:val="clear" w:color="000000" w:fill="DBDBDB"/>
            <w:noWrap/>
            <w:vAlign w:val="bottom"/>
            <w:hideMark/>
          </w:tcPr>
          <w:p w14:paraId="51C81725"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Predation</w:t>
            </w:r>
          </w:p>
        </w:tc>
        <w:tc>
          <w:tcPr>
            <w:tcW w:w="1006" w:type="dxa"/>
            <w:tcBorders>
              <w:top w:val="single" w:sz="4" w:space="0" w:color="auto"/>
              <w:left w:val="nil"/>
              <w:bottom w:val="single" w:sz="4" w:space="0" w:color="auto"/>
              <w:right w:val="single" w:sz="4" w:space="0" w:color="auto"/>
            </w:tcBorders>
            <w:shd w:val="clear" w:color="000000" w:fill="DBDBDB"/>
            <w:noWrap/>
            <w:vAlign w:val="bottom"/>
            <w:hideMark/>
          </w:tcPr>
          <w:p w14:paraId="042CD8DC" w14:textId="77777777" w:rsidR="00280BCD" w:rsidRPr="006C00BD" w:rsidRDefault="00280BCD" w:rsidP="00C65089">
            <w:pPr>
              <w:spacing w:line="360" w:lineRule="auto"/>
              <w:jc w:val="center"/>
              <w:rPr>
                <w:b/>
                <w:bCs/>
                <w:color w:val="000000"/>
                <w:sz w:val="18"/>
                <w:szCs w:val="18"/>
                <w:lang w:val="en-GB" w:eastAsia="en-GB"/>
              </w:rPr>
            </w:pPr>
            <w:proofErr w:type="spellStart"/>
            <w:r w:rsidRPr="006C00BD">
              <w:rPr>
                <w:b/>
                <w:bCs/>
                <w:color w:val="000000"/>
                <w:sz w:val="18"/>
                <w:szCs w:val="18"/>
                <w:lang w:val="en-GB" w:eastAsia="en-GB"/>
              </w:rPr>
              <w:t>Parasitoid</w:t>
            </w:r>
            <w:proofErr w:type="spellEnd"/>
          </w:p>
        </w:tc>
        <w:tc>
          <w:tcPr>
            <w:tcW w:w="1036" w:type="dxa"/>
            <w:tcBorders>
              <w:top w:val="single" w:sz="4" w:space="0" w:color="auto"/>
              <w:left w:val="nil"/>
              <w:bottom w:val="single" w:sz="4" w:space="0" w:color="auto"/>
              <w:right w:val="single" w:sz="4" w:space="0" w:color="auto"/>
            </w:tcBorders>
            <w:shd w:val="clear" w:color="000000" w:fill="DBDBDB"/>
            <w:noWrap/>
            <w:vAlign w:val="bottom"/>
            <w:hideMark/>
          </w:tcPr>
          <w:p w14:paraId="47883169"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Parasitism</w:t>
            </w:r>
          </w:p>
        </w:tc>
        <w:tc>
          <w:tcPr>
            <w:tcW w:w="986" w:type="dxa"/>
            <w:tcBorders>
              <w:top w:val="single" w:sz="4" w:space="0" w:color="auto"/>
              <w:left w:val="nil"/>
              <w:bottom w:val="single" w:sz="4" w:space="0" w:color="auto"/>
              <w:right w:val="single" w:sz="4" w:space="0" w:color="auto"/>
            </w:tcBorders>
            <w:shd w:val="clear" w:color="000000" w:fill="DBDBDB"/>
            <w:noWrap/>
            <w:vAlign w:val="bottom"/>
            <w:hideMark/>
          </w:tcPr>
          <w:p w14:paraId="4EDC598B"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Pollinator</w:t>
            </w:r>
          </w:p>
        </w:tc>
        <w:tc>
          <w:tcPr>
            <w:tcW w:w="1057" w:type="dxa"/>
            <w:tcBorders>
              <w:top w:val="single" w:sz="4" w:space="0" w:color="auto"/>
              <w:left w:val="nil"/>
              <w:bottom w:val="single" w:sz="4" w:space="0" w:color="auto"/>
              <w:right w:val="single" w:sz="4" w:space="0" w:color="auto"/>
            </w:tcBorders>
            <w:shd w:val="clear" w:color="000000" w:fill="DBDBDB"/>
            <w:noWrap/>
            <w:vAlign w:val="bottom"/>
            <w:hideMark/>
          </w:tcPr>
          <w:p w14:paraId="7663FF83" w14:textId="77777777" w:rsidR="00280BCD" w:rsidRPr="006C00BD" w:rsidRDefault="00280BCD" w:rsidP="00C65089">
            <w:pPr>
              <w:spacing w:line="360" w:lineRule="auto"/>
              <w:jc w:val="center"/>
              <w:rPr>
                <w:b/>
                <w:bCs/>
                <w:color w:val="000000"/>
                <w:sz w:val="18"/>
                <w:szCs w:val="18"/>
                <w:lang w:val="en-GB" w:eastAsia="en-GB"/>
              </w:rPr>
            </w:pPr>
            <w:r w:rsidRPr="006C00BD">
              <w:rPr>
                <w:b/>
                <w:bCs/>
                <w:color w:val="000000"/>
                <w:sz w:val="18"/>
                <w:szCs w:val="18"/>
                <w:lang w:val="en-GB" w:eastAsia="en-GB"/>
              </w:rPr>
              <w:t>Pollination</w:t>
            </w:r>
          </w:p>
        </w:tc>
      </w:tr>
      <w:tr w:rsidR="00280BCD" w:rsidRPr="006C00BD" w14:paraId="5D9FC9C2" w14:textId="77777777" w:rsidTr="00013FFB">
        <w:trPr>
          <w:trHeight w:val="300"/>
        </w:trPr>
        <w:tc>
          <w:tcPr>
            <w:tcW w:w="541" w:type="dxa"/>
            <w:vMerge w:val="restart"/>
            <w:tcBorders>
              <w:top w:val="nil"/>
              <w:left w:val="single" w:sz="4" w:space="0" w:color="auto"/>
              <w:bottom w:val="single" w:sz="4" w:space="0" w:color="000000"/>
              <w:right w:val="single" w:sz="4" w:space="0" w:color="auto"/>
            </w:tcBorders>
            <w:shd w:val="clear" w:color="000000" w:fill="FF0000"/>
            <w:noWrap/>
            <w:textDirection w:val="btLr"/>
            <w:vAlign w:val="bottom"/>
            <w:hideMark/>
          </w:tcPr>
          <w:p w14:paraId="53F4910C" w14:textId="77777777" w:rsidR="00280BCD" w:rsidRPr="006C00BD" w:rsidRDefault="00280BCD" w:rsidP="00C65089">
            <w:pPr>
              <w:spacing w:line="360" w:lineRule="auto"/>
              <w:jc w:val="center"/>
              <w:rPr>
                <w:color w:val="FFFFFF"/>
                <w:sz w:val="18"/>
                <w:szCs w:val="18"/>
                <w:lang w:val="en-GB" w:eastAsia="en-GB"/>
              </w:rPr>
            </w:pPr>
            <w:r w:rsidRPr="006C00BD">
              <w:rPr>
                <w:color w:val="FFFFFF"/>
                <w:sz w:val="18"/>
                <w:szCs w:val="18"/>
                <w:lang w:val="en-GB" w:eastAsia="en-GB"/>
              </w:rPr>
              <w:t>Agroforestry</w:t>
            </w:r>
          </w:p>
        </w:tc>
        <w:tc>
          <w:tcPr>
            <w:tcW w:w="2020" w:type="dxa"/>
            <w:tcBorders>
              <w:top w:val="nil"/>
              <w:left w:val="nil"/>
              <w:bottom w:val="nil"/>
              <w:right w:val="single" w:sz="4" w:space="0" w:color="auto"/>
            </w:tcBorders>
            <w:shd w:val="clear" w:color="000000" w:fill="DBDBDB"/>
            <w:noWrap/>
            <w:vAlign w:val="bottom"/>
            <w:hideMark/>
          </w:tcPr>
          <w:p w14:paraId="686D61E2"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Alley cropping</w:t>
            </w:r>
          </w:p>
        </w:tc>
        <w:tc>
          <w:tcPr>
            <w:tcW w:w="1336" w:type="dxa"/>
            <w:tcBorders>
              <w:top w:val="nil"/>
              <w:left w:val="nil"/>
              <w:bottom w:val="nil"/>
              <w:right w:val="single" w:sz="4" w:space="0" w:color="auto"/>
            </w:tcBorders>
            <w:shd w:val="clear" w:color="auto" w:fill="auto"/>
            <w:noWrap/>
            <w:vAlign w:val="bottom"/>
            <w:hideMark/>
          </w:tcPr>
          <w:p w14:paraId="475103D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112 (9)</w:t>
            </w:r>
          </w:p>
        </w:tc>
        <w:tc>
          <w:tcPr>
            <w:tcW w:w="1156" w:type="dxa"/>
            <w:tcBorders>
              <w:top w:val="nil"/>
              <w:left w:val="nil"/>
              <w:bottom w:val="nil"/>
              <w:right w:val="single" w:sz="4" w:space="0" w:color="auto"/>
            </w:tcBorders>
            <w:shd w:val="clear" w:color="auto" w:fill="auto"/>
            <w:noWrap/>
            <w:vAlign w:val="bottom"/>
            <w:hideMark/>
          </w:tcPr>
          <w:p w14:paraId="0A0D997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12 (2)</w:t>
            </w:r>
          </w:p>
        </w:tc>
        <w:tc>
          <w:tcPr>
            <w:tcW w:w="1100" w:type="dxa"/>
            <w:tcBorders>
              <w:top w:val="nil"/>
              <w:left w:val="nil"/>
              <w:bottom w:val="nil"/>
              <w:right w:val="single" w:sz="4" w:space="0" w:color="auto"/>
            </w:tcBorders>
            <w:shd w:val="clear" w:color="auto" w:fill="auto"/>
            <w:noWrap/>
            <w:vAlign w:val="bottom"/>
            <w:hideMark/>
          </w:tcPr>
          <w:p w14:paraId="46C61B5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253 (14)</w:t>
            </w:r>
          </w:p>
        </w:tc>
        <w:tc>
          <w:tcPr>
            <w:tcW w:w="976" w:type="dxa"/>
            <w:tcBorders>
              <w:top w:val="nil"/>
              <w:left w:val="nil"/>
              <w:bottom w:val="nil"/>
              <w:right w:val="single" w:sz="4" w:space="0" w:color="auto"/>
            </w:tcBorders>
            <w:shd w:val="clear" w:color="auto" w:fill="auto"/>
            <w:noWrap/>
            <w:vAlign w:val="bottom"/>
            <w:hideMark/>
          </w:tcPr>
          <w:p w14:paraId="3913A4A9"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 (1)</w:t>
            </w:r>
          </w:p>
        </w:tc>
        <w:tc>
          <w:tcPr>
            <w:tcW w:w="1006" w:type="dxa"/>
            <w:tcBorders>
              <w:top w:val="nil"/>
              <w:left w:val="nil"/>
              <w:bottom w:val="nil"/>
              <w:right w:val="single" w:sz="4" w:space="0" w:color="auto"/>
            </w:tcBorders>
            <w:shd w:val="clear" w:color="000000" w:fill="E2EFDA"/>
            <w:noWrap/>
            <w:vAlign w:val="bottom"/>
            <w:hideMark/>
          </w:tcPr>
          <w:p w14:paraId="41A0A8E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9 (2)</w:t>
            </w:r>
          </w:p>
        </w:tc>
        <w:tc>
          <w:tcPr>
            <w:tcW w:w="1036" w:type="dxa"/>
            <w:tcBorders>
              <w:top w:val="nil"/>
              <w:left w:val="nil"/>
              <w:bottom w:val="nil"/>
              <w:right w:val="single" w:sz="4" w:space="0" w:color="auto"/>
            </w:tcBorders>
            <w:shd w:val="clear" w:color="auto" w:fill="auto"/>
            <w:noWrap/>
            <w:vAlign w:val="bottom"/>
            <w:hideMark/>
          </w:tcPr>
          <w:p w14:paraId="4B7BB680"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20 (1)</w:t>
            </w:r>
          </w:p>
        </w:tc>
        <w:tc>
          <w:tcPr>
            <w:tcW w:w="986" w:type="dxa"/>
            <w:tcBorders>
              <w:top w:val="nil"/>
              <w:left w:val="nil"/>
              <w:bottom w:val="nil"/>
              <w:right w:val="single" w:sz="4" w:space="0" w:color="auto"/>
            </w:tcBorders>
            <w:shd w:val="clear" w:color="auto" w:fill="auto"/>
            <w:noWrap/>
            <w:vAlign w:val="bottom"/>
            <w:hideMark/>
          </w:tcPr>
          <w:p w14:paraId="64152284"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2 (2)</w:t>
            </w:r>
          </w:p>
        </w:tc>
        <w:tc>
          <w:tcPr>
            <w:tcW w:w="1057" w:type="dxa"/>
            <w:tcBorders>
              <w:top w:val="nil"/>
              <w:left w:val="nil"/>
              <w:bottom w:val="nil"/>
              <w:right w:val="single" w:sz="4" w:space="0" w:color="auto"/>
            </w:tcBorders>
            <w:shd w:val="clear" w:color="auto" w:fill="auto"/>
            <w:noWrap/>
            <w:vAlign w:val="bottom"/>
            <w:hideMark/>
          </w:tcPr>
          <w:p w14:paraId="19DA0FE0"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4B269EAF" w14:textId="77777777" w:rsidTr="00013FFB">
        <w:trPr>
          <w:trHeight w:val="300"/>
        </w:trPr>
        <w:tc>
          <w:tcPr>
            <w:tcW w:w="541" w:type="dxa"/>
            <w:vMerge/>
            <w:tcBorders>
              <w:top w:val="nil"/>
              <w:left w:val="single" w:sz="4" w:space="0" w:color="auto"/>
              <w:bottom w:val="single" w:sz="4" w:space="0" w:color="000000"/>
              <w:right w:val="single" w:sz="4" w:space="0" w:color="auto"/>
            </w:tcBorders>
            <w:vAlign w:val="center"/>
            <w:hideMark/>
          </w:tcPr>
          <w:p w14:paraId="560BF8F5"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245AB4E9"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Managed forest</w:t>
            </w:r>
          </w:p>
        </w:tc>
        <w:tc>
          <w:tcPr>
            <w:tcW w:w="1336" w:type="dxa"/>
            <w:tcBorders>
              <w:top w:val="nil"/>
              <w:left w:val="nil"/>
              <w:bottom w:val="single" w:sz="4" w:space="0" w:color="auto"/>
              <w:right w:val="single" w:sz="4" w:space="0" w:color="auto"/>
            </w:tcBorders>
            <w:shd w:val="clear" w:color="auto" w:fill="auto"/>
            <w:noWrap/>
            <w:vAlign w:val="bottom"/>
            <w:hideMark/>
          </w:tcPr>
          <w:p w14:paraId="46DB0352"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19 (4)</w:t>
            </w:r>
          </w:p>
        </w:tc>
        <w:tc>
          <w:tcPr>
            <w:tcW w:w="1156" w:type="dxa"/>
            <w:tcBorders>
              <w:top w:val="nil"/>
              <w:left w:val="nil"/>
              <w:bottom w:val="single" w:sz="4" w:space="0" w:color="auto"/>
              <w:right w:val="single" w:sz="4" w:space="0" w:color="auto"/>
            </w:tcBorders>
            <w:shd w:val="clear" w:color="auto" w:fill="auto"/>
            <w:noWrap/>
            <w:vAlign w:val="bottom"/>
            <w:hideMark/>
          </w:tcPr>
          <w:p w14:paraId="5B1B2EDD"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100" w:type="dxa"/>
            <w:tcBorders>
              <w:top w:val="nil"/>
              <w:left w:val="nil"/>
              <w:bottom w:val="single" w:sz="4" w:space="0" w:color="auto"/>
              <w:right w:val="single" w:sz="4" w:space="0" w:color="auto"/>
            </w:tcBorders>
            <w:shd w:val="clear" w:color="auto" w:fill="auto"/>
            <w:noWrap/>
            <w:vAlign w:val="bottom"/>
            <w:hideMark/>
          </w:tcPr>
          <w:p w14:paraId="3CE1B87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18 (2)</w:t>
            </w:r>
          </w:p>
        </w:tc>
        <w:tc>
          <w:tcPr>
            <w:tcW w:w="976" w:type="dxa"/>
            <w:tcBorders>
              <w:top w:val="nil"/>
              <w:left w:val="nil"/>
              <w:bottom w:val="single" w:sz="4" w:space="0" w:color="auto"/>
              <w:right w:val="single" w:sz="4" w:space="0" w:color="auto"/>
            </w:tcBorders>
            <w:shd w:val="clear" w:color="auto" w:fill="auto"/>
            <w:noWrap/>
            <w:vAlign w:val="bottom"/>
            <w:hideMark/>
          </w:tcPr>
          <w:p w14:paraId="3A6E817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 (2)</w:t>
            </w:r>
          </w:p>
        </w:tc>
        <w:tc>
          <w:tcPr>
            <w:tcW w:w="1006" w:type="dxa"/>
            <w:tcBorders>
              <w:top w:val="nil"/>
              <w:left w:val="nil"/>
              <w:bottom w:val="single" w:sz="4" w:space="0" w:color="auto"/>
              <w:right w:val="single" w:sz="4" w:space="0" w:color="auto"/>
            </w:tcBorders>
            <w:shd w:val="clear" w:color="auto" w:fill="auto"/>
            <w:noWrap/>
            <w:vAlign w:val="bottom"/>
            <w:hideMark/>
          </w:tcPr>
          <w:p w14:paraId="3C68F8E9"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36" w:type="dxa"/>
            <w:tcBorders>
              <w:top w:val="nil"/>
              <w:left w:val="nil"/>
              <w:bottom w:val="single" w:sz="4" w:space="0" w:color="auto"/>
              <w:right w:val="single" w:sz="4" w:space="0" w:color="auto"/>
            </w:tcBorders>
            <w:shd w:val="clear" w:color="auto" w:fill="auto"/>
            <w:noWrap/>
            <w:vAlign w:val="bottom"/>
            <w:hideMark/>
          </w:tcPr>
          <w:p w14:paraId="2221DE36"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 (1)</w:t>
            </w:r>
          </w:p>
        </w:tc>
        <w:tc>
          <w:tcPr>
            <w:tcW w:w="986" w:type="dxa"/>
            <w:tcBorders>
              <w:top w:val="nil"/>
              <w:left w:val="nil"/>
              <w:bottom w:val="single" w:sz="4" w:space="0" w:color="auto"/>
              <w:right w:val="single" w:sz="4" w:space="0" w:color="auto"/>
            </w:tcBorders>
            <w:shd w:val="clear" w:color="auto" w:fill="auto"/>
            <w:noWrap/>
            <w:vAlign w:val="bottom"/>
            <w:hideMark/>
          </w:tcPr>
          <w:p w14:paraId="08566FBF"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2 (1)</w:t>
            </w:r>
          </w:p>
        </w:tc>
        <w:tc>
          <w:tcPr>
            <w:tcW w:w="1057" w:type="dxa"/>
            <w:tcBorders>
              <w:top w:val="nil"/>
              <w:left w:val="nil"/>
              <w:bottom w:val="single" w:sz="4" w:space="0" w:color="auto"/>
              <w:right w:val="single" w:sz="4" w:space="0" w:color="auto"/>
            </w:tcBorders>
            <w:shd w:val="clear" w:color="auto" w:fill="auto"/>
            <w:noWrap/>
            <w:vAlign w:val="bottom"/>
            <w:hideMark/>
          </w:tcPr>
          <w:p w14:paraId="7709B9B7"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629E25F0" w14:textId="77777777" w:rsidTr="00013FFB">
        <w:trPr>
          <w:trHeight w:val="300"/>
        </w:trPr>
        <w:tc>
          <w:tcPr>
            <w:tcW w:w="541" w:type="dxa"/>
            <w:vMerge/>
            <w:tcBorders>
              <w:top w:val="nil"/>
              <w:left w:val="single" w:sz="4" w:space="0" w:color="auto"/>
              <w:bottom w:val="single" w:sz="4" w:space="0" w:color="000000"/>
              <w:right w:val="single" w:sz="4" w:space="0" w:color="auto"/>
            </w:tcBorders>
            <w:vAlign w:val="center"/>
            <w:hideMark/>
          </w:tcPr>
          <w:p w14:paraId="23A28D7F"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2E1B0686"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Fruits and nuts</w:t>
            </w:r>
          </w:p>
        </w:tc>
        <w:tc>
          <w:tcPr>
            <w:tcW w:w="1336" w:type="dxa"/>
            <w:tcBorders>
              <w:top w:val="nil"/>
              <w:left w:val="nil"/>
              <w:bottom w:val="nil"/>
              <w:right w:val="single" w:sz="4" w:space="0" w:color="auto"/>
            </w:tcBorders>
            <w:shd w:val="clear" w:color="auto" w:fill="auto"/>
            <w:noWrap/>
            <w:vAlign w:val="bottom"/>
            <w:hideMark/>
          </w:tcPr>
          <w:p w14:paraId="5DD5FDCC"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50 (7)</w:t>
            </w:r>
          </w:p>
        </w:tc>
        <w:tc>
          <w:tcPr>
            <w:tcW w:w="1156" w:type="dxa"/>
            <w:tcBorders>
              <w:top w:val="nil"/>
              <w:left w:val="nil"/>
              <w:bottom w:val="nil"/>
              <w:right w:val="single" w:sz="4" w:space="0" w:color="auto"/>
            </w:tcBorders>
            <w:shd w:val="clear" w:color="auto" w:fill="auto"/>
            <w:noWrap/>
            <w:vAlign w:val="bottom"/>
            <w:hideMark/>
          </w:tcPr>
          <w:p w14:paraId="75766102"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 (1)</w:t>
            </w:r>
          </w:p>
        </w:tc>
        <w:tc>
          <w:tcPr>
            <w:tcW w:w="1100" w:type="dxa"/>
            <w:tcBorders>
              <w:top w:val="nil"/>
              <w:left w:val="nil"/>
              <w:bottom w:val="nil"/>
              <w:right w:val="single" w:sz="4" w:space="0" w:color="auto"/>
            </w:tcBorders>
            <w:shd w:val="clear" w:color="auto" w:fill="auto"/>
            <w:noWrap/>
            <w:vAlign w:val="bottom"/>
            <w:hideMark/>
          </w:tcPr>
          <w:p w14:paraId="59748B20"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95 (9)</w:t>
            </w:r>
          </w:p>
        </w:tc>
        <w:tc>
          <w:tcPr>
            <w:tcW w:w="976" w:type="dxa"/>
            <w:tcBorders>
              <w:top w:val="nil"/>
              <w:left w:val="nil"/>
              <w:bottom w:val="nil"/>
              <w:right w:val="single" w:sz="4" w:space="0" w:color="auto"/>
            </w:tcBorders>
            <w:shd w:val="clear" w:color="auto" w:fill="auto"/>
            <w:noWrap/>
            <w:vAlign w:val="bottom"/>
            <w:hideMark/>
          </w:tcPr>
          <w:p w14:paraId="670A3F2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 (1)</w:t>
            </w:r>
          </w:p>
        </w:tc>
        <w:tc>
          <w:tcPr>
            <w:tcW w:w="1006" w:type="dxa"/>
            <w:tcBorders>
              <w:top w:val="nil"/>
              <w:left w:val="nil"/>
              <w:bottom w:val="nil"/>
              <w:right w:val="single" w:sz="4" w:space="0" w:color="auto"/>
            </w:tcBorders>
            <w:shd w:val="clear" w:color="auto" w:fill="auto"/>
            <w:noWrap/>
            <w:vAlign w:val="bottom"/>
            <w:hideMark/>
          </w:tcPr>
          <w:p w14:paraId="0F250CDE"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8 (1)</w:t>
            </w:r>
          </w:p>
        </w:tc>
        <w:tc>
          <w:tcPr>
            <w:tcW w:w="1036" w:type="dxa"/>
            <w:tcBorders>
              <w:top w:val="nil"/>
              <w:left w:val="nil"/>
              <w:bottom w:val="nil"/>
              <w:right w:val="single" w:sz="4" w:space="0" w:color="auto"/>
            </w:tcBorders>
            <w:shd w:val="clear" w:color="auto" w:fill="auto"/>
            <w:noWrap/>
            <w:vAlign w:val="bottom"/>
            <w:hideMark/>
          </w:tcPr>
          <w:p w14:paraId="1B6B4A6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986" w:type="dxa"/>
            <w:tcBorders>
              <w:top w:val="nil"/>
              <w:left w:val="nil"/>
              <w:bottom w:val="nil"/>
              <w:right w:val="single" w:sz="4" w:space="0" w:color="auto"/>
            </w:tcBorders>
            <w:shd w:val="clear" w:color="auto" w:fill="auto"/>
            <w:noWrap/>
            <w:vAlign w:val="bottom"/>
            <w:hideMark/>
          </w:tcPr>
          <w:p w14:paraId="7E11721B"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57" w:type="dxa"/>
            <w:tcBorders>
              <w:top w:val="nil"/>
              <w:left w:val="nil"/>
              <w:bottom w:val="nil"/>
              <w:right w:val="single" w:sz="4" w:space="0" w:color="auto"/>
            </w:tcBorders>
            <w:shd w:val="clear" w:color="auto" w:fill="auto"/>
            <w:noWrap/>
            <w:vAlign w:val="bottom"/>
            <w:hideMark/>
          </w:tcPr>
          <w:p w14:paraId="7E537436"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198A8712" w14:textId="77777777" w:rsidTr="00013FFB">
        <w:trPr>
          <w:trHeight w:val="300"/>
        </w:trPr>
        <w:tc>
          <w:tcPr>
            <w:tcW w:w="541" w:type="dxa"/>
            <w:vMerge/>
            <w:tcBorders>
              <w:top w:val="nil"/>
              <w:left w:val="single" w:sz="4" w:space="0" w:color="auto"/>
              <w:bottom w:val="single" w:sz="4" w:space="0" w:color="000000"/>
              <w:right w:val="single" w:sz="4" w:space="0" w:color="auto"/>
            </w:tcBorders>
            <w:vAlign w:val="center"/>
            <w:hideMark/>
          </w:tcPr>
          <w:p w14:paraId="68225ECC"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099BA68F"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Diverse tree functions</w:t>
            </w:r>
          </w:p>
        </w:tc>
        <w:tc>
          <w:tcPr>
            <w:tcW w:w="1336" w:type="dxa"/>
            <w:tcBorders>
              <w:top w:val="nil"/>
              <w:left w:val="nil"/>
              <w:bottom w:val="single" w:sz="4" w:space="0" w:color="auto"/>
              <w:right w:val="single" w:sz="4" w:space="0" w:color="auto"/>
            </w:tcBorders>
            <w:shd w:val="clear" w:color="auto" w:fill="auto"/>
            <w:noWrap/>
            <w:vAlign w:val="bottom"/>
            <w:hideMark/>
          </w:tcPr>
          <w:p w14:paraId="33516563"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81 (6)</w:t>
            </w:r>
          </w:p>
        </w:tc>
        <w:tc>
          <w:tcPr>
            <w:tcW w:w="1156" w:type="dxa"/>
            <w:tcBorders>
              <w:top w:val="nil"/>
              <w:left w:val="nil"/>
              <w:bottom w:val="single" w:sz="4" w:space="0" w:color="auto"/>
              <w:right w:val="single" w:sz="4" w:space="0" w:color="auto"/>
            </w:tcBorders>
            <w:shd w:val="clear" w:color="auto" w:fill="auto"/>
            <w:noWrap/>
            <w:vAlign w:val="bottom"/>
            <w:hideMark/>
          </w:tcPr>
          <w:p w14:paraId="54AB4B9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10 (1)</w:t>
            </w:r>
          </w:p>
        </w:tc>
        <w:tc>
          <w:tcPr>
            <w:tcW w:w="1100" w:type="dxa"/>
            <w:tcBorders>
              <w:top w:val="nil"/>
              <w:left w:val="nil"/>
              <w:bottom w:val="single" w:sz="4" w:space="0" w:color="auto"/>
              <w:right w:val="single" w:sz="4" w:space="0" w:color="auto"/>
            </w:tcBorders>
            <w:shd w:val="clear" w:color="auto" w:fill="auto"/>
            <w:noWrap/>
            <w:vAlign w:val="bottom"/>
            <w:hideMark/>
          </w:tcPr>
          <w:p w14:paraId="4A80151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176 (7)</w:t>
            </w:r>
          </w:p>
        </w:tc>
        <w:tc>
          <w:tcPr>
            <w:tcW w:w="976" w:type="dxa"/>
            <w:tcBorders>
              <w:top w:val="nil"/>
              <w:left w:val="nil"/>
              <w:bottom w:val="single" w:sz="4" w:space="0" w:color="auto"/>
              <w:right w:val="single" w:sz="4" w:space="0" w:color="auto"/>
            </w:tcBorders>
            <w:shd w:val="clear" w:color="auto" w:fill="auto"/>
            <w:noWrap/>
            <w:vAlign w:val="bottom"/>
            <w:hideMark/>
          </w:tcPr>
          <w:p w14:paraId="2EB6958F"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 (2)</w:t>
            </w:r>
          </w:p>
        </w:tc>
        <w:tc>
          <w:tcPr>
            <w:tcW w:w="1006" w:type="dxa"/>
            <w:tcBorders>
              <w:top w:val="nil"/>
              <w:left w:val="nil"/>
              <w:bottom w:val="single" w:sz="4" w:space="0" w:color="auto"/>
              <w:right w:val="single" w:sz="4" w:space="0" w:color="auto"/>
            </w:tcBorders>
            <w:shd w:val="clear" w:color="auto" w:fill="auto"/>
            <w:noWrap/>
            <w:vAlign w:val="bottom"/>
            <w:hideMark/>
          </w:tcPr>
          <w:p w14:paraId="2D94663E"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 (1)</w:t>
            </w:r>
          </w:p>
        </w:tc>
        <w:tc>
          <w:tcPr>
            <w:tcW w:w="1036" w:type="dxa"/>
            <w:tcBorders>
              <w:top w:val="nil"/>
              <w:left w:val="nil"/>
              <w:bottom w:val="single" w:sz="4" w:space="0" w:color="auto"/>
              <w:right w:val="single" w:sz="4" w:space="0" w:color="auto"/>
            </w:tcBorders>
            <w:shd w:val="clear" w:color="auto" w:fill="auto"/>
            <w:noWrap/>
            <w:vAlign w:val="bottom"/>
            <w:hideMark/>
          </w:tcPr>
          <w:p w14:paraId="3123237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22 (2)</w:t>
            </w:r>
          </w:p>
        </w:tc>
        <w:tc>
          <w:tcPr>
            <w:tcW w:w="986" w:type="dxa"/>
            <w:tcBorders>
              <w:top w:val="nil"/>
              <w:left w:val="nil"/>
              <w:bottom w:val="single" w:sz="4" w:space="0" w:color="auto"/>
              <w:right w:val="single" w:sz="4" w:space="0" w:color="auto"/>
            </w:tcBorders>
            <w:shd w:val="clear" w:color="auto" w:fill="auto"/>
            <w:noWrap/>
            <w:vAlign w:val="bottom"/>
            <w:hideMark/>
          </w:tcPr>
          <w:p w14:paraId="2C13E532"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4 (3)</w:t>
            </w:r>
          </w:p>
        </w:tc>
        <w:tc>
          <w:tcPr>
            <w:tcW w:w="1057" w:type="dxa"/>
            <w:tcBorders>
              <w:top w:val="nil"/>
              <w:left w:val="nil"/>
              <w:bottom w:val="single" w:sz="4" w:space="0" w:color="auto"/>
              <w:right w:val="single" w:sz="4" w:space="0" w:color="auto"/>
            </w:tcBorders>
            <w:shd w:val="clear" w:color="auto" w:fill="auto"/>
            <w:noWrap/>
            <w:vAlign w:val="bottom"/>
            <w:hideMark/>
          </w:tcPr>
          <w:p w14:paraId="124C70A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424CDEDE" w14:textId="77777777" w:rsidTr="00013FFB">
        <w:trPr>
          <w:trHeight w:val="300"/>
        </w:trPr>
        <w:tc>
          <w:tcPr>
            <w:tcW w:w="541" w:type="dxa"/>
            <w:vMerge w:val="restart"/>
            <w:tcBorders>
              <w:top w:val="nil"/>
              <w:left w:val="nil"/>
              <w:bottom w:val="nil"/>
              <w:right w:val="single" w:sz="4" w:space="0" w:color="auto"/>
            </w:tcBorders>
            <w:shd w:val="clear" w:color="000000" w:fill="009900"/>
            <w:noWrap/>
            <w:textDirection w:val="btLr"/>
            <w:vAlign w:val="center"/>
            <w:hideMark/>
          </w:tcPr>
          <w:p w14:paraId="726C6D31" w14:textId="77777777" w:rsidR="00280BCD" w:rsidRPr="006C00BD" w:rsidRDefault="00280BCD" w:rsidP="00C65089">
            <w:pPr>
              <w:spacing w:line="360" w:lineRule="auto"/>
              <w:jc w:val="center"/>
              <w:rPr>
                <w:color w:val="FFFFFF"/>
                <w:sz w:val="18"/>
                <w:szCs w:val="18"/>
                <w:lang w:val="en-GB" w:eastAsia="en-GB"/>
              </w:rPr>
            </w:pPr>
            <w:r w:rsidRPr="006C00BD">
              <w:rPr>
                <w:color w:val="FFFFFF"/>
                <w:sz w:val="18"/>
                <w:szCs w:val="18"/>
                <w:lang w:val="en-GB" w:eastAsia="en-GB"/>
              </w:rPr>
              <w:t>Intercropping</w:t>
            </w:r>
          </w:p>
        </w:tc>
        <w:tc>
          <w:tcPr>
            <w:tcW w:w="2020" w:type="dxa"/>
            <w:tcBorders>
              <w:top w:val="nil"/>
              <w:left w:val="nil"/>
              <w:bottom w:val="nil"/>
              <w:right w:val="single" w:sz="4" w:space="0" w:color="auto"/>
            </w:tcBorders>
            <w:shd w:val="clear" w:color="000000" w:fill="DBDBDB"/>
            <w:noWrap/>
            <w:vAlign w:val="bottom"/>
            <w:hideMark/>
          </w:tcPr>
          <w:p w14:paraId="44A5DEB8"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Cash crops</w:t>
            </w:r>
          </w:p>
        </w:tc>
        <w:tc>
          <w:tcPr>
            <w:tcW w:w="1336" w:type="dxa"/>
            <w:tcBorders>
              <w:top w:val="nil"/>
              <w:left w:val="nil"/>
              <w:bottom w:val="nil"/>
              <w:right w:val="single" w:sz="4" w:space="0" w:color="auto"/>
            </w:tcBorders>
            <w:shd w:val="clear" w:color="000000" w:fill="FFAFB1"/>
            <w:noWrap/>
            <w:vAlign w:val="bottom"/>
            <w:hideMark/>
          </w:tcPr>
          <w:p w14:paraId="2A5E24AB"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3174 (141)</w:t>
            </w:r>
          </w:p>
        </w:tc>
        <w:tc>
          <w:tcPr>
            <w:tcW w:w="1156" w:type="dxa"/>
            <w:tcBorders>
              <w:top w:val="nil"/>
              <w:left w:val="nil"/>
              <w:bottom w:val="nil"/>
              <w:right w:val="single" w:sz="4" w:space="0" w:color="auto"/>
            </w:tcBorders>
            <w:shd w:val="clear" w:color="000000" w:fill="FFAFB1"/>
            <w:noWrap/>
            <w:vAlign w:val="bottom"/>
            <w:hideMark/>
          </w:tcPr>
          <w:p w14:paraId="78B1763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566 (42)</w:t>
            </w:r>
          </w:p>
        </w:tc>
        <w:tc>
          <w:tcPr>
            <w:tcW w:w="1100" w:type="dxa"/>
            <w:tcBorders>
              <w:top w:val="nil"/>
              <w:left w:val="nil"/>
              <w:bottom w:val="nil"/>
              <w:right w:val="single" w:sz="4" w:space="0" w:color="auto"/>
            </w:tcBorders>
            <w:shd w:val="clear" w:color="auto" w:fill="auto"/>
            <w:noWrap/>
            <w:vAlign w:val="bottom"/>
            <w:hideMark/>
          </w:tcPr>
          <w:p w14:paraId="4B10B10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1252 (73)</w:t>
            </w:r>
          </w:p>
        </w:tc>
        <w:tc>
          <w:tcPr>
            <w:tcW w:w="976" w:type="dxa"/>
            <w:tcBorders>
              <w:top w:val="nil"/>
              <w:left w:val="nil"/>
              <w:bottom w:val="nil"/>
              <w:right w:val="single" w:sz="4" w:space="0" w:color="auto"/>
            </w:tcBorders>
            <w:shd w:val="clear" w:color="auto" w:fill="auto"/>
            <w:noWrap/>
            <w:vAlign w:val="bottom"/>
            <w:hideMark/>
          </w:tcPr>
          <w:p w14:paraId="5A6481C1"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 (3)</w:t>
            </w:r>
          </w:p>
        </w:tc>
        <w:tc>
          <w:tcPr>
            <w:tcW w:w="1006" w:type="dxa"/>
            <w:tcBorders>
              <w:top w:val="nil"/>
              <w:left w:val="nil"/>
              <w:bottom w:val="nil"/>
              <w:right w:val="single" w:sz="4" w:space="0" w:color="auto"/>
            </w:tcBorders>
            <w:shd w:val="clear" w:color="000000" w:fill="E2EFDA"/>
            <w:noWrap/>
            <w:vAlign w:val="bottom"/>
            <w:hideMark/>
          </w:tcPr>
          <w:p w14:paraId="5CD2C0FF"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316 (30)</w:t>
            </w:r>
          </w:p>
        </w:tc>
        <w:tc>
          <w:tcPr>
            <w:tcW w:w="1036" w:type="dxa"/>
            <w:tcBorders>
              <w:top w:val="nil"/>
              <w:left w:val="nil"/>
              <w:bottom w:val="nil"/>
              <w:right w:val="single" w:sz="4" w:space="0" w:color="auto"/>
            </w:tcBorders>
            <w:shd w:val="clear" w:color="auto" w:fill="auto"/>
            <w:noWrap/>
            <w:vAlign w:val="bottom"/>
            <w:hideMark/>
          </w:tcPr>
          <w:p w14:paraId="1C42E875"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550 (37)</w:t>
            </w:r>
          </w:p>
        </w:tc>
        <w:tc>
          <w:tcPr>
            <w:tcW w:w="986" w:type="dxa"/>
            <w:tcBorders>
              <w:top w:val="nil"/>
              <w:left w:val="nil"/>
              <w:bottom w:val="nil"/>
              <w:right w:val="single" w:sz="4" w:space="0" w:color="auto"/>
            </w:tcBorders>
            <w:shd w:val="clear" w:color="auto" w:fill="auto"/>
            <w:noWrap/>
            <w:vAlign w:val="bottom"/>
            <w:hideMark/>
          </w:tcPr>
          <w:p w14:paraId="4DDC809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25 (6)</w:t>
            </w:r>
          </w:p>
        </w:tc>
        <w:tc>
          <w:tcPr>
            <w:tcW w:w="1057" w:type="dxa"/>
            <w:tcBorders>
              <w:top w:val="nil"/>
              <w:left w:val="nil"/>
              <w:bottom w:val="nil"/>
              <w:right w:val="single" w:sz="4" w:space="0" w:color="auto"/>
            </w:tcBorders>
            <w:shd w:val="clear" w:color="auto" w:fill="auto"/>
            <w:noWrap/>
            <w:vAlign w:val="bottom"/>
            <w:hideMark/>
          </w:tcPr>
          <w:p w14:paraId="1F3EABA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 (1)</w:t>
            </w:r>
          </w:p>
        </w:tc>
      </w:tr>
      <w:tr w:rsidR="00280BCD" w:rsidRPr="006C00BD" w14:paraId="5032BE1E" w14:textId="77777777" w:rsidTr="00013FFB">
        <w:trPr>
          <w:trHeight w:val="300"/>
        </w:trPr>
        <w:tc>
          <w:tcPr>
            <w:tcW w:w="541" w:type="dxa"/>
            <w:vMerge/>
            <w:tcBorders>
              <w:top w:val="nil"/>
              <w:left w:val="nil"/>
              <w:bottom w:val="nil"/>
              <w:right w:val="single" w:sz="4" w:space="0" w:color="auto"/>
            </w:tcBorders>
            <w:vAlign w:val="center"/>
            <w:hideMark/>
          </w:tcPr>
          <w:p w14:paraId="1A0ECE61"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45103003"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Companion crops</w:t>
            </w:r>
          </w:p>
        </w:tc>
        <w:tc>
          <w:tcPr>
            <w:tcW w:w="1336" w:type="dxa"/>
            <w:tcBorders>
              <w:top w:val="nil"/>
              <w:left w:val="nil"/>
              <w:bottom w:val="single" w:sz="4" w:space="0" w:color="auto"/>
              <w:right w:val="single" w:sz="4" w:space="0" w:color="auto"/>
            </w:tcBorders>
            <w:shd w:val="clear" w:color="000000" w:fill="FFAFB1"/>
            <w:noWrap/>
            <w:vAlign w:val="bottom"/>
            <w:hideMark/>
          </w:tcPr>
          <w:p w14:paraId="190EB59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1844 (94)</w:t>
            </w:r>
          </w:p>
        </w:tc>
        <w:tc>
          <w:tcPr>
            <w:tcW w:w="1156" w:type="dxa"/>
            <w:tcBorders>
              <w:top w:val="nil"/>
              <w:left w:val="nil"/>
              <w:bottom w:val="single" w:sz="4" w:space="0" w:color="auto"/>
              <w:right w:val="single" w:sz="4" w:space="0" w:color="auto"/>
            </w:tcBorders>
            <w:shd w:val="clear" w:color="auto" w:fill="auto"/>
            <w:noWrap/>
            <w:vAlign w:val="bottom"/>
            <w:hideMark/>
          </w:tcPr>
          <w:p w14:paraId="645914C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218 (29)</w:t>
            </w:r>
          </w:p>
        </w:tc>
        <w:tc>
          <w:tcPr>
            <w:tcW w:w="1100" w:type="dxa"/>
            <w:tcBorders>
              <w:top w:val="nil"/>
              <w:left w:val="nil"/>
              <w:bottom w:val="single" w:sz="4" w:space="0" w:color="auto"/>
              <w:right w:val="single" w:sz="4" w:space="0" w:color="auto"/>
            </w:tcBorders>
            <w:shd w:val="clear" w:color="auto" w:fill="auto"/>
            <w:noWrap/>
            <w:vAlign w:val="bottom"/>
            <w:hideMark/>
          </w:tcPr>
          <w:p w14:paraId="48801075"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641 (53)</w:t>
            </w:r>
          </w:p>
        </w:tc>
        <w:tc>
          <w:tcPr>
            <w:tcW w:w="976" w:type="dxa"/>
            <w:tcBorders>
              <w:top w:val="nil"/>
              <w:left w:val="nil"/>
              <w:bottom w:val="single" w:sz="4" w:space="0" w:color="auto"/>
              <w:right w:val="single" w:sz="4" w:space="0" w:color="auto"/>
            </w:tcBorders>
            <w:shd w:val="clear" w:color="auto" w:fill="auto"/>
            <w:noWrap/>
            <w:vAlign w:val="bottom"/>
            <w:hideMark/>
          </w:tcPr>
          <w:p w14:paraId="74042860"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91 (9)</w:t>
            </w:r>
          </w:p>
        </w:tc>
        <w:tc>
          <w:tcPr>
            <w:tcW w:w="1006" w:type="dxa"/>
            <w:tcBorders>
              <w:top w:val="nil"/>
              <w:left w:val="nil"/>
              <w:bottom w:val="single" w:sz="4" w:space="0" w:color="auto"/>
              <w:right w:val="single" w:sz="4" w:space="0" w:color="auto"/>
            </w:tcBorders>
            <w:shd w:val="clear" w:color="auto" w:fill="auto"/>
            <w:noWrap/>
            <w:vAlign w:val="bottom"/>
            <w:hideMark/>
          </w:tcPr>
          <w:p w14:paraId="5E8DDCD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153 (15)</w:t>
            </w:r>
          </w:p>
        </w:tc>
        <w:tc>
          <w:tcPr>
            <w:tcW w:w="1036" w:type="dxa"/>
            <w:tcBorders>
              <w:top w:val="nil"/>
              <w:left w:val="nil"/>
              <w:bottom w:val="single" w:sz="4" w:space="0" w:color="auto"/>
              <w:right w:val="single" w:sz="4" w:space="0" w:color="auto"/>
            </w:tcBorders>
            <w:shd w:val="clear" w:color="auto" w:fill="auto"/>
            <w:noWrap/>
            <w:vAlign w:val="bottom"/>
            <w:hideMark/>
          </w:tcPr>
          <w:p w14:paraId="035E089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145 (15)</w:t>
            </w:r>
          </w:p>
        </w:tc>
        <w:tc>
          <w:tcPr>
            <w:tcW w:w="986" w:type="dxa"/>
            <w:tcBorders>
              <w:top w:val="nil"/>
              <w:left w:val="nil"/>
              <w:bottom w:val="single" w:sz="4" w:space="0" w:color="auto"/>
              <w:right w:val="single" w:sz="4" w:space="0" w:color="auto"/>
            </w:tcBorders>
            <w:shd w:val="clear" w:color="auto" w:fill="auto"/>
            <w:noWrap/>
            <w:vAlign w:val="bottom"/>
            <w:hideMark/>
          </w:tcPr>
          <w:p w14:paraId="497C2C3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37 (5)</w:t>
            </w:r>
          </w:p>
        </w:tc>
        <w:tc>
          <w:tcPr>
            <w:tcW w:w="1057" w:type="dxa"/>
            <w:tcBorders>
              <w:top w:val="nil"/>
              <w:left w:val="nil"/>
              <w:bottom w:val="single" w:sz="4" w:space="0" w:color="auto"/>
              <w:right w:val="single" w:sz="4" w:space="0" w:color="auto"/>
            </w:tcBorders>
            <w:shd w:val="clear" w:color="auto" w:fill="auto"/>
            <w:noWrap/>
            <w:vAlign w:val="bottom"/>
            <w:hideMark/>
          </w:tcPr>
          <w:p w14:paraId="3BB9565B"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2F2B0B83" w14:textId="77777777" w:rsidTr="00013FFB">
        <w:trPr>
          <w:trHeight w:val="300"/>
        </w:trPr>
        <w:tc>
          <w:tcPr>
            <w:tcW w:w="541" w:type="dxa"/>
            <w:vMerge/>
            <w:tcBorders>
              <w:top w:val="nil"/>
              <w:left w:val="nil"/>
              <w:bottom w:val="nil"/>
              <w:right w:val="single" w:sz="4" w:space="0" w:color="auto"/>
            </w:tcBorders>
            <w:vAlign w:val="center"/>
            <w:hideMark/>
          </w:tcPr>
          <w:p w14:paraId="45B475AA"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3712E2C2"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Strip cropping</w:t>
            </w:r>
          </w:p>
        </w:tc>
        <w:tc>
          <w:tcPr>
            <w:tcW w:w="1336" w:type="dxa"/>
            <w:tcBorders>
              <w:top w:val="nil"/>
              <w:left w:val="nil"/>
              <w:bottom w:val="nil"/>
              <w:right w:val="single" w:sz="4" w:space="0" w:color="auto"/>
            </w:tcBorders>
            <w:shd w:val="clear" w:color="000000" w:fill="FFAFB1"/>
            <w:noWrap/>
            <w:vAlign w:val="bottom"/>
            <w:hideMark/>
          </w:tcPr>
          <w:p w14:paraId="6A920ACF"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3404 (143)</w:t>
            </w:r>
          </w:p>
        </w:tc>
        <w:tc>
          <w:tcPr>
            <w:tcW w:w="1156" w:type="dxa"/>
            <w:tcBorders>
              <w:top w:val="nil"/>
              <w:left w:val="nil"/>
              <w:bottom w:val="nil"/>
              <w:right w:val="single" w:sz="4" w:space="0" w:color="auto"/>
            </w:tcBorders>
            <w:shd w:val="clear" w:color="auto" w:fill="auto"/>
            <w:noWrap/>
            <w:vAlign w:val="bottom"/>
            <w:hideMark/>
          </w:tcPr>
          <w:p w14:paraId="7FB59B56"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580 (43)</w:t>
            </w:r>
          </w:p>
        </w:tc>
        <w:tc>
          <w:tcPr>
            <w:tcW w:w="1100" w:type="dxa"/>
            <w:tcBorders>
              <w:top w:val="nil"/>
              <w:left w:val="nil"/>
              <w:bottom w:val="nil"/>
              <w:right w:val="single" w:sz="4" w:space="0" w:color="auto"/>
            </w:tcBorders>
            <w:shd w:val="clear" w:color="auto" w:fill="auto"/>
            <w:noWrap/>
            <w:vAlign w:val="bottom"/>
            <w:hideMark/>
          </w:tcPr>
          <w:p w14:paraId="751520E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1428 (85)</w:t>
            </w:r>
          </w:p>
        </w:tc>
        <w:tc>
          <w:tcPr>
            <w:tcW w:w="976" w:type="dxa"/>
            <w:tcBorders>
              <w:top w:val="nil"/>
              <w:left w:val="nil"/>
              <w:bottom w:val="nil"/>
              <w:right w:val="single" w:sz="4" w:space="0" w:color="auto"/>
            </w:tcBorders>
            <w:shd w:val="clear" w:color="auto" w:fill="auto"/>
            <w:noWrap/>
            <w:vAlign w:val="bottom"/>
            <w:hideMark/>
          </w:tcPr>
          <w:p w14:paraId="469C6F6C"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64 (8)</w:t>
            </w:r>
          </w:p>
        </w:tc>
        <w:tc>
          <w:tcPr>
            <w:tcW w:w="1006" w:type="dxa"/>
            <w:tcBorders>
              <w:top w:val="nil"/>
              <w:left w:val="nil"/>
              <w:bottom w:val="nil"/>
              <w:right w:val="single" w:sz="4" w:space="0" w:color="auto"/>
            </w:tcBorders>
            <w:shd w:val="clear" w:color="auto" w:fill="auto"/>
            <w:noWrap/>
            <w:vAlign w:val="bottom"/>
            <w:hideMark/>
          </w:tcPr>
          <w:p w14:paraId="7A6B67E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381 (32)</w:t>
            </w:r>
          </w:p>
        </w:tc>
        <w:tc>
          <w:tcPr>
            <w:tcW w:w="1036" w:type="dxa"/>
            <w:tcBorders>
              <w:top w:val="nil"/>
              <w:left w:val="nil"/>
              <w:bottom w:val="nil"/>
              <w:right w:val="single" w:sz="4" w:space="0" w:color="auto"/>
            </w:tcBorders>
            <w:shd w:val="clear" w:color="auto" w:fill="auto"/>
            <w:noWrap/>
            <w:vAlign w:val="bottom"/>
            <w:hideMark/>
          </w:tcPr>
          <w:p w14:paraId="057E4225"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555 (37)</w:t>
            </w:r>
          </w:p>
        </w:tc>
        <w:tc>
          <w:tcPr>
            <w:tcW w:w="986" w:type="dxa"/>
            <w:tcBorders>
              <w:top w:val="nil"/>
              <w:left w:val="nil"/>
              <w:bottom w:val="nil"/>
              <w:right w:val="single" w:sz="4" w:space="0" w:color="auto"/>
            </w:tcBorders>
            <w:shd w:val="clear" w:color="auto" w:fill="auto"/>
            <w:noWrap/>
            <w:vAlign w:val="bottom"/>
            <w:hideMark/>
          </w:tcPr>
          <w:p w14:paraId="57BC3984"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37 (5)</w:t>
            </w:r>
          </w:p>
        </w:tc>
        <w:tc>
          <w:tcPr>
            <w:tcW w:w="1057" w:type="dxa"/>
            <w:tcBorders>
              <w:top w:val="nil"/>
              <w:left w:val="nil"/>
              <w:bottom w:val="nil"/>
              <w:right w:val="single" w:sz="4" w:space="0" w:color="auto"/>
            </w:tcBorders>
            <w:shd w:val="clear" w:color="auto" w:fill="auto"/>
            <w:noWrap/>
            <w:vAlign w:val="bottom"/>
            <w:hideMark/>
          </w:tcPr>
          <w:p w14:paraId="6AF76002"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40EB4941" w14:textId="77777777" w:rsidTr="00013FFB">
        <w:trPr>
          <w:trHeight w:val="300"/>
        </w:trPr>
        <w:tc>
          <w:tcPr>
            <w:tcW w:w="541" w:type="dxa"/>
            <w:vMerge/>
            <w:tcBorders>
              <w:top w:val="nil"/>
              <w:left w:val="nil"/>
              <w:bottom w:val="nil"/>
              <w:right w:val="single" w:sz="4" w:space="0" w:color="auto"/>
            </w:tcBorders>
            <w:vAlign w:val="center"/>
            <w:hideMark/>
          </w:tcPr>
          <w:p w14:paraId="216571E4"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4BCEEE60"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Border cropping</w:t>
            </w:r>
          </w:p>
        </w:tc>
        <w:tc>
          <w:tcPr>
            <w:tcW w:w="1336" w:type="dxa"/>
            <w:tcBorders>
              <w:top w:val="nil"/>
              <w:left w:val="nil"/>
              <w:bottom w:val="nil"/>
              <w:right w:val="single" w:sz="4" w:space="0" w:color="auto"/>
            </w:tcBorders>
            <w:shd w:val="clear" w:color="000000" w:fill="FFAFB1"/>
            <w:noWrap/>
            <w:vAlign w:val="bottom"/>
            <w:hideMark/>
          </w:tcPr>
          <w:p w14:paraId="5C9BBBB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732 (44)</w:t>
            </w:r>
          </w:p>
        </w:tc>
        <w:tc>
          <w:tcPr>
            <w:tcW w:w="1156" w:type="dxa"/>
            <w:tcBorders>
              <w:top w:val="nil"/>
              <w:left w:val="nil"/>
              <w:bottom w:val="nil"/>
              <w:right w:val="single" w:sz="4" w:space="0" w:color="auto"/>
            </w:tcBorders>
            <w:shd w:val="clear" w:color="auto" w:fill="auto"/>
            <w:noWrap/>
            <w:vAlign w:val="bottom"/>
            <w:hideMark/>
          </w:tcPr>
          <w:p w14:paraId="5D7CD8A2"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91 (17)</w:t>
            </w:r>
          </w:p>
        </w:tc>
        <w:tc>
          <w:tcPr>
            <w:tcW w:w="1100" w:type="dxa"/>
            <w:tcBorders>
              <w:top w:val="nil"/>
              <w:left w:val="nil"/>
              <w:bottom w:val="nil"/>
              <w:right w:val="single" w:sz="4" w:space="0" w:color="auto"/>
            </w:tcBorders>
            <w:shd w:val="clear" w:color="auto" w:fill="auto"/>
            <w:noWrap/>
            <w:vAlign w:val="bottom"/>
            <w:hideMark/>
          </w:tcPr>
          <w:p w14:paraId="198F9C7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237 (17)</w:t>
            </w:r>
          </w:p>
        </w:tc>
        <w:tc>
          <w:tcPr>
            <w:tcW w:w="976" w:type="dxa"/>
            <w:tcBorders>
              <w:top w:val="nil"/>
              <w:left w:val="nil"/>
              <w:bottom w:val="nil"/>
              <w:right w:val="single" w:sz="4" w:space="0" w:color="auto"/>
            </w:tcBorders>
            <w:shd w:val="clear" w:color="auto" w:fill="auto"/>
            <w:noWrap/>
            <w:vAlign w:val="bottom"/>
            <w:hideMark/>
          </w:tcPr>
          <w:p w14:paraId="35714982"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7 (1)</w:t>
            </w:r>
          </w:p>
        </w:tc>
        <w:tc>
          <w:tcPr>
            <w:tcW w:w="1006" w:type="dxa"/>
            <w:tcBorders>
              <w:top w:val="nil"/>
              <w:left w:val="nil"/>
              <w:bottom w:val="nil"/>
              <w:right w:val="single" w:sz="4" w:space="0" w:color="auto"/>
            </w:tcBorders>
            <w:shd w:val="clear" w:color="auto" w:fill="auto"/>
            <w:noWrap/>
            <w:vAlign w:val="bottom"/>
            <w:hideMark/>
          </w:tcPr>
          <w:p w14:paraId="561DCB6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30 (8)</w:t>
            </w:r>
          </w:p>
        </w:tc>
        <w:tc>
          <w:tcPr>
            <w:tcW w:w="1036" w:type="dxa"/>
            <w:tcBorders>
              <w:top w:val="nil"/>
              <w:left w:val="nil"/>
              <w:bottom w:val="nil"/>
              <w:right w:val="single" w:sz="4" w:space="0" w:color="auto"/>
            </w:tcBorders>
            <w:shd w:val="clear" w:color="auto" w:fill="auto"/>
            <w:noWrap/>
            <w:vAlign w:val="bottom"/>
            <w:hideMark/>
          </w:tcPr>
          <w:p w14:paraId="5010293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38 (5)</w:t>
            </w:r>
          </w:p>
        </w:tc>
        <w:tc>
          <w:tcPr>
            <w:tcW w:w="986" w:type="dxa"/>
            <w:tcBorders>
              <w:top w:val="nil"/>
              <w:left w:val="nil"/>
              <w:bottom w:val="nil"/>
              <w:right w:val="single" w:sz="4" w:space="0" w:color="auto"/>
            </w:tcBorders>
            <w:shd w:val="clear" w:color="auto" w:fill="auto"/>
            <w:noWrap/>
            <w:vAlign w:val="bottom"/>
            <w:hideMark/>
          </w:tcPr>
          <w:p w14:paraId="17093EA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57" w:type="dxa"/>
            <w:tcBorders>
              <w:top w:val="nil"/>
              <w:left w:val="nil"/>
              <w:bottom w:val="nil"/>
              <w:right w:val="single" w:sz="4" w:space="0" w:color="auto"/>
            </w:tcBorders>
            <w:shd w:val="clear" w:color="auto" w:fill="auto"/>
            <w:noWrap/>
            <w:vAlign w:val="bottom"/>
            <w:hideMark/>
          </w:tcPr>
          <w:p w14:paraId="58B55E30"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562CF2F3" w14:textId="77777777" w:rsidTr="00013FFB">
        <w:trPr>
          <w:trHeight w:val="300"/>
        </w:trPr>
        <w:tc>
          <w:tcPr>
            <w:tcW w:w="541" w:type="dxa"/>
            <w:vMerge/>
            <w:tcBorders>
              <w:top w:val="nil"/>
              <w:left w:val="nil"/>
              <w:bottom w:val="nil"/>
              <w:right w:val="single" w:sz="4" w:space="0" w:color="auto"/>
            </w:tcBorders>
            <w:vAlign w:val="center"/>
            <w:hideMark/>
          </w:tcPr>
          <w:p w14:paraId="1D661915"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70DD05A1"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Mixed cropping</w:t>
            </w:r>
          </w:p>
        </w:tc>
        <w:tc>
          <w:tcPr>
            <w:tcW w:w="1336" w:type="dxa"/>
            <w:tcBorders>
              <w:top w:val="nil"/>
              <w:left w:val="nil"/>
              <w:bottom w:val="single" w:sz="4" w:space="0" w:color="auto"/>
              <w:right w:val="single" w:sz="4" w:space="0" w:color="auto"/>
            </w:tcBorders>
            <w:shd w:val="clear" w:color="000000" w:fill="FFAFB1"/>
            <w:noWrap/>
            <w:vAlign w:val="bottom"/>
            <w:hideMark/>
          </w:tcPr>
          <w:p w14:paraId="6A2DEADF"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649 (29)</w:t>
            </w:r>
          </w:p>
        </w:tc>
        <w:tc>
          <w:tcPr>
            <w:tcW w:w="1156" w:type="dxa"/>
            <w:tcBorders>
              <w:top w:val="nil"/>
              <w:left w:val="nil"/>
              <w:bottom w:val="single" w:sz="4" w:space="0" w:color="auto"/>
              <w:right w:val="single" w:sz="4" w:space="0" w:color="auto"/>
            </w:tcBorders>
            <w:shd w:val="clear" w:color="auto" w:fill="auto"/>
            <w:noWrap/>
            <w:vAlign w:val="bottom"/>
            <w:hideMark/>
          </w:tcPr>
          <w:p w14:paraId="7E9850B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77 (10)</w:t>
            </w:r>
          </w:p>
        </w:tc>
        <w:tc>
          <w:tcPr>
            <w:tcW w:w="1100" w:type="dxa"/>
            <w:tcBorders>
              <w:top w:val="nil"/>
              <w:left w:val="nil"/>
              <w:bottom w:val="single" w:sz="4" w:space="0" w:color="auto"/>
              <w:right w:val="single" w:sz="4" w:space="0" w:color="auto"/>
            </w:tcBorders>
            <w:shd w:val="clear" w:color="auto" w:fill="auto"/>
            <w:noWrap/>
            <w:vAlign w:val="bottom"/>
            <w:hideMark/>
          </w:tcPr>
          <w:p w14:paraId="345E59CC"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149 (16)</w:t>
            </w:r>
          </w:p>
        </w:tc>
        <w:tc>
          <w:tcPr>
            <w:tcW w:w="976" w:type="dxa"/>
            <w:tcBorders>
              <w:top w:val="nil"/>
              <w:left w:val="nil"/>
              <w:bottom w:val="single" w:sz="4" w:space="0" w:color="auto"/>
              <w:right w:val="single" w:sz="4" w:space="0" w:color="auto"/>
            </w:tcBorders>
            <w:shd w:val="clear" w:color="auto" w:fill="auto"/>
            <w:noWrap/>
            <w:vAlign w:val="bottom"/>
            <w:hideMark/>
          </w:tcPr>
          <w:p w14:paraId="22A7B9C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26 (2)</w:t>
            </w:r>
          </w:p>
        </w:tc>
        <w:tc>
          <w:tcPr>
            <w:tcW w:w="1006" w:type="dxa"/>
            <w:tcBorders>
              <w:top w:val="nil"/>
              <w:left w:val="nil"/>
              <w:bottom w:val="single" w:sz="4" w:space="0" w:color="auto"/>
              <w:right w:val="single" w:sz="4" w:space="0" w:color="auto"/>
            </w:tcBorders>
            <w:shd w:val="clear" w:color="000000" w:fill="E2EFDA"/>
            <w:noWrap/>
            <w:vAlign w:val="bottom"/>
            <w:hideMark/>
          </w:tcPr>
          <w:p w14:paraId="178E085E"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30 (3)</w:t>
            </w:r>
          </w:p>
        </w:tc>
        <w:tc>
          <w:tcPr>
            <w:tcW w:w="1036" w:type="dxa"/>
            <w:tcBorders>
              <w:top w:val="nil"/>
              <w:left w:val="nil"/>
              <w:bottom w:val="single" w:sz="4" w:space="0" w:color="auto"/>
              <w:right w:val="single" w:sz="4" w:space="0" w:color="auto"/>
            </w:tcBorders>
            <w:shd w:val="clear" w:color="000000" w:fill="E2EFDA"/>
            <w:noWrap/>
            <w:vAlign w:val="bottom"/>
            <w:hideMark/>
          </w:tcPr>
          <w:p w14:paraId="3EE3BD2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69 (5)</w:t>
            </w:r>
          </w:p>
        </w:tc>
        <w:tc>
          <w:tcPr>
            <w:tcW w:w="986" w:type="dxa"/>
            <w:tcBorders>
              <w:top w:val="nil"/>
              <w:left w:val="nil"/>
              <w:bottom w:val="single" w:sz="4" w:space="0" w:color="auto"/>
              <w:right w:val="single" w:sz="4" w:space="0" w:color="auto"/>
            </w:tcBorders>
            <w:shd w:val="clear" w:color="auto" w:fill="auto"/>
            <w:noWrap/>
            <w:vAlign w:val="bottom"/>
            <w:hideMark/>
          </w:tcPr>
          <w:p w14:paraId="41DCC4E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9 (3)</w:t>
            </w:r>
          </w:p>
        </w:tc>
        <w:tc>
          <w:tcPr>
            <w:tcW w:w="1057" w:type="dxa"/>
            <w:tcBorders>
              <w:top w:val="nil"/>
              <w:left w:val="nil"/>
              <w:bottom w:val="single" w:sz="4" w:space="0" w:color="auto"/>
              <w:right w:val="single" w:sz="4" w:space="0" w:color="auto"/>
            </w:tcBorders>
            <w:shd w:val="clear" w:color="auto" w:fill="auto"/>
            <w:noWrap/>
            <w:vAlign w:val="bottom"/>
            <w:hideMark/>
          </w:tcPr>
          <w:p w14:paraId="4D79D6A9"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4F97FEB3" w14:textId="77777777" w:rsidTr="00013FFB">
        <w:trPr>
          <w:trHeight w:val="300"/>
        </w:trPr>
        <w:tc>
          <w:tcPr>
            <w:tcW w:w="541" w:type="dxa"/>
            <w:vMerge/>
            <w:tcBorders>
              <w:top w:val="nil"/>
              <w:left w:val="nil"/>
              <w:bottom w:val="nil"/>
              <w:right w:val="single" w:sz="4" w:space="0" w:color="auto"/>
            </w:tcBorders>
            <w:vAlign w:val="center"/>
            <w:hideMark/>
          </w:tcPr>
          <w:p w14:paraId="15714127"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34DD25B9"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2 crops</w:t>
            </w:r>
          </w:p>
        </w:tc>
        <w:tc>
          <w:tcPr>
            <w:tcW w:w="1336" w:type="dxa"/>
            <w:tcBorders>
              <w:top w:val="nil"/>
              <w:left w:val="nil"/>
              <w:bottom w:val="nil"/>
              <w:right w:val="single" w:sz="4" w:space="0" w:color="auto"/>
            </w:tcBorders>
            <w:shd w:val="clear" w:color="000000" w:fill="FFAFB1"/>
            <w:noWrap/>
            <w:vAlign w:val="bottom"/>
            <w:hideMark/>
          </w:tcPr>
          <w:p w14:paraId="22FCF8A9"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4464 (204)</w:t>
            </w:r>
          </w:p>
        </w:tc>
        <w:tc>
          <w:tcPr>
            <w:tcW w:w="1156" w:type="dxa"/>
            <w:tcBorders>
              <w:top w:val="nil"/>
              <w:left w:val="nil"/>
              <w:bottom w:val="nil"/>
              <w:right w:val="single" w:sz="4" w:space="0" w:color="auto"/>
            </w:tcBorders>
            <w:shd w:val="clear" w:color="auto" w:fill="auto"/>
            <w:noWrap/>
            <w:vAlign w:val="bottom"/>
            <w:hideMark/>
          </w:tcPr>
          <w:p w14:paraId="5DDC25B0"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738 (64)</w:t>
            </w:r>
          </w:p>
        </w:tc>
        <w:tc>
          <w:tcPr>
            <w:tcW w:w="1100" w:type="dxa"/>
            <w:tcBorders>
              <w:top w:val="nil"/>
              <w:left w:val="nil"/>
              <w:bottom w:val="nil"/>
              <w:right w:val="single" w:sz="4" w:space="0" w:color="auto"/>
            </w:tcBorders>
            <w:shd w:val="clear" w:color="auto" w:fill="auto"/>
            <w:noWrap/>
            <w:vAlign w:val="bottom"/>
            <w:hideMark/>
          </w:tcPr>
          <w:p w14:paraId="619EB6E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1748 (107)</w:t>
            </w:r>
          </w:p>
        </w:tc>
        <w:tc>
          <w:tcPr>
            <w:tcW w:w="976" w:type="dxa"/>
            <w:tcBorders>
              <w:top w:val="nil"/>
              <w:left w:val="nil"/>
              <w:bottom w:val="nil"/>
              <w:right w:val="single" w:sz="4" w:space="0" w:color="auto"/>
            </w:tcBorders>
            <w:shd w:val="clear" w:color="auto" w:fill="auto"/>
            <w:noWrap/>
            <w:vAlign w:val="bottom"/>
            <w:hideMark/>
          </w:tcPr>
          <w:p w14:paraId="20DC110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63 (9)</w:t>
            </w:r>
          </w:p>
        </w:tc>
        <w:tc>
          <w:tcPr>
            <w:tcW w:w="1006" w:type="dxa"/>
            <w:tcBorders>
              <w:top w:val="nil"/>
              <w:left w:val="nil"/>
              <w:bottom w:val="nil"/>
              <w:right w:val="single" w:sz="4" w:space="0" w:color="auto"/>
            </w:tcBorders>
            <w:shd w:val="clear" w:color="000000" w:fill="E2EFDA"/>
            <w:noWrap/>
            <w:vAlign w:val="bottom"/>
            <w:hideMark/>
          </w:tcPr>
          <w:p w14:paraId="3585906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413 (40)</w:t>
            </w:r>
          </w:p>
        </w:tc>
        <w:tc>
          <w:tcPr>
            <w:tcW w:w="1036" w:type="dxa"/>
            <w:tcBorders>
              <w:top w:val="nil"/>
              <w:left w:val="nil"/>
              <w:bottom w:val="nil"/>
              <w:right w:val="single" w:sz="4" w:space="0" w:color="auto"/>
            </w:tcBorders>
            <w:shd w:val="clear" w:color="auto" w:fill="auto"/>
            <w:noWrap/>
            <w:vAlign w:val="bottom"/>
            <w:hideMark/>
          </w:tcPr>
          <w:p w14:paraId="6001CA55"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660 (44)</w:t>
            </w:r>
          </w:p>
        </w:tc>
        <w:tc>
          <w:tcPr>
            <w:tcW w:w="986" w:type="dxa"/>
            <w:tcBorders>
              <w:top w:val="nil"/>
              <w:left w:val="nil"/>
              <w:bottom w:val="nil"/>
              <w:right w:val="single" w:sz="4" w:space="0" w:color="auto"/>
            </w:tcBorders>
            <w:shd w:val="clear" w:color="auto" w:fill="auto"/>
            <w:noWrap/>
            <w:vAlign w:val="bottom"/>
            <w:hideMark/>
          </w:tcPr>
          <w:p w14:paraId="3FBC15F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50 (9)</w:t>
            </w:r>
          </w:p>
        </w:tc>
        <w:tc>
          <w:tcPr>
            <w:tcW w:w="1057" w:type="dxa"/>
            <w:tcBorders>
              <w:top w:val="nil"/>
              <w:left w:val="nil"/>
              <w:bottom w:val="nil"/>
              <w:right w:val="single" w:sz="4" w:space="0" w:color="auto"/>
            </w:tcBorders>
            <w:shd w:val="clear" w:color="auto" w:fill="auto"/>
            <w:noWrap/>
            <w:vAlign w:val="bottom"/>
            <w:hideMark/>
          </w:tcPr>
          <w:p w14:paraId="2DA28A1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 (1)</w:t>
            </w:r>
          </w:p>
        </w:tc>
      </w:tr>
      <w:tr w:rsidR="00280BCD" w:rsidRPr="006C00BD" w14:paraId="56C851F3" w14:textId="77777777" w:rsidTr="00013FFB">
        <w:trPr>
          <w:trHeight w:val="300"/>
        </w:trPr>
        <w:tc>
          <w:tcPr>
            <w:tcW w:w="541" w:type="dxa"/>
            <w:vMerge/>
            <w:tcBorders>
              <w:top w:val="nil"/>
              <w:left w:val="nil"/>
              <w:bottom w:val="nil"/>
              <w:right w:val="single" w:sz="4" w:space="0" w:color="auto"/>
            </w:tcBorders>
            <w:vAlign w:val="center"/>
            <w:hideMark/>
          </w:tcPr>
          <w:p w14:paraId="15130647"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15E47ED4"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3 crops</w:t>
            </w:r>
          </w:p>
        </w:tc>
        <w:tc>
          <w:tcPr>
            <w:tcW w:w="1336" w:type="dxa"/>
            <w:tcBorders>
              <w:top w:val="nil"/>
              <w:left w:val="nil"/>
              <w:bottom w:val="nil"/>
              <w:right w:val="single" w:sz="4" w:space="0" w:color="auto"/>
            </w:tcBorders>
            <w:shd w:val="clear" w:color="000000" w:fill="FFAFB1"/>
            <w:noWrap/>
            <w:vAlign w:val="bottom"/>
            <w:hideMark/>
          </w:tcPr>
          <w:p w14:paraId="79E244DB"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481 (37)</w:t>
            </w:r>
          </w:p>
        </w:tc>
        <w:tc>
          <w:tcPr>
            <w:tcW w:w="1156" w:type="dxa"/>
            <w:tcBorders>
              <w:top w:val="nil"/>
              <w:left w:val="nil"/>
              <w:bottom w:val="nil"/>
              <w:right w:val="single" w:sz="4" w:space="0" w:color="auto"/>
            </w:tcBorders>
            <w:shd w:val="clear" w:color="auto" w:fill="auto"/>
            <w:noWrap/>
            <w:vAlign w:val="bottom"/>
            <w:hideMark/>
          </w:tcPr>
          <w:p w14:paraId="78788E73"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61 (17)</w:t>
            </w:r>
          </w:p>
        </w:tc>
        <w:tc>
          <w:tcPr>
            <w:tcW w:w="1100" w:type="dxa"/>
            <w:tcBorders>
              <w:top w:val="nil"/>
              <w:left w:val="nil"/>
              <w:bottom w:val="nil"/>
              <w:right w:val="single" w:sz="4" w:space="0" w:color="auto"/>
            </w:tcBorders>
            <w:shd w:val="clear" w:color="auto" w:fill="auto"/>
            <w:noWrap/>
            <w:vAlign w:val="bottom"/>
            <w:hideMark/>
          </w:tcPr>
          <w:p w14:paraId="43FDCC96"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125 (21)</w:t>
            </w:r>
          </w:p>
        </w:tc>
        <w:tc>
          <w:tcPr>
            <w:tcW w:w="976" w:type="dxa"/>
            <w:tcBorders>
              <w:top w:val="nil"/>
              <w:left w:val="nil"/>
              <w:bottom w:val="nil"/>
              <w:right w:val="single" w:sz="4" w:space="0" w:color="auto"/>
            </w:tcBorders>
            <w:shd w:val="clear" w:color="auto" w:fill="auto"/>
            <w:noWrap/>
            <w:vAlign w:val="bottom"/>
            <w:hideMark/>
          </w:tcPr>
          <w:p w14:paraId="7A9E653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32 (2)</w:t>
            </w:r>
          </w:p>
        </w:tc>
        <w:tc>
          <w:tcPr>
            <w:tcW w:w="1006" w:type="dxa"/>
            <w:tcBorders>
              <w:top w:val="nil"/>
              <w:left w:val="nil"/>
              <w:bottom w:val="nil"/>
              <w:right w:val="single" w:sz="4" w:space="0" w:color="auto"/>
            </w:tcBorders>
            <w:shd w:val="clear" w:color="000000" w:fill="E2EFDA"/>
            <w:noWrap/>
            <w:vAlign w:val="bottom"/>
            <w:hideMark/>
          </w:tcPr>
          <w:p w14:paraId="299ED1B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48 (10)</w:t>
            </w:r>
          </w:p>
        </w:tc>
        <w:tc>
          <w:tcPr>
            <w:tcW w:w="1036" w:type="dxa"/>
            <w:tcBorders>
              <w:top w:val="nil"/>
              <w:left w:val="nil"/>
              <w:bottom w:val="nil"/>
              <w:right w:val="single" w:sz="4" w:space="0" w:color="auto"/>
            </w:tcBorders>
            <w:shd w:val="clear" w:color="000000" w:fill="E2EFDA"/>
            <w:noWrap/>
            <w:vAlign w:val="bottom"/>
            <w:hideMark/>
          </w:tcPr>
          <w:p w14:paraId="4CDF48F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27 (8)</w:t>
            </w:r>
          </w:p>
        </w:tc>
        <w:tc>
          <w:tcPr>
            <w:tcW w:w="986" w:type="dxa"/>
            <w:tcBorders>
              <w:top w:val="nil"/>
              <w:left w:val="nil"/>
              <w:bottom w:val="nil"/>
              <w:right w:val="single" w:sz="4" w:space="0" w:color="auto"/>
            </w:tcBorders>
            <w:shd w:val="clear" w:color="auto" w:fill="auto"/>
            <w:noWrap/>
            <w:vAlign w:val="bottom"/>
            <w:hideMark/>
          </w:tcPr>
          <w:p w14:paraId="2CFE36FE"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 (2)</w:t>
            </w:r>
          </w:p>
        </w:tc>
        <w:tc>
          <w:tcPr>
            <w:tcW w:w="1057" w:type="dxa"/>
            <w:tcBorders>
              <w:top w:val="nil"/>
              <w:left w:val="nil"/>
              <w:bottom w:val="nil"/>
              <w:right w:val="single" w:sz="4" w:space="0" w:color="auto"/>
            </w:tcBorders>
            <w:shd w:val="clear" w:color="auto" w:fill="auto"/>
            <w:noWrap/>
            <w:vAlign w:val="bottom"/>
            <w:hideMark/>
          </w:tcPr>
          <w:p w14:paraId="2F90884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66595868" w14:textId="77777777" w:rsidTr="00013FFB">
        <w:trPr>
          <w:trHeight w:val="300"/>
        </w:trPr>
        <w:tc>
          <w:tcPr>
            <w:tcW w:w="541" w:type="dxa"/>
            <w:vMerge/>
            <w:tcBorders>
              <w:top w:val="nil"/>
              <w:left w:val="nil"/>
              <w:bottom w:val="nil"/>
              <w:right w:val="single" w:sz="4" w:space="0" w:color="auto"/>
            </w:tcBorders>
            <w:vAlign w:val="center"/>
            <w:hideMark/>
          </w:tcPr>
          <w:p w14:paraId="5DFCA86C"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40D62C93"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&gt;3 crops</w:t>
            </w:r>
          </w:p>
        </w:tc>
        <w:tc>
          <w:tcPr>
            <w:tcW w:w="1336" w:type="dxa"/>
            <w:tcBorders>
              <w:top w:val="nil"/>
              <w:left w:val="nil"/>
              <w:bottom w:val="single" w:sz="4" w:space="0" w:color="auto"/>
              <w:right w:val="single" w:sz="4" w:space="0" w:color="auto"/>
            </w:tcBorders>
            <w:shd w:val="clear" w:color="000000" w:fill="FFAFB1"/>
            <w:noWrap/>
            <w:vAlign w:val="bottom"/>
            <w:hideMark/>
          </w:tcPr>
          <w:p w14:paraId="7378C81C"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176 (18)</w:t>
            </w:r>
          </w:p>
        </w:tc>
        <w:tc>
          <w:tcPr>
            <w:tcW w:w="1156" w:type="dxa"/>
            <w:tcBorders>
              <w:top w:val="nil"/>
              <w:left w:val="nil"/>
              <w:bottom w:val="single" w:sz="4" w:space="0" w:color="auto"/>
              <w:right w:val="single" w:sz="4" w:space="0" w:color="auto"/>
            </w:tcBorders>
            <w:shd w:val="clear" w:color="auto" w:fill="auto"/>
            <w:noWrap/>
            <w:vAlign w:val="bottom"/>
            <w:hideMark/>
          </w:tcPr>
          <w:p w14:paraId="7BA1C9A9"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22 (6)</w:t>
            </w:r>
          </w:p>
        </w:tc>
        <w:tc>
          <w:tcPr>
            <w:tcW w:w="1100" w:type="dxa"/>
            <w:tcBorders>
              <w:top w:val="nil"/>
              <w:left w:val="nil"/>
              <w:bottom w:val="single" w:sz="4" w:space="0" w:color="auto"/>
              <w:right w:val="single" w:sz="4" w:space="0" w:color="auto"/>
            </w:tcBorders>
            <w:shd w:val="clear" w:color="auto" w:fill="auto"/>
            <w:noWrap/>
            <w:vAlign w:val="bottom"/>
            <w:hideMark/>
          </w:tcPr>
          <w:p w14:paraId="08C2636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63 (12)</w:t>
            </w:r>
          </w:p>
        </w:tc>
        <w:tc>
          <w:tcPr>
            <w:tcW w:w="976" w:type="dxa"/>
            <w:tcBorders>
              <w:top w:val="nil"/>
              <w:left w:val="nil"/>
              <w:bottom w:val="single" w:sz="4" w:space="0" w:color="auto"/>
              <w:right w:val="single" w:sz="4" w:space="0" w:color="auto"/>
            </w:tcBorders>
            <w:shd w:val="clear" w:color="auto" w:fill="auto"/>
            <w:noWrap/>
            <w:vAlign w:val="bottom"/>
            <w:hideMark/>
          </w:tcPr>
          <w:p w14:paraId="246BA4B5"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 (2)</w:t>
            </w:r>
          </w:p>
        </w:tc>
        <w:tc>
          <w:tcPr>
            <w:tcW w:w="1006" w:type="dxa"/>
            <w:tcBorders>
              <w:top w:val="nil"/>
              <w:left w:val="nil"/>
              <w:bottom w:val="single" w:sz="4" w:space="0" w:color="auto"/>
              <w:right w:val="single" w:sz="4" w:space="0" w:color="auto"/>
            </w:tcBorders>
            <w:shd w:val="clear" w:color="auto" w:fill="auto"/>
            <w:noWrap/>
            <w:vAlign w:val="bottom"/>
            <w:hideMark/>
          </w:tcPr>
          <w:p w14:paraId="509A8221"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 (4)</w:t>
            </w:r>
          </w:p>
        </w:tc>
        <w:tc>
          <w:tcPr>
            <w:tcW w:w="1036" w:type="dxa"/>
            <w:tcBorders>
              <w:top w:val="nil"/>
              <w:left w:val="nil"/>
              <w:bottom w:val="single" w:sz="4" w:space="0" w:color="auto"/>
              <w:right w:val="single" w:sz="4" w:space="0" w:color="auto"/>
            </w:tcBorders>
            <w:shd w:val="clear" w:color="auto" w:fill="auto"/>
            <w:noWrap/>
            <w:vAlign w:val="bottom"/>
            <w:hideMark/>
          </w:tcPr>
          <w:p w14:paraId="527F05A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 (2)</w:t>
            </w:r>
          </w:p>
        </w:tc>
        <w:tc>
          <w:tcPr>
            <w:tcW w:w="986" w:type="dxa"/>
            <w:tcBorders>
              <w:top w:val="nil"/>
              <w:left w:val="nil"/>
              <w:bottom w:val="single" w:sz="4" w:space="0" w:color="auto"/>
              <w:right w:val="single" w:sz="4" w:space="0" w:color="auto"/>
            </w:tcBorders>
            <w:shd w:val="clear" w:color="auto" w:fill="auto"/>
            <w:noWrap/>
            <w:vAlign w:val="bottom"/>
            <w:hideMark/>
          </w:tcPr>
          <w:p w14:paraId="6E09A7F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 (1)</w:t>
            </w:r>
          </w:p>
        </w:tc>
        <w:tc>
          <w:tcPr>
            <w:tcW w:w="1057" w:type="dxa"/>
            <w:tcBorders>
              <w:top w:val="nil"/>
              <w:left w:val="nil"/>
              <w:bottom w:val="single" w:sz="4" w:space="0" w:color="auto"/>
              <w:right w:val="single" w:sz="4" w:space="0" w:color="auto"/>
            </w:tcBorders>
            <w:shd w:val="clear" w:color="auto" w:fill="auto"/>
            <w:noWrap/>
            <w:vAlign w:val="bottom"/>
            <w:hideMark/>
          </w:tcPr>
          <w:p w14:paraId="037CD08D"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2A2E227F" w14:textId="77777777" w:rsidTr="00013FFB">
        <w:trPr>
          <w:trHeight w:val="300"/>
        </w:trPr>
        <w:tc>
          <w:tcPr>
            <w:tcW w:w="541" w:type="dxa"/>
            <w:vMerge/>
            <w:tcBorders>
              <w:top w:val="nil"/>
              <w:left w:val="nil"/>
              <w:bottom w:val="nil"/>
              <w:right w:val="single" w:sz="4" w:space="0" w:color="auto"/>
            </w:tcBorders>
            <w:vAlign w:val="center"/>
            <w:hideMark/>
          </w:tcPr>
          <w:p w14:paraId="0CA18DE9"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2CCDEE59"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Sowing before</w:t>
            </w:r>
          </w:p>
        </w:tc>
        <w:tc>
          <w:tcPr>
            <w:tcW w:w="1336" w:type="dxa"/>
            <w:tcBorders>
              <w:top w:val="nil"/>
              <w:left w:val="nil"/>
              <w:bottom w:val="nil"/>
              <w:right w:val="single" w:sz="4" w:space="0" w:color="auto"/>
            </w:tcBorders>
            <w:shd w:val="clear" w:color="000000" w:fill="FFAFB1"/>
            <w:noWrap/>
            <w:vAlign w:val="bottom"/>
            <w:hideMark/>
          </w:tcPr>
          <w:p w14:paraId="733DA9D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1926 (66)</w:t>
            </w:r>
          </w:p>
        </w:tc>
        <w:tc>
          <w:tcPr>
            <w:tcW w:w="1156" w:type="dxa"/>
            <w:tcBorders>
              <w:top w:val="nil"/>
              <w:left w:val="nil"/>
              <w:bottom w:val="nil"/>
              <w:right w:val="single" w:sz="4" w:space="0" w:color="auto"/>
            </w:tcBorders>
            <w:shd w:val="clear" w:color="auto" w:fill="auto"/>
            <w:noWrap/>
            <w:vAlign w:val="bottom"/>
            <w:hideMark/>
          </w:tcPr>
          <w:p w14:paraId="1FA99152"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199 (18)</w:t>
            </w:r>
          </w:p>
        </w:tc>
        <w:tc>
          <w:tcPr>
            <w:tcW w:w="1100" w:type="dxa"/>
            <w:tcBorders>
              <w:top w:val="nil"/>
              <w:left w:val="nil"/>
              <w:bottom w:val="nil"/>
              <w:right w:val="single" w:sz="4" w:space="0" w:color="auto"/>
            </w:tcBorders>
            <w:shd w:val="clear" w:color="auto" w:fill="auto"/>
            <w:noWrap/>
            <w:vAlign w:val="bottom"/>
            <w:hideMark/>
          </w:tcPr>
          <w:p w14:paraId="4738C62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621 (33)</w:t>
            </w:r>
          </w:p>
        </w:tc>
        <w:tc>
          <w:tcPr>
            <w:tcW w:w="976" w:type="dxa"/>
            <w:tcBorders>
              <w:top w:val="nil"/>
              <w:left w:val="nil"/>
              <w:bottom w:val="nil"/>
              <w:right w:val="single" w:sz="4" w:space="0" w:color="auto"/>
            </w:tcBorders>
            <w:shd w:val="clear" w:color="auto" w:fill="auto"/>
            <w:noWrap/>
            <w:vAlign w:val="bottom"/>
            <w:hideMark/>
          </w:tcPr>
          <w:p w14:paraId="6816144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87 (7)</w:t>
            </w:r>
          </w:p>
        </w:tc>
        <w:tc>
          <w:tcPr>
            <w:tcW w:w="1006" w:type="dxa"/>
            <w:tcBorders>
              <w:top w:val="nil"/>
              <w:left w:val="nil"/>
              <w:bottom w:val="nil"/>
              <w:right w:val="single" w:sz="4" w:space="0" w:color="auto"/>
            </w:tcBorders>
            <w:shd w:val="clear" w:color="000000" w:fill="E2EFDA"/>
            <w:noWrap/>
            <w:vAlign w:val="bottom"/>
            <w:hideMark/>
          </w:tcPr>
          <w:p w14:paraId="32144F98"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122 (11)</w:t>
            </w:r>
          </w:p>
        </w:tc>
        <w:tc>
          <w:tcPr>
            <w:tcW w:w="1036" w:type="dxa"/>
            <w:tcBorders>
              <w:top w:val="nil"/>
              <w:left w:val="nil"/>
              <w:bottom w:val="nil"/>
              <w:right w:val="single" w:sz="4" w:space="0" w:color="auto"/>
            </w:tcBorders>
            <w:shd w:val="clear" w:color="auto" w:fill="auto"/>
            <w:noWrap/>
            <w:vAlign w:val="bottom"/>
            <w:hideMark/>
          </w:tcPr>
          <w:p w14:paraId="503E3A5B"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222 (11)</w:t>
            </w:r>
          </w:p>
        </w:tc>
        <w:tc>
          <w:tcPr>
            <w:tcW w:w="986" w:type="dxa"/>
            <w:tcBorders>
              <w:top w:val="nil"/>
              <w:left w:val="nil"/>
              <w:bottom w:val="nil"/>
              <w:right w:val="single" w:sz="4" w:space="0" w:color="auto"/>
            </w:tcBorders>
            <w:shd w:val="clear" w:color="auto" w:fill="auto"/>
            <w:noWrap/>
            <w:vAlign w:val="bottom"/>
            <w:hideMark/>
          </w:tcPr>
          <w:p w14:paraId="7E51A17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 (1)</w:t>
            </w:r>
          </w:p>
        </w:tc>
        <w:tc>
          <w:tcPr>
            <w:tcW w:w="1057" w:type="dxa"/>
            <w:tcBorders>
              <w:top w:val="nil"/>
              <w:left w:val="nil"/>
              <w:bottom w:val="nil"/>
              <w:right w:val="single" w:sz="4" w:space="0" w:color="auto"/>
            </w:tcBorders>
            <w:shd w:val="clear" w:color="auto" w:fill="auto"/>
            <w:noWrap/>
            <w:vAlign w:val="bottom"/>
            <w:hideMark/>
          </w:tcPr>
          <w:p w14:paraId="1CACBF2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5C31E71E" w14:textId="77777777" w:rsidTr="00013FFB">
        <w:trPr>
          <w:trHeight w:val="300"/>
        </w:trPr>
        <w:tc>
          <w:tcPr>
            <w:tcW w:w="541" w:type="dxa"/>
            <w:vMerge/>
            <w:tcBorders>
              <w:top w:val="nil"/>
              <w:left w:val="nil"/>
              <w:bottom w:val="nil"/>
              <w:right w:val="single" w:sz="4" w:space="0" w:color="auto"/>
            </w:tcBorders>
            <w:vAlign w:val="center"/>
            <w:hideMark/>
          </w:tcPr>
          <w:p w14:paraId="46EE281F"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3985F9C4"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Sowing simultaneously</w:t>
            </w:r>
          </w:p>
        </w:tc>
        <w:tc>
          <w:tcPr>
            <w:tcW w:w="1336" w:type="dxa"/>
            <w:tcBorders>
              <w:top w:val="nil"/>
              <w:left w:val="nil"/>
              <w:bottom w:val="nil"/>
              <w:right w:val="single" w:sz="4" w:space="0" w:color="auto"/>
            </w:tcBorders>
            <w:shd w:val="clear" w:color="000000" w:fill="FFAFB1"/>
            <w:noWrap/>
            <w:vAlign w:val="bottom"/>
            <w:hideMark/>
          </w:tcPr>
          <w:p w14:paraId="63CB9923"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1678 (87)</w:t>
            </w:r>
          </w:p>
        </w:tc>
        <w:tc>
          <w:tcPr>
            <w:tcW w:w="1156" w:type="dxa"/>
            <w:tcBorders>
              <w:top w:val="nil"/>
              <w:left w:val="nil"/>
              <w:bottom w:val="nil"/>
              <w:right w:val="single" w:sz="4" w:space="0" w:color="auto"/>
            </w:tcBorders>
            <w:shd w:val="clear" w:color="auto" w:fill="auto"/>
            <w:noWrap/>
            <w:vAlign w:val="bottom"/>
            <w:hideMark/>
          </w:tcPr>
          <w:p w14:paraId="14BEB1C1"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370 (32)</w:t>
            </w:r>
          </w:p>
        </w:tc>
        <w:tc>
          <w:tcPr>
            <w:tcW w:w="1100" w:type="dxa"/>
            <w:tcBorders>
              <w:top w:val="nil"/>
              <w:left w:val="nil"/>
              <w:bottom w:val="nil"/>
              <w:right w:val="single" w:sz="4" w:space="0" w:color="auto"/>
            </w:tcBorders>
            <w:shd w:val="clear" w:color="auto" w:fill="auto"/>
            <w:noWrap/>
            <w:vAlign w:val="bottom"/>
            <w:hideMark/>
          </w:tcPr>
          <w:p w14:paraId="72B5EB0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591 (38)</w:t>
            </w:r>
          </w:p>
        </w:tc>
        <w:tc>
          <w:tcPr>
            <w:tcW w:w="976" w:type="dxa"/>
            <w:tcBorders>
              <w:top w:val="nil"/>
              <w:left w:val="nil"/>
              <w:bottom w:val="nil"/>
              <w:right w:val="single" w:sz="4" w:space="0" w:color="auto"/>
            </w:tcBorders>
            <w:shd w:val="clear" w:color="auto" w:fill="auto"/>
            <w:noWrap/>
            <w:vAlign w:val="bottom"/>
            <w:hideMark/>
          </w:tcPr>
          <w:p w14:paraId="4805D13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4 (2)</w:t>
            </w:r>
          </w:p>
        </w:tc>
        <w:tc>
          <w:tcPr>
            <w:tcW w:w="1006" w:type="dxa"/>
            <w:tcBorders>
              <w:top w:val="nil"/>
              <w:left w:val="nil"/>
              <w:bottom w:val="nil"/>
              <w:right w:val="single" w:sz="4" w:space="0" w:color="auto"/>
            </w:tcBorders>
            <w:shd w:val="clear" w:color="auto" w:fill="auto"/>
            <w:noWrap/>
            <w:vAlign w:val="bottom"/>
            <w:hideMark/>
          </w:tcPr>
          <w:p w14:paraId="22391AC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88 (9)</w:t>
            </w:r>
          </w:p>
        </w:tc>
        <w:tc>
          <w:tcPr>
            <w:tcW w:w="1036" w:type="dxa"/>
            <w:tcBorders>
              <w:top w:val="nil"/>
              <w:left w:val="nil"/>
              <w:bottom w:val="nil"/>
              <w:right w:val="single" w:sz="4" w:space="0" w:color="auto"/>
            </w:tcBorders>
            <w:shd w:val="clear" w:color="auto" w:fill="auto"/>
            <w:noWrap/>
            <w:vAlign w:val="bottom"/>
            <w:hideMark/>
          </w:tcPr>
          <w:p w14:paraId="03C61E2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330 (17)</w:t>
            </w:r>
          </w:p>
        </w:tc>
        <w:tc>
          <w:tcPr>
            <w:tcW w:w="986" w:type="dxa"/>
            <w:tcBorders>
              <w:top w:val="nil"/>
              <w:left w:val="nil"/>
              <w:bottom w:val="nil"/>
              <w:right w:val="single" w:sz="4" w:space="0" w:color="auto"/>
            </w:tcBorders>
            <w:shd w:val="clear" w:color="000000" w:fill="E2EFDA"/>
            <w:noWrap/>
            <w:vAlign w:val="bottom"/>
            <w:hideMark/>
          </w:tcPr>
          <w:p w14:paraId="627FF61D"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18 (4)</w:t>
            </w:r>
          </w:p>
        </w:tc>
        <w:tc>
          <w:tcPr>
            <w:tcW w:w="1057" w:type="dxa"/>
            <w:tcBorders>
              <w:top w:val="nil"/>
              <w:left w:val="nil"/>
              <w:bottom w:val="nil"/>
              <w:right w:val="single" w:sz="4" w:space="0" w:color="auto"/>
            </w:tcBorders>
            <w:shd w:val="clear" w:color="auto" w:fill="auto"/>
            <w:noWrap/>
            <w:vAlign w:val="bottom"/>
            <w:hideMark/>
          </w:tcPr>
          <w:p w14:paraId="6211B3F7"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56C06F03" w14:textId="77777777" w:rsidTr="00013FFB">
        <w:trPr>
          <w:trHeight w:val="300"/>
        </w:trPr>
        <w:tc>
          <w:tcPr>
            <w:tcW w:w="541" w:type="dxa"/>
            <w:vMerge/>
            <w:tcBorders>
              <w:top w:val="nil"/>
              <w:left w:val="nil"/>
              <w:bottom w:val="nil"/>
              <w:right w:val="single" w:sz="4" w:space="0" w:color="auto"/>
            </w:tcBorders>
            <w:vAlign w:val="center"/>
            <w:hideMark/>
          </w:tcPr>
          <w:p w14:paraId="017C4251"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1708DDCB"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Sowing after</w:t>
            </w:r>
          </w:p>
        </w:tc>
        <w:tc>
          <w:tcPr>
            <w:tcW w:w="1336" w:type="dxa"/>
            <w:tcBorders>
              <w:top w:val="nil"/>
              <w:left w:val="nil"/>
              <w:bottom w:val="single" w:sz="4" w:space="0" w:color="auto"/>
              <w:right w:val="single" w:sz="4" w:space="0" w:color="auto"/>
            </w:tcBorders>
            <w:shd w:val="clear" w:color="auto" w:fill="auto"/>
            <w:noWrap/>
            <w:vAlign w:val="bottom"/>
            <w:hideMark/>
          </w:tcPr>
          <w:p w14:paraId="4A316959"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616 (34)</w:t>
            </w:r>
          </w:p>
        </w:tc>
        <w:tc>
          <w:tcPr>
            <w:tcW w:w="1156" w:type="dxa"/>
            <w:tcBorders>
              <w:top w:val="nil"/>
              <w:left w:val="nil"/>
              <w:bottom w:val="single" w:sz="4" w:space="0" w:color="auto"/>
              <w:right w:val="single" w:sz="4" w:space="0" w:color="auto"/>
            </w:tcBorders>
            <w:shd w:val="clear" w:color="000000" w:fill="FFAFB1"/>
            <w:noWrap/>
            <w:vAlign w:val="bottom"/>
            <w:hideMark/>
          </w:tcPr>
          <w:p w14:paraId="64A34DF0"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87 (8)</w:t>
            </w:r>
          </w:p>
        </w:tc>
        <w:tc>
          <w:tcPr>
            <w:tcW w:w="1100" w:type="dxa"/>
            <w:tcBorders>
              <w:top w:val="nil"/>
              <w:left w:val="nil"/>
              <w:bottom w:val="single" w:sz="4" w:space="0" w:color="auto"/>
              <w:right w:val="single" w:sz="4" w:space="0" w:color="auto"/>
            </w:tcBorders>
            <w:shd w:val="clear" w:color="auto" w:fill="auto"/>
            <w:noWrap/>
            <w:vAlign w:val="bottom"/>
            <w:hideMark/>
          </w:tcPr>
          <w:p w14:paraId="67F1E72C"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229 (23)</w:t>
            </w:r>
          </w:p>
        </w:tc>
        <w:tc>
          <w:tcPr>
            <w:tcW w:w="976" w:type="dxa"/>
            <w:tcBorders>
              <w:top w:val="nil"/>
              <w:left w:val="nil"/>
              <w:bottom w:val="single" w:sz="4" w:space="0" w:color="auto"/>
              <w:right w:val="single" w:sz="4" w:space="0" w:color="auto"/>
            </w:tcBorders>
            <w:shd w:val="clear" w:color="auto" w:fill="auto"/>
            <w:noWrap/>
            <w:vAlign w:val="bottom"/>
            <w:hideMark/>
          </w:tcPr>
          <w:p w14:paraId="463E6DE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06" w:type="dxa"/>
            <w:tcBorders>
              <w:top w:val="nil"/>
              <w:left w:val="nil"/>
              <w:bottom w:val="single" w:sz="4" w:space="0" w:color="auto"/>
              <w:right w:val="single" w:sz="4" w:space="0" w:color="auto"/>
            </w:tcBorders>
            <w:shd w:val="clear" w:color="000000" w:fill="E2EFDA"/>
            <w:noWrap/>
            <w:vAlign w:val="bottom"/>
            <w:hideMark/>
          </w:tcPr>
          <w:p w14:paraId="640B3ED6"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148 (15)</w:t>
            </w:r>
          </w:p>
        </w:tc>
        <w:tc>
          <w:tcPr>
            <w:tcW w:w="1036" w:type="dxa"/>
            <w:tcBorders>
              <w:top w:val="nil"/>
              <w:left w:val="nil"/>
              <w:bottom w:val="single" w:sz="4" w:space="0" w:color="auto"/>
              <w:right w:val="single" w:sz="4" w:space="0" w:color="auto"/>
            </w:tcBorders>
            <w:shd w:val="clear" w:color="auto" w:fill="auto"/>
            <w:noWrap/>
            <w:vAlign w:val="bottom"/>
            <w:hideMark/>
          </w:tcPr>
          <w:p w14:paraId="1E76849E"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64 (6)</w:t>
            </w:r>
          </w:p>
        </w:tc>
        <w:tc>
          <w:tcPr>
            <w:tcW w:w="986" w:type="dxa"/>
            <w:tcBorders>
              <w:top w:val="nil"/>
              <w:left w:val="nil"/>
              <w:bottom w:val="single" w:sz="4" w:space="0" w:color="auto"/>
              <w:right w:val="single" w:sz="4" w:space="0" w:color="auto"/>
            </w:tcBorders>
            <w:shd w:val="clear" w:color="auto" w:fill="auto"/>
            <w:noWrap/>
            <w:vAlign w:val="bottom"/>
            <w:hideMark/>
          </w:tcPr>
          <w:p w14:paraId="43CA51F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29 (3)</w:t>
            </w:r>
          </w:p>
        </w:tc>
        <w:tc>
          <w:tcPr>
            <w:tcW w:w="1057" w:type="dxa"/>
            <w:tcBorders>
              <w:top w:val="nil"/>
              <w:left w:val="nil"/>
              <w:bottom w:val="single" w:sz="4" w:space="0" w:color="auto"/>
              <w:right w:val="single" w:sz="4" w:space="0" w:color="auto"/>
            </w:tcBorders>
            <w:shd w:val="clear" w:color="auto" w:fill="auto"/>
            <w:noWrap/>
            <w:vAlign w:val="bottom"/>
            <w:hideMark/>
          </w:tcPr>
          <w:p w14:paraId="43B6CC17"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2C092073" w14:textId="77777777" w:rsidTr="00013FFB">
        <w:trPr>
          <w:trHeight w:val="300"/>
        </w:trPr>
        <w:tc>
          <w:tcPr>
            <w:tcW w:w="541" w:type="dxa"/>
            <w:vMerge w:val="restart"/>
            <w:tcBorders>
              <w:top w:val="nil"/>
              <w:left w:val="nil"/>
              <w:bottom w:val="single" w:sz="4" w:space="0" w:color="000000"/>
              <w:right w:val="single" w:sz="4" w:space="0" w:color="auto"/>
            </w:tcBorders>
            <w:shd w:val="clear" w:color="000000" w:fill="3333CC"/>
            <w:noWrap/>
            <w:textDirection w:val="btLr"/>
            <w:vAlign w:val="center"/>
            <w:hideMark/>
          </w:tcPr>
          <w:p w14:paraId="2F6FAC12" w14:textId="77777777" w:rsidR="00280BCD" w:rsidRPr="006C00BD" w:rsidRDefault="00280BCD" w:rsidP="00C65089">
            <w:pPr>
              <w:spacing w:line="360" w:lineRule="auto"/>
              <w:jc w:val="center"/>
              <w:rPr>
                <w:color w:val="FFFFFF"/>
                <w:sz w:val="18"/>
                <w:szCs w:val="18"/>
                <w:lang w:val="en-GB" w:eastAsia="en-GB"/>
              </w:rPr>
            </w:pPr>
            <w:r w:rsidRPr="006C00BD">
              <w:rPr>
                <w:color w:val="FFFFFF"/>
                <w:sz w:val="18"/>
                <w:szCs w:val="18"/>
                <w:lang w:val="en-GB" w:eastAsia="en-GB"/>
              </w:rPr>
              <w:lastRenderedPageBreak/>
              <w:t>Flower resource</w:t>
            </w:r>
          </w:p>
        </w:tc>
        <w:tc>
          <w:tcPr>
            <w:tcW w:w="2020" w:type="dxa"/>
            <w:tcBorders>
              <w:top w:val="nil"/>
              <w:left w:val="nil"/>
              <w:bottom w:val="nil"/>
              <w:right w:val="single" w:sz="4" w:space="0" w:color="auto"/>
            </w:tcBorders>
            <w:shd w:val="clear" w:color="000000" w:fill="DBDBDB"/>
            <w:noWrap/>
            <w:vAlign w:val="bottom"/>
            <w:hideMark/>
          </w:tcPr>
          <w:p w14:paraId="6A28EA2E"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Separated from crops</w:t>
            </w:r>
          </w:p>
        </w:tc>
        <w:tc>
          <w:tcPr>
            <w:tcW w:w="1336" w:type="dxa"/>
            <w:tcBorders>
              <w:top w:val="nil"/>
              <w:left w:val="nil"/>
              <w:bottom w:val="nil"/>
              <w:right w:val="single" w:sz="4" w:space="0" w:color="auto"/>
            </w:tcBorders>
            <w:shd w:val="clear" w:color="auto" w:fill="auto"/>
            <w:noWrap/>
            <w:vAlign w:val="bottom"/>
            <w:hideMark/>
          </w:tcPr>
          <w:p w14:paraId="3EACD70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121 (15)</w:t>
            </w:r>
          </w:p>
        </w:tc>
        <w:tc>
          <w:tcPr>
            <w:tcW w:w="1156" w:type="dxa"/>
            <w:tcBorders>
              <w:top w:val="nil"/>
              <w:left w:val="nil"/>
              <w:bottom w:val="nil"/>
              <w:right w:val="single" w:sz="4" w:space="0" w:color="auto"/>
            </w:tcBorders>
            <w:shd w:val="clear" w:color="auto" w:fill="auto"/>
            <w:noWrap/>
            <w:vAlign w:val="bottom"/>
            <w:hideMark/>
          </w:tcPr>
          <w:p w14:paraId="07C20C1A"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22 (5)</w:t>
            </w:r>
          </w:p>
        </w:tc>
        <w:tc>
          <w:tcPr>
            <w:tcW w:w="1100" w:type="dxa"/>
            <w:tcBorders>
              <w:top w:val="nil"/>
              <w:left w:val="nil"/>
              <w:bottom w:val="nil"/>
              <w:right w:val="single" w:sz="4" w:space="0" w:color="auto"/>
            </w:tcBorders>
            <w:shd w:val="clear" w:color="auto" w:fill="auto"/>
            <w:noWrap/>
            <w:vAlign w:val="bottom"/>
            <w:hideMark/>
          </w:tcPr>
          <w:p w14:paraId="3A56EBC8"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131 (14)</w:t>
            </w:r>
          </w:p>
        </w:tc>
        <w:tc>
          <w:tcPr>
            <w:tcW w:w="976" w:type="dxa"/>
            <w:tcBorders>
              <w:top w:val="nil"/>
              <w:left w:val="nil"/>
              <w:bottom w:val="nil"/>
              <w:right w:val="single" w:sz="4" w:space="0" w:color="auto"/>
            </w:tcBorders>
            <w:shd w:val="clear" w:color="auto" w:fill="auto"/>
            <w:noWrap/>
            <w:vAlign w:val="bottom"/>
            <w:hideMark/>
          </w:tcPr>
          <w:p w14:paraId="33A0232F"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39 (7)</w:t>
            </w:r>
          </w:p>
        </w:tc>
        <w:tc>
          <w:tcPr>
            <w:tcW w:w="1006" w:type="dxa"/>
            <w:tcBorders>
              <w:top w:val="nil"/>
              <w:left w:val="nil"/>
              <w:bottom w:val="nil"/>
              <w:right w:val="single" w:sz="4" w:space="0" w:color="auto"/>
            </w:tcBorders>
            <w:shd w:val="clear" w:color="auto" w:fill="auto"/>
            <w:noWrap/>
            <w:vAlign w:val="bottom"/>
            <w:hideMark/>
          </w:tcPr>
          <w:p w14:paraId="21729F83"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13 (6)</w:t>
            </w:r>
          </w:p>
        </w:tc>
        <w:tc>
          <w:tcPr>
            <w:tcW w:w="1036" w:type="dxa"/>
            <w:tcBorders>
              <w:top w:val="nil"/>
              <w:left w:val="nil"/>
              <w:bottom w:val="nil"/>
              <w:right w:val="single" w:sz="4" w:space="0" w:color="auto"/>
            </w:tcBorders>
            <w:shd w:val="clear" w:color="000000" w:fill="E2EFDA"/>
            <w:noWrap/>
            <w:vAlign w:val="bottom"/>
            <w:hideMark/>
          </w:tcPr>
          <w:p w14:paraId="455E2B7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54 (12)</w:t>
            </w:r>
          </w:p>
        </w:tc>
        <w:tc>
          <w:tcPr>
            <w:tcW w:w="986" w:type="dxa"/>
            <w:tcBorders>
              <w:top w:val="nil"/>
              <w:left w:val="nil"/>
              <w:bottom w:val="nil"/>
              <w:right w:val="single" w:sz="4" w:space="0" w:color="auto"/>
            </w:tcBorders>
            <w:shd w:val="clear" w:color="auto" w:fill="auto"/>
            <w:noWrap/>
            <w:vAlign w:val="bottom"/>
            <w:hideMark/>
          </w:tcPr>
          <w:p w14:paraId="48B6945A"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11 (3)</w:t>
            </w:r>
          </w:p>
        </w:tc>
        <w:tc>
          <w:tcPr>
            <w:tcW w:w="1057" w:type="dxa"/>
            <w:tcBorders>
              <w:top w:val="nil"/>
              <w:left w:val="nil"/>
              <w:bottom w:val="nil"/>
              <w:right w:val="single" w:sz="4" w:space="0" w:color="auto"/>
            </w:tcBorders>
            <w:shd w:val="clear" w:color="auto" w:fill="auto"/>
            <w:noWrap/>
            <w:vAlign w:val="bottom"/>
            <w:hideMark/>
          </w:tcPr>
          <w:p w14:paraId="1F6620E8"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 (1)</w:t>
            </w:r>
          </w:p>
        </w:tc>
      </w:tr>
      <w:tr w:rsidR="00280BCD" w:rsidRPr="006C00BD" w14:paraId="02FAF5BC"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752EB025"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1B286983"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Mixed with crops</w:t>
            </w:r>
          </w:p>
        </w:tc>
        <w:tc>
          <w:tcPr>
            <w:tcW w:w="1336" w:type="dxa"/>
            <w:tcBorders>
              <w:top w:val="nil"/>
              <w:left w:val="nil"/>
              <w:bottom w:val="single" w:sz="4" w:space="0" w:color="auto"/>
              <w:right w:val="single" w:sz="4" w:space="0" w:color="auto"/>
            </w:tcBorders>
            <w:shd w:val="clear" w:color="auto" w:fill="auto"/>
            <w:noWrap/>
            <w:vAlign w:val="bottom"/>
            <w:hideMark/>
          </w:tcPr>
          <w:p w14:paraId="786499FB"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111 (11)</w:t>
            </w:r>
          </w:p>
        </w:tc>
        <w:tc>
          <w:tcPr>
            <w:tcW w:w="1156" w:type="dxa"/>
            <w:tcBorders>
              <w:top w:val="nil"/>
              <w:left w:val="nil"/>
              <w:bottom w:val="single" w:sz="4" w:space="0" w:color="auto"/>
              <w:right w:val="single" w:sz="4" w:space="0" w:color="auto"/>
            </w:tcBorders>
            <w:shd w:val="clear" w:color="auto" w:fill="auto"/>
            <w:noWrap/>
            <w:vAlign w:val="bottom"/>
            <w:hideMark/>
          </w:tcPr>
          <w:p w14:paraId="467438C1"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6 (2)</w:t>
            </w:r>
          </w:p>
        </w:tc>
        <w:tc>
          <w:tcPr>
            <w:tcW w:w="1100" w:type="dxa"/>
            <w:tcBorders>
              <w:top w:val="nil"/>
              <w:left w:val="nil"/>
              <w:bottom w:val="single" w:sz="4" w:space="0" w:color="auto"/>
              <w:right w:val="single" w:sz="4" w:space="0" w:color="auto"/>
            </w:tcBorders>
            <w:shd w:val="clear" w:color="auto" w:fill="auto"/>
            <w:noWrap/>
            <w:vAlign w:val="bottom"/>
            <w:hideMark/>
          </w:tcPr>
          <w:p w14:paraId="73B226A4"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72 (9)</w:t>
            </w:r>
          </w:p>
        </w:tc>
        <w:tc>
          <w:tcPr>
            <w:tcW w:w="976" w:type="dxa"/>
            <w:tcBorders>
              <w:top w:val="nil"/>
              <w:left w:val="nil"/>
              <w:bottom w:val="single" w:sz="4" w:space="0" w:color="auto"/>
              <w:right w:val="single" w:sz="4" w:space="0" w:color="auto"/>
            </w:tcBorders>
            <w:shd w:val="clear" w:color="auto" w:fill="auto"/>
            <w:noWrap/>
            <w:vAlign w:val="bottom"/>
            <w:hideMark/>
          </w:tcPr>
          <w:p w14:paraId="14815C50"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37 (6)</w:t>
            </w:r>
          </w:p>
        </w:tc>
        <w:tc>
          <w:tcPr>
            <w:tcW w:w="1006" w:type="dxa"/>
            <w:tcBorders>
              <w:top w:val="nil"/>
              <w:left w:val="nil"/>
              <w:bottom w:val="single" w:sz="4" w:space="0" w:color="auto"/>
              <w:right w:val="single" w:sz="4" w:space="0" w:color="auto"/>
            </w:tcBorders>
            <w:shd w:val="clear" w:color="auto" w:fill="auto"/>
            <w:noWrap/>
            <w:vAlign w:val="bottom"/>
            <w:hideMark/>
          </w:tcPr>
          <w:p w14:paraId="41BF30E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27 (4)</w:t>
            </w:r>
          </w:p>
        </w:tc>
        <w:tc>
          <w:tcPr>
            <w:tcW w:w="1036" w:type="dxa"/>
            <w:tcBorders>
              <w:top w:val="nil"/>
              <w:left w:val="nil"/>
              <w:bottom w:val="single" w:sz="4" w:space="0" w:color="auto"/>
              <w:right w:val="single" w:sz="4" w:space="0" w:color="auto"/>
            </w:tcBorders>
            <w:shd w:val="clear" w:color="auto" w:fill="auto"/>
            <w:noWrap/>
            <w:vAlign w:val="bottom"/>
            <w:hideMark/>
          </w:tcPr>
          <w:p w14:paraId="5EC488A0"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27 (5)</w:t>
            </w:r>
          </w:p>
        </w:tc>
        <w:tc>
          <w:tcPr>
            <w:tcW w:w="986" w:type="dxa"/>
            <w:tcBorders>
              <w:top w:val="nil"/>
              <w:left w:val="nil"/>
              <w:bottom w:val="single" w:sz="4" w:space="0" w:color="auto"/>
              <w:right w:val="single" w:sz="4" w:space="0" w:color="auto"/>
            </w:tcBorders>
            <w:shd w:val="clear" w:color="auto" w:fill="auto"/>
            <w:noWrap/>
            <w:vAlign w:val="bottom"/>
            <w:hideMark/>
          </w:tcPr>
          <w:p w14:paraId="34BA597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24 (5)</w:t>
            </w:r>
          </w:p>
        </w:tc>
        <w:tc>
          <w:tcPr>
            <w:tcW w:w="1057" w:type="dxa"/>
            <w:tcBorders>
              <w:top w:val="nil"/>
              <w:left w:val="nil"/>
              <w:bottom w:val="single" w:sz="4" w:space="0" w:color="auto"/>
              <w:right w:val="single" w:sz="4" w:space="0" w:color="auto"/>
            </w:tcBorders>
            <w:shd w:val="clear" w:color="auto" w:fill="auto"/>
            <w:noWrap/>
            <w:vAlign w:val="bottom"/>
            <w:hideMark/>
          </w:tcPr>
          <w:p w14:paraId="6C07D17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 (2)</w:t>
            </w:r>
          </w:p>
        </w:tc>
      </w:tr>
      <w:tr w:rsidR="00280BCD" w:rsidRPr="006C00BD" w14:paraId="01CFEB48"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70B1CF63"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706DFB9B"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&lt; 5 species</w:t>
            </w:r>
          </w:p>
        </w:tc>
        <w:tc>
          <w:tcPr>
            <w:tcW w:w="1336" w:type="dxa"/>
            <w:tcBorders>
              <w:top w:val="nil"/>
              <w:left w:val="nil"/>
              <w:bottom w:val="nil"/>
              <w:right w:val="single" w:sz="4" w:space="0" w:color="auto"/>
            </w:tcBorders>
            <w:shd w:val="clear" w:color="auto" w:fill="auto"/>
            <w:noWrap/>
            <w:vAlign w:val="bottom"/>
            <w:hideMark/>
          </w:tcPr>
          <w:p w14:paraId="465A56C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365 (25)</w:t>
            </w:r>
          </w:p>
        </w:tc>
        <w:tc>
          <w:tcPr>
            <w:tcW w:w="1156" w:type="dxa"/>
            <w:tcBorders>
              <w:top w:val="nil"/>
              <w:left w:val="nil"/>
              <w:bottom w:val="nil"/>
              <w:right w:val="single" w:sz="4" w:space="0" w:color="auto"/>
            </w:tcBorders>
            <w:shd w:val="clear" w:color="auto" w:fill="auto"/>
            <w:noWrap/>
            <w:vAlign w:val="bottom"/>
            <w:hideMark/>
          </w:tcPr>
          <w:p w14:paraId="12BFF8AC"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34 (5)</w:t>
            </w:r>
          </w:p>
        </w:tc>
        <w:tc>
          <w:tcPr>
            <w:tcW w:w="1100" w:type="dxa"/>
            <w:tcBorders>
              <w:top w:val="nil"/>
              <w:left w:val="nil"/>
              <w:bottom w:val="nil"/>
              <w:right w:val="single" w:sz="4" w:space="0" w:color="auto"/>
            </w:tcBorders>
            <w:shd w:val="clear" w:color="auto" w:fill="auto"/>
            <w:noWrap/>
            <w:vAlign w:val="bottom"/>
            <w:hideMark/>
          </w:tcPr>
          <w:p w14:paraId="69B392EF"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327 (29)</w:t>
            </w:r>
          </w:p>
        </w:tc>
        <w:tc>
          <w:tcPr>
            <w:tcW w:w="976" w:type="dxa"/>
            <w:tcBorders>
              <w:top w:val="nil"/>
              <w:left w:val="nil"/>
              <w:bottom w:val="nil"/>
              <w:right w:val="single" w:sz="4" w:space="0" w:color="auto"/>
            </w:tcBorders>
            <w:shd w:val="clear" w:color="auto" w:fill="auto"/>
            <w:noWrap/>
            <w:vAlign w:val="bottom"/>
            <w:hideMark/>
          </w:tcPr>
          <w:p w14:paraId="2918BA5C"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71 (9)</w:t>
            </w:r>
          </w:p>
        </w:tc>
        <w:tc>
          <w:tcPr>
            <w:tcW w:w="1006" w:type="dxa"/>
            <w:tcBorders>
              <w:top w:val="nil"/>
              <w:left w:val="nil"/>
              <w:bottom w:val="nil"/>
              <w:right w:val="single" w:sz="4" w:space="0" w:color="auto"/>
            </w:tcBorders>
            <w:shd w:val="clear" w:color="auto" w:fill="auto"/>
            <w:noWrap/>
            <w:vAlign w:val="bottom"/>
            <w:hideMark/>
          </w:tcPr>
          <w:p w14:paraId="34B2259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175 (14)</w:t>
            </w:r>
          </w:p>
        </w:tc>
        <w:tc>
          <w:tcPr>
            <w:tcW w:w="1036" w:type="dxa"/>
            <w:tcBorders>
              <w:top w:val="nil"/>
              <w:left w:val="nil"/>
              <w:bottom w:val="nil"/>
              <w:right w:val="single" w:sz="4" w:space="0" w:color="auto"/>
            </w:tcBorders>
            <w:shd w:val="clear" w:color="000000" w:fill="E2EFDA"/>
            <w:noWrap/>
            <w:vAlign w:val="bottom"/>
            <w:hideMark/>
          </w:tcPr>
          <w:p w14:paraId="3159580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120 (20)</w:t>
            </w:r>
          </w:p>
        </w:tc>
        <w:tc>
          <w:tcPr>
            <w:tcW w:w="986" w:type="dxa"/>
            <w:tcBorders>
              <w:top w:val="nil"/>
              <w:left w:val="nil"/>
              <w:bottom w:val="nil"/>
              <w:right w:val="single" w:sz="4" w:space="0" w:color="auto"/>
            </w:tcBorders>
            <w:shd w:val="clear" w:color="auto" w:fill="auto"/>
            <w:noWrap/>
            <w:vAlign w:val="bottom"/>
            <w:hideMark/>
          </w:tcPr>
          <w:p w14:paraId="4B936255"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15 (7)</w:t>
            </w:r>
          </w:p>
        </w:tc>
        <w:tc>
          <w:tcPr>
            <w:tcW w:w="1057" w:type="dxa"/>
            <w:tcBorders>
              <w:top w:val="nil"/>
              <w:left w:val="nil"/>
              <w:bottom w:val="nil"/>
              <w:right w:val="single" w:sz="4" w:space="0" w:color="auto"/>
            </w:tcBorders>
            <w:shd w:val="clear" w:color="auto" w:fill="auto"/>
            <w:noWrap/>
            <w:vAlign w:val="bottom"/>
            <w:hideMark/>
          </w:tcPr>
          <w:p w14:paraId="7030238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 (3)</w:t>
            </w:r>
          </w:p>
        </w:tc>
      </w:tr>
      <w:tr w:rsidR="00280BCD" w:rsidRPr="006C00BD" w14:paraId="0583CEB7"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2081D8BD"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30648B41"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&gt; 5 species</w:t>
            </w:r>
          </w:p>
        </w:tc>
        <w:tc>
          <w:tcPr>
            <w:tcW w:w="1336" w:type="dxa"/>
            <w:tcBorders>
              <w:top w:val="nil"/>
              <w:left w:val="nil"/>
              <w:bottom w:val="single" w:sz="4" w:space="0" w:color="auto"/>
              <w:right w:val="single" w:sz="4" w:space="0" w:color="auto"/>
            </w:tcBorders>
            <w:shd w:val="clear" w:color="auto" w:fill="auto"/>
            <w:noWrap/>
            <w:vAlign w:val="bottom"/>
            <w:hideMark/>
          </w:tcPr>
          <w:p w14:paraId="1C3EF6C3"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144 (17)</w:t>
            </w:r>
          </w:p>
        </w:tc>
        <w:tc>
          <w:tcPr>
            <w:tcW w:w="1156" w:type="dxa"/>
            <w:tcBorders>
              <w:top w:val="nil"/>
              <w:left w:val="nil"/>
              <w:bottom w:val="single" w:sz="4" w:space="0" w:color="auto"/>
              <w:right w:val="single" w:sz="4" w:space="0" w:color="auto"/>
            </w:tcBorders>
            <w:shd w:val="clear" w:color="auto" w:fill="auto"/>
            <w:noWrap/>
            <w:vAlign w:val="bottom"/>
            <w:hideMark/>
          </w:tcPr>
          <w:p w14:paraId="368D4885"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38 (5)</w:t>
            </w:r>
          </w:p>
        </w:tc>
        <w:tc>
          <w:tcPr>
            <w:tcW w:w="1100" w:type="dxa"/>
            <w:tcBorders>
              <w:top w:val="nil"/>
              <w:left w:val="nil"/>
              <w:bottom w:val="single" w:sz="4" w:space="0" w:color="auto"/>
              <w:right w:val="single" w:sz="4" w:space="0" w:color="auto"/>
            </w:tcBorders>
            <w:shd w:val="clear" w:color="auto" w:fill="auto"/>
            <w:noWrap/>
            <w:vAlign w:val="bottom"/>
            <w:hideMark/>
          </w:tcPr>
          <w:p w14:paraId="6523DA3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155 (21)</w:t>
            </w:r>
          </w:p>
        </w:tc>
        <w:tc>
          <w:tcPr>
            <w:tcW w:w="976" w:type="dxa"/>
            <w:tcBorders>
              <w:top w:val="nil"/>
              <w:left w:val="nil"/>
              <w:bottom w:val="single" w:sz="4" w:space="0" w:color="auto"/>
              <w:right w:val="single" w:sz="4" w:space="0" w:color="auto"/>
            </w:tcBorders>
            <w:shd w:val="clear" w:color="auto" w:fill="auto"/>
            <w:noWrap/>
            <w:vAlign w:val="bottom"/>
            <w:hideMark/>
          </w:tcPr>
          <w:p w14:paraId="2B76C61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31 (11)</w:t>
            </w:r>
          </w:p>
        </w:tc>
        <w:tc>
          <w:tcPr>
            <w:tcW w:w="1006" w:type="dxa"/>
            <w:tcBorders>
              <w:top w:val="nil"/>
              <w:left w:val="nil"/>
              <w:bottom w:val="single" w:sz="4" w:space="0" w:color="auto"/>
              <w:right w:val="single" w:sz="4" w:space="0" w:color="auto"/>
            </w:tcBorders>
            <w:shd w:val="clear" w:color="auto" w:fill="auto"/>
            <w:noWrap/>
            <w:vAlign w:val="bottom"/>
            <w:hideMark/>
          </w:tcPr>
          <w:p w14:paraId="069A725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9 (5)</w:t>
            </w:r>
          </w:p>
        </w:tc>
        <w:tc>
          <w:tcPr>
            <w:tcW w:w="1036" w:type="dxa"/>
            <w:tcBorders>
              <w:top w:val="nil"/>
              <w:left w:val="nil"/>
              <w:bottom w:val="single" w:sz="4" w:space="0" w:color="auto"/>
              <w:right w:val="single" w:sz="4" w:space="0" w:color="auto"/>
            </w:tcBorders>
            <w:shd w:val="clear" w:color="auto" w:fill="auto"/>
            <w:noWrap/>
            <w:vAlign w:val="bottom"/>
            <w:hideMark/>
          </w:tcPr>
          <w:p w14:paraId="6E2060F8"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44 (8)</w:t>
            </w:r>
          </w:p>
        </w:tc>
        <w:tc>
          <w:tcPr>
            <w:tcW w:w="986" w:type="dxa"/>
            <w:tcBorders>
              <w:top w:val="nil"/>
              <w:left w:val="nil"/>
              <w:bottom w:val="single" w:sz="4" w:space="0" w:color="auto"/>
              <w:right w:val="single" w:sz="4" w:space="0" w:color="auto"/>
            </w:tcBorders>
            <w:shd w:val="clear" w:color="auto" w:fill="auto"/>
            <w:noWrap/>
            <w:vAlign w:val="bottom"/>
            <w:hideMark/>
          </w:tcPr>
          <w:p w14:paraId="6B34F83C"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73 (15)</w:t>
            </w:r>
          </w:p>
        </w:tc>
        <w:tc>
          <w:tcPr>
            <w:tcW w:w="1057" w:type="dxa"/>
            <w:tcBorders>
              <w:top w:val="nil"/>
              <w:left w:val="nil"/>
              <w:bottom w:val="single" w:sz="4" w:space="0" w:color="auto"/>
              <w:right w:val="single" w:sz="4" w:space="0" w:color="auto"/>
            </w:tcBorders>
            <w:shd w:val="clear" w:color="auto" w:fill="auto"/>
            <w:noWrap/>
            <w:vAlign w:val="bottom"/>
            <w:hideMark/>
          </w:tcPr>
          <w:p w14:paraId="6A24169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 (6)</w:t>
            </w:r>
          </w:p>
        </w:tc>
      </w:tr>
      <w:tr w:rsidR="00280BCD" w:rsidRPr="006C00BD" w14:paraId="1F41034E"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2C9E01DF"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44BA951D"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Surface &lt; 100m²</w:t>
            </w:r>
          </w:p>
        </w:tc>
        <w:tc>
          <w:tcPr>
            <w:tcW w:w="1336" w:type="dxa"/>
            <w:tcBorders>
              <w:top w:val="nil"/>
              <w:left w:val="nil"/>
              <w:bottom w:val="nil"/>
              <w:right w:val="single" w:sz="4" w:space="0" w:color="auto"/>
            </w:tcBorders>
            <w:shd w:val="clear" w:color="auto" w:fill="auto"/>
            <w:noWrap/>
            <w:vAlign w:val="bottom"/>
            <w:hideMark/>
          </w:tcPr>
          <w:p w14:paraId="44F74FD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346 (17)</w:t>
            </w:r>
          </w:p>
        </w:tc>
        <w:tc>
          <w:tcPr>
            <w:tcW w:w="1156" w:type="dxa"/>
            <w:tcBorders>
              <w:top w:val="nil"/>
              <w:left w:val="nil"/>
              <w:bottom w:val="nil"/>
              <w:right w:val="single" w:sz="4" w:space="0" w:color="auto"/>
            </w:tcBorders>
            <w:shd w:val="clear" w:color="auto" w:fill="auto"/>
            <w:noWrap/>
            <w:vAlign w:val="bottom"/>
            <w:hideMark/>
          </w:tcPr>
          <w:p w14:paraId="5EBF41A0"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64 (5)</w:t>
            </w:r>
          </w:p>
        </w:tc>
        <w:tc>
          <w:tcPr>
            <w:tcW w:w="1100" w:type="dxa"/>
            <w:tcBorders>
              <w:top w:val="nil"/>
              <w:left w:val="nil"/>
              <w:bottom w:val="nil"/>
              <w:right w:val="single" w:sz="4" w:space="0" w:color="auto"/>
            </w:tcBorders>
            <w:shd w:val="clear" w:color="auto" w:fill="auto"/>
            <w:noWrap/>
            <w:vAlign w:val="bottom"/>
            <w:hideMark/>
          </w:tcPr>
          <w:p w14:paraId="6A45726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222 (18)</w:t>
            </w:r>
          </w:p>
        </w:tc>
        <w:tc>
          <w:tcPr>
            <w:tcW w:w="976" w:type="dxa"/>
            <w:tcBorders>
              <w:top w:val="nil"/>
              <w:left w:val="nil"/>
              <w:bottom w:val="nil"/>
              <w:right w:val="single" w:sz="4" w:space="0" w:color="auto"/>
            </w:tcBorders>
            <w:shd w:val="clear" w:color="auto" w:fill="auto"/>
            <w:noWrap/>
            <w:vAlign w:val="bottom"/>
            <w:hideMark/>
          </w:tcPr>
          <w:p w14:paraId="054222F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31 (8)</w:t>
            </w:r>
          </w:p>
        </w:tc>
        <w:tc>
          <w:tcPr>
            <w:tcW w:w="1006" w:type="dxa"/>
            <w:tcBorders>
              <w:top w:val="nil"/>
              <w:left w:val="nil"/>
              <w:bottom w:val="nil"/>
              <w:right w:val="single" w:sz="4" w:space="0" w:color="auto"/>
            </w:tcBorders>
            <w:shd w:val="clear" w:color="auto" w:fill="auto"/>
            <w:noWrap/>
            <w:vAlign w:val="bottom"/>
            <w:hideMark/>
          </w:tcPr>
          <w:p w14:paraId="554375B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154 (9)</w:t>
            </w:r>
          </w:p>
        </w:tc>
        <w:tc>
          <w:tcPr>
            <w:tcW w:w="1036" w:type="dxa"/>
            <w:tcBorders>
              <w:top w:val="nil"/>
              <w:left w:val="nil"/>
              <w:bottom w:val="nil"/>
              <w:right w:val="single" w:sz="4" w:space="0" w:color="auto"/>
            </w:tcBorders>
            <w:shd w:val="clear" w:color="auto" w:fill="auto"/>
            <w:noWrap/>
            <w:vAlign w:val="bottom"/>
            <w:hideMark/>
          </w:tcPr>
          <w:p w14:paraId="18085C48"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62 (11)</w:t>
            </w:r>
          </w:p>
        </w:tc>
        <w:tc>
          <w:tcPr>
            <w:tcW w:w="986" w:type="dxa"/>
            <w:tcBorders>
              <w:top w:val="nil"/>
              <w:left w:val="nil"/>
              <w:bottom w:val="nil"/>
              <w:right w:val="single" w:sz="4" w:space="0" w:color="auto"/>
            </w:tcBorders>
            <w:shd w:val="clear" w:color="auto" w:fill="auto"/>
            <w:noWrap/>
            <w:vAlign w:val="bottom"/>
            <w:hideMark/>
          </w:tcPr>
          <w:p w14:paraId="13C8E55D"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22 (6)</w:t>
            </w:r>
          </w:p>
        </w:tc>
        <w:tc>
          <w:tcPr>
            <w:tcW w:w="1057" w:type="dxa"/>
            <w:tcBorders>
              <w:top w:val="nil"/>
              <w:left w:val="nil"/>
              <w:bottom w:val="nil"/>
              <w:right w:val="single" w:sz="4" w:space="0" w:color="auto"/>
            </w:tcBorders>
            <w:shd w:val="clear" w:color="auto" w:fill="auto"/>
            <w:noWrap/>
            <w:vAlign w:val="bottom"/>
            <w:hideMark/>
          </w:tcPr>
          <w:p w14:paraId="1D13E4E6"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2 (1)</w:t>
            </w:r>
          </w:p>
        </w:tc>
      </w:tr>
      <w:tr w:rsidR="00280BCD" w:rsidRPr="006C00BD" w14:paraId="77C50275"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1C288036"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58CB45EC"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Surface &gt; 100m²</w:t>
            </w:r>
          </w:p>
        </w:tc>
        <w:tc>
          <w:tcPr>
            <w:tcW w:w="1336" w:type="dxa"/>
            <w:tcBorders>
              <w:top w:val="nil"/>
              <w:left w:val="nil"/>
              <w:bottom w:val="single" w:sz="4" w:space="0" w:color="auto"/>
              <w:right w:val="single" w:sz="4" w:space="0" w:color="auto"/>
            </w:tcBorders>
            <w:shd w:val="clear" w:color="auto" w:fill="auto"/>
            <w:noWrap/>
            <w:vAlign w:val="bottom"/>
            <w:hideMark/>
          </w:tcPr>
          <w:p w14:paraId="09465251"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94 (11)</w:t>
            </w:r>
          </w:p>
        </w:tc>
        <w:tc>
          <w:tcPr>
            <w:tcW w:w="1156" w:type="dxa"/>
            <w:tcBorders>
              <w:top w:val="nil"/>
              <w:left w:val="nil"/>
              <w:bottom w:val="single" w:sz="4" w:space="0" w:color="auto"/>
              <w:right w:val="single" w:sz="4" w:space="0" w:color="auto"/>
            </w:tcBorders>
            <w:shd w:val="clear" w:color="auto" w:fill="auto"/>
            <w:noWrap/>
            <w:vAlign w:val="bottom"/>
            <w:hideMark/>
          </w:tcPr>
          <w:p w14:paraId="69D0B042"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2 (1)</w:t>
            </w:r>
          </w:p>
        </w:tc>
        <w:tc>
          <w:tcPr>
            <w:tcW w:w="1100" w:type="dxa"/>
            <w:tcBorders>
              <w:top w:val="nil"/>
              <w:left w:val="nil"/>
              <w:bottom w:val="single" w:sz="4" w:space="0" w:color="auto"/>
              <w:right w:val="single" w:sz="4" w:space="0" w:color="auto"/>
            </w:tcBorders>
            <w:shd w:val="clear" w:color="auto" w:fill="auto"/>
            <w:noWrap/>
            <w:vAlign w:val="bottom"/>
            <w:hideMark/>
          </w:tcPr>
          <w:p w14:paraId="0606D515"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148 (14)</w:t>
            </w:r>
          </w:p>
        </w:tc>
        <w:tc>
          <w:tcPr>
            <w:tcW w:w="976" w:type="dxa"/>
            <w:tcBorders>
              <w:top w:val="nil"/>
              <w:left w:val="nil"/>
              <w:bottom w:val="single" w:sz="4" w:space="0" w:color="auto"/>
              <w:right w:val="single" w:sz="4" w:space="0" w:color="auto"/>
            </w:tcBorders>
            <w:shd w:val="clear" w:color="auto" w:fill="auto"/>
            <w:noWrap/>
            <w:vAlign w:val="bottom"/>
            <w:hideMark/>
          </w:tcPr>
          <w:p w14:paraId="4F2938D5"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38 (4)</w:t>
            </w:r>
          </w:p>
        </w:tc>
        <w:tc>
          <w:tcPr>
            <w:tcW w:w="1006" w:type="dxa"/>
            <w:tcBorders>
              <w:top w:val="nil"/>
              <w:left w:val="nil"/>
              <w:bottom w:val="single" w:sz="4" w:space="0" w:color="auto"/>
              <w:right w:val="single" w:sz="4" w:space="0" w:color="auto"/>
            </w:tcBorders>
            <w:shd w:val="clear" w:color="auto" w:fill="auto"/>
            <w:noWrap/>
            <w:vAlign w:val="bottom"/>
            <w:hideMark/>
          </w:tcPr>
          <w:p w14:paraId="7B7611AD"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16 (5)</w:t>
            </w:r>
          </w:p>
        </w:tc>
        <w:tc>
          <w:tcPr>
            <w:tcW w:w="1036" w:type="dxa"/>
            <w:tcBorders>
              <w:top w:val="nil"/>
              <w:left w:val="nil"/>
              <w:bottom w:val="single" w:sz="4" w:space="0" w:color="auto"/>
              <w:right w:val="single" w:sz="4" w:space="0" w:color="auto"/>
            </w:tcBorders>
            <w:shd w:val="clear" w:color="auto" w:fill="auto"/>
            <w:noWrap/>
            <w:vAlign w:val="bottom"/>
            <w:hideMark/>
          </w:tcPr>
          <w:p w14:paraId="7B9112E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38 (8)</w:t>
            </w:r>
          </w:p>
        </w:tc>
        <w:tc>
          <w:tcPr>
            <w:tcW w:w="986" w:type="dxa"/>
            <w:tcBorders>
              <w:top w:val="nil"/>
              <w:left w:val="nil"/>
              <w:bottom w:val="single" w:sz="4" w:space="0" w:color="auto"/>
              <w:right w:val="single" w:sz="4" w:space="0" w:color="auto"/>
            </w:tcBorders>
            <w:shd w:val="clear" w:color="auto" w:fill="auto"/>
            <w:noWrap/>
            <w:vAlign w:val="bottom"/>
            <w:hideMark/>
          </w:tcPr>
          <w:p w14:paraId="079022AF"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45 (12)</w:t>
            </w:r>
          </w:p>
        </w:tc>
        <w:tc>
          <w:tcPr>
            <w:tcW w:w="1057" w:type="dxa"/>
            <w:tcBorders>
              <w:top w:val="nil"/>
              <w:left w:val="nil"/>
              <w:bottom w:val="single" w:sz="4" w:space="0" w:color="auto"/>
              <w:right w:val="single" w:sz="4" w:space="0" w:color="auto"/>
            </w:tcBorders>
            <w:shd w:val="clear" w:color="auto" w:fill="auto"/>
            <w:noWrap/>
            <w:vAlign w:val="bottom"/>
            <w:hideMark/>
          </w:tcPr>
          <w:p w14:paraId="3F8F4E8B"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12 (5)</w:t>
            </w:r>
          </w:p>
        </w:tc>
      </w:tr>
      <w:tr w:rsidR="00280BCD" w:rsidRPr="006C00BD" w14:paraId="78062851"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5BFC4C25"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79021B34"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1 year old</w:t>
            </w:r>
          </w:p>
        </w:tc>
        <w:tc>
          <w:tcPr>
            <w:tcW w:w="1336" w:type="dxa"/>
            <w:tcBorders>
              <w:top w:val="nil"/>
              <w:left w:val="nil"/>
              <w:bottom w:val="nil"/>
              <w:right w:val="single" w:sz="4" w:space="0" w:color="auto"/>
            </w:tcBorders>
            <w:shd w:val="clear" w:color="auto" w:fill="auto"/>
            <w:noWrap/>
            <w:vAlign w:val="bottom"/>
            <w:hideMark/>
          </w:tcPr>
          <w:p w14:paraId="60DA8C14"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448 (40)</w:t>
            </w:r>
          </w:p>
        </w:tc>
        <w:tc>
          <w:tcPr>
            <w:tcW w:w="1156" w:type="dxa"/>
            <w:tcBorders>
              <w:top w:val="nil"/>
              <w:left w:val="nil"/>
              <w:bottom w:val="nil"/>
              <w:right w:val="single" w:sz="4" w:space="0" w:color="auto"/>
            </w:tcBorders>
            <w:shd w:val="clear" w:color="auto" w:fill="auto"/>
            <w:noWrap/>
            <w:vAlign w:val="bottom"/>
            <w:hideMark/>
          </w:tcPr>
          <w:p w14:paraId="3B3CD49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70 (8)</w:t>
            </w:r>
          </w:p>
        </w:tc>
        <w:tc>
          <w:tcPr>
            <w:tcW w:w="1100" w:type="dxa"/>
            <w:tcBorders>
              <w:top w:val="nil"/>
              <w:left w:val="nil"/>
              <w:bottom w:val="nil"/>
              <w:right w:val="single" w:sz="4" w:space="0" w:color="auto"/>
            </w:tcBorders>
            <w:shd w:val="clear" w:color="000000" w:fill="E2EFDA"/>
            <w:noWrap/>
            <w:vAlign w:val="bottom"/>
            <w:hideMark/>
          </w:tcPr>
          <w:p w14:paraId="27B3E82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411 (44)</w:t>
            </w:r>
          </w:p>
        </w:tc>
        <w:tc>
          <w:tcPr>
            <w:tcW w:w="976" w:type="dxa"/>
            <w:tcBorders>
              <w:top w:val="nil"/>
              <w:left w:val="nil"/>
              <w:bottom w:val="nil"/>
              <w:right w:val="single" w:sz="4" w:space="0" w:color="auto"/>
            </w:tcBorders>
            <w:shd w:val="clear" w:color="auto" w:fill="auto"/>
            <w:noWrap/>
            <w:vAlign w:val="bottom"/>
            <w:hideMark/>
          </w:tcPr>
          <w:p w14:paraId="3BDE682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70 (14)</w:t>
            </w:r>
          </w:p>
        </w:tc>
        <w:tc>
          <w:tcPr>
            <w:tcW w:w="1006" w:type="dxa"/>
            <w:tcBorders>
              <w:top w:val="nil"/>
              <w:left w:val="nil"/>
              <w:bottom w:val="nil"/>
              <w:right w:val="single" w:sz="4" w:space="0" w:color="auto"/>
            </w:tcBorders>
            <w:shd w:val="clear" w:color="auto" w:fill="auto"/>
            <w:noWrap/>
            <w:vAlign w:val="bottom"/>
            <w:hideMark/>
          </w:tcPr>
          <w:p w14:paraId="5E4E724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161 (18)</w:t>
            </w:r>
          </w:p>
        </w:tc>
        <w:tc>
          <w:tcPr>
            <w:tcW w:w="1036" w:type="dxa"/>
            <w:tcBorders>
              <w:top w:val="nil"/>
              <w:left w:val="nil"/>
              <w:bottom w:val="nil"/>
              <w:right w:val="single" w:sz="4" w:space="0" w:color="auto"/>
            </w:tcBorders>
            <w:shd w:val="clear" w:color="auto" w:fill="auto"/>
            <w:noWrap/>
            <w:vAlign w:val="bottom"/>
            <w:hideMark/>
          </w:tcPr>
          <w:p w14:paraId="02835DB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153 (28)</w:t>
            </w:r>
          </w:p>
        </w:tc>
        <w:tc>
          <w:tcPr>
            <w:tcW w:w="986" w:type="dxa"/>
            <w:tcBorders>
              <w:top w:val="nil"/>
              <w:left w:val="nil"/>
              <w:bottom w:val="nil"/>
              <w:right w:val="single" w:sz="4" w:space="0" w:color="auto"/>
            </w:tcBorders>
            <w:shd w:val="clear" w:color="auto" w:fill="auto"/>
            <w:noWrap/>
            <w:vAlign w:val="bottom"/>
            <w:hideMark/>
          </w:tcPr>
          <w:p w14:paraId="04AF37B6"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39 (14)</w:t>
            </w:r>
          </w:p>
        </w:tc>
        <w:tc>
          <w:tcPr>
            <w:tcW w:w="1057" w:type="dxa"/>
            <w:tcBorders>
              <w:top w:val="nil"/>
              <w:left w:val="nil"/>
              <w:bottom w:val="nil"/>
              <w:right w:val="single" w:sz="4" w:space="0" w:color="auto"/>
            </w:tcBorders>
            <w:shd w:val="clear" w:color="auto" w:fill="auto"/>
            <w:noWrap/>
            <w:vAlign w:val="bottom"/>
            <w:hideMark/>
          </w:tcPr>
          <w:p w14:paraId="50F8E8C2"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6 (3)</w:t>
            </w:r>
          </w:p>
        </w:tc>
      </w:tr>
      <w:tr w:rsidR="00280BCD" w:rsidRPr="006C00BD" w14:paraId="391C3300"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1F4591C8" w14:textId="77777777" w:rsidR="00280BCD" w:rsidRPr="006C00BD" w:rsidRDefault="00280BCD" w:rsidP="00C65089">
            <w:pPr>
              <w:spacing w:line="360" w:lineRule="auto"/>
              <w:rPr>
                <w:color w:val="FFFFFF"/>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4AF65DED"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&gt;</w:t>
            </w:r>
            <w:proofErr w:type="gramStart"/>
            <w:r w:rsidRPr="006C00BD">
              <w:rPr>
                <w:color w:val="000000"/>
                <w:sz w:val="18"/>
                <w:szCs w:val="18"/>
                <w:lang w:val="en-GB" w:eastAsia="en-GB"/>
              </w:rPr>
              <w:t>1 year old</w:t>
            </w:r>
            <w:proofErr w:type="gramEnd"/>
          </w:p>
        </w:tc>
        <w:tc>
          <w:tcPr>
            <w:tcW w:w="1336" w:type="dxa"/>
            <w:tcBorders>
              <w:top w:val="nil"/>
              <w:left w:val="nil"/>
              <w:bottom w:val="single" w:sz="4" w:space="0" w:color="auto"/>
              <w:right w:val="single" w:sz="4" w:space="0" w:color="auto"/>
            </w:tcBorders>
            <w:shd w:val="clear" w:color="auto" w:fill="auto"/>
            <w:noWrap/>
            <w:vAlign w:val="bottom"/>
            <w:hideMark/>
          </w:tcPr>
          <w:p w14:paraId="687E36BF"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105 (14)</w:t>
            </w:r>
          </w:p>
        </w:tc>
        <w:tc>
          <w:tcPr>
            <w:tcW w:w="1156" w:type="dxa"/>
            <w:tcBorders>
              <w:top w:val="nil"/>
              <w:left w:val="nil"/>
              <w:bottom w:val="single" w:sz="4" w:space="0" w:color="auto"/>
              <w:right w:val="single" w:sz="4" w:space="0" w:color="auto"/>
            </w:tcBorders>
            <w:shd w:val="clear" w:color="auto" w:fill="auto"/>
            <w:noWrap/>
            <w:vAlign w:val="bottom"/>
            <w:hideMark/>
          </w:tcPr>
          <w:p w14:paraId="4D071B92"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12 (2)</w:t>
            </w:r>
          </w:p>
        </w:tc>
        <w:tc>
          <w:tcPr>
            <w:tcW w:w="1100" w:type="dxa"/>
            <w:tcBorders>
              <w:top w:val="nil"/>
              <w:left w:val="nil"/>
              <w:bottom w:val="single" w:sz="4" w:space="0" w:color="auto"/>
              <w:right w:val="single" w:sz="4" w:space="0" w:color="auto"/>
            </w:tcBorders>
            <w:shd w:val="clear" w:color="auto" w:fill="auto"/>
            <w:noWrap/>
            <w:vAlign w:val="bottom"/>
            <w:hideMark/>
          </w:tcPr>
          <w:p w14:paraId="24B9963E"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89 (11)</w:t>
            </w:r>
          </w:p>
        </w:tc>
        <w:tc>
          <w:tcPr>
            <w:tcW w:w="976" w:type="dxa"/>
            <w:tcBorders>
              <w:top w:val="nil"/>
              <w:left w:val="nil"/>
              <w:bottom w:val="single" w:sz="4" w:space="0" w:color="auto"/>
              <w:right w:val="single" w:sz="4" w:space="0" w:color="auto"/>
            </w:tcBorders>
            <w:shd w:val="clear" w:color="auto" w:fill="auto"/>
            <w:noWrap/>
            <w:vAlign w:val="bottom"/>
            <w:hideMark/>
          </w:tcPr>
          <w:p w14:paraId="7EC5991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45 (8)</w:t>
            </w:r>
          </w:p>
        </w:tc>
        <w:tc>
          <w:tcPr>
            <w:tcW w:w="1006" w:type="dxa"/>
            <w:tcBorders>
              <w:top w:val="nil"/>
              <w:left w:val="nil"/>
              <w:bottom w:val="single" w:sz="4" w:space="0" w:color="auto"/>
              <w:right w:val="single" w:sz="4" w:space="0" w:color="auto"/>
            </w:tcBorders>
            <w:shd w:val="clear" w:color="auto" w:fill="auto"/>
            <w:noWrap/>
            <w:vAlign w:val="bottom"/>
            <w:hideMark/>
          </w:tcPr>
          <w:p w14:paraId="7D8E2B7D"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23 (5)</w:t>
            </w:r>
          </w:p>
        </w:tc>
        <w:tc>
          <w:tcPr>
            <w:tcW w:w="1036" w:type="dxa"/>
            <w:tcBorders>
              <w:top w:val="nil"/>
              <w:left w:val="nil"/>
              <w:bottom w:val="single" w:sz="4" w:space="0" w:color="auto"/>
              <w:right w:val="single" w:sz="4" w:space="0" w:color="auto"/>
            </w:tcBorders>
            <w:shd w:val="clear" w:color="000000" w:fill="E2EFDA"/>
            <w:noWrap/>
            <w:vAlign w:val="bottom"/>
            <w:hideMark/>
          </w:tcPr>
          <w:p w14:paraId="5227669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11 (3)</w:t>
            </w:r>
          </w:p>
        </w:tc>
        <w:tc>
          <w:tcPr>
            <w:tcW w:w="986" w:type="dxa"/>
            <w:tcBorders>
              <w:top w:val="nil"/>
              <w:left w:val="nil"/>
              <w:bottom w:val="single" w:sz="4" w:space="0" w:color="auto"/>
              <w:right w:val="single" w:sz="4" w:space="0" w:color="auto"/>
            </w:tcBorders>
            <w:shd w:val="clear" w:color="auto" w:fill="auto"/>
            <w:noWrap/>
            <w:vAlign w:val="bottom"/>
            <w:hideMark/>
          </w:tcPr>
          <w:p w14:paraId="4C97F617"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45(8)</w:t>
            </w:r>
          </w:p>
        </w:tc>
        <w:tc>
          <w:tcPr>
            <w:tcW w:w="1057" w:type="dxa"/>
            <w:tcBorders>
              <w:top w:val="nil"/>
              <w:left w:val="nil"/>
              <w:bottom w:val="single" w:sz="4" w:space="0" w:color="auto"/>
              <w:right w:val="single" w:sz="4" w:space="0" w:color="auto"/>
            </w:tcBorders>
            <w:shd w:val="clear" w:color="auto" w:fill="auto"/>
            <w:noWrap/>
            <w:vAlign w:val="bottom"/>
            <w:hideMark/>
          </w:tcPr>
          <w:p w14:paraId="7CC8A984"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8 (3)</w:t>
            </w:r>
          </w:p>
        </w:tc>
      </w:tr>
      <w:tr w:rsidR="00280BCD" w:rsidRPr="006C00BD" w14:paraId="53C3F231" w14:textId="77777777" w:rsidTr="00013FFB">
        <w:trPr>
          <w:trHeight w:val="300"/>
        </w:trPr>
        <w:tc>
          <w:tcPr>
            <w:tcW w:w="541" w:type="dxa"/>
            <w:vMerge w:val="restart"/>
            <w:tcBorders>
              <w:top w:val="nil"/>
              <w:left w:val="nil"/>
              <w:bottom w:val="single" w:sz="4" w:space="0" w:color="000000"/>
              <w:right w:val="single" w:sz="4" w:space="0" w:color="auto"/>
            </w:tcBorders>
            <w:shd w:val="clear" w:color="000000" w:fill="FFCC32"/>
            <w:noWrap/>
            <w:textDirection w:val="btLr"/>
            <w:vAlign w:val="center"/>
            <w:hideMark/>
          </w:tcPr>
          <w:p w14:paraId="09DD5F32" w14:textId="77777777" w:rsidR="00280BCD" w:rsidRPr="006C00BD" w:rsidRDefault="00280BCD" w:rsidP="00C65089">
            <w:pPr>
              <w:spacing w:line="360" w:lineRule="auto"/>
              <w:jc w:val="center"/>
              <w:rPr>
                <w:color w:val="000000"/>
                <w:sz w:val="18"/>
                <w:szCs w:val="18"/>
                <w:lang w:val="en-GB" w:eastAsia="en-GB"/>
              </w:rPr>
            </w:pPr>
            <w:r w:rsidRPr="006C00BD">
              <w:rPr>
                <w:color w:val="000000"/>
                <w:sz w:val="18"/>
                <w:szCs w:val="18"/>
                <w:lang w:val="en-GB" w:eastAsia="en-GB"/>
              </w:rPr>
              <w:t>SNH</w:t>
            </w:r>
          </w:p>
        </w:tc>
        <w:tc>
          <w:tcPr>
            <w:tcW w:w="2020" w:type="dxa"/>
            <w:tcBorders>
              <w:top w:val="nil"/>
              <w:left w:val="nil"/>
              <w:bottom w:val="nil"/>
              <w:right w:val="single" w:sz="4" w:space="0" w:color="auto"/>
            </w:tcBorders>
            <w:shd w:val="clear" w:color="000000" w:fill="DBDBDB"/>
            <w:noWrap/>
            <w:vAlign w:val="bottom"/>
            <w:hideMark/>
          </w:tcPr>
          <w:p w14:paraId="0C99ACA0"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&lt; 10m from SNH</w:t>
            </w:r>
          </w:p>
        </w:tc>
        <w:tc>
          <w:tcPr>
            <w:tcW w:w="1336" w:type="dxa"/>
            <w:tcBorders>
              <w:top w:val="nil"/>
              <w:left w:val="nil"/>
              <w:bottom w:val="nil"/>
              <w:right w:val="single" w:sz="4" w:space="0" w:color="auto"/>
            </w:tcBorders>
            <w:shd w:val="clear" w:color="000000" w:fill="E2EFDA"/>
            <w:noWrap/>
            <w:vAlign w:val="bottom"/>
            <w:hideMark/>
          </w:tcPr>
          <w:p w14:paraId="7E803716"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 (1)</w:t>
            </w:r>
          </w:p>
        </w:tc>
        <w:tc>
          <w:tcPr>
            <w:tcW w:w="1156" w:type="dxa"/>
            <w:tcBorders>
              <w:top w:val="nil"/>
              <w:left w:val="nil"/>
              <w:bottom w:val="nil"/>
              <w:right w:val="single" w:sz="4" w:space="0" w:color="auto"/>
            </w:tcBorders>
            <w:shd w:val="clear" w:color="auto" w:fill="auto"/>
            <w:noWrap/>
            <w:vAlign w:val="bottom"/>
            <w:hideMark/>
          </w:tcPr>
          <w:p w14:paraId="17CE3357"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 (1)</w:t>
            </w:r>
          </w:p>
        </w:tc>
        <w:tc>
          <w:tcPr>
            <w:tcW w:w="1100" w:type="dxa"/>
            <w:tcBorders>
              <w:top w:val="nil"/>
              <w:left w:val="nil"/>
              <w:bottom w:val="nil"/>
              <w:right w:val="single" w:sz="4" w:space="0" w:color="auto"/>
            </w:tcBorders>
            <w:shd w:val="clear" w:color="auto" w:fill="auto"/>
            <w:noWrap/>
            <w:vAlign w:val="bottom"/>
            <w:hideMark/>
          </w:tcPr>
          <w:p w14:paraId="5C945D4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 (2)</w:t>
            </w:r>
          </w:p>
        </w:tc>
        <w:tc>
          <w:tcPr>
            <w:tcW w:w="976" w:type="dxa"/>
            <w:tcBorders>
              <w:top w:val="nil"/>
              <w:left w:val="nil"/>
              <w:bottom w:val="nil"/>
              <w:right w:val="single" w:sz="4" w:space="0" w:color="auto"/>
            </w:tcBorders>
            <w:shd w:val="clear" w:color="auto" w:fill="auto"/>
            <w:noWrap/>
            <w:vAlign w:val="bottom"/>
            <w:hideMark/>
          </w:tcPr>
          <w:p w14:paraId="42CA7FD9"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06" w:type="dxa"/>
            <w:tcBorders>
              <w:top w:val="nil"/>
              <w:left w:val="nil"/>
              <w:bottom w:val="nil"/>
              <w:right w:val="single" w:sz="4" w:space="0" w:color="auto"/>
            </w:tcBorders>
            <w:shd w:val="clear" w:color="auto" w:fill="auto"/>
            <w:noWrap/>
            <w:vAlign w:val="bottom"/>
            <w:hideMark/>
          </w:tcPr>
          <w:p w14:paraId="6D977D9F"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 (2)</w:t>
            </w:r>
          </w:p>
        </w:tc>
        <w:tc>
          <w:tcPr>
            <w:tcW w:w="1036" w:type="dxa"/>
            <w:tcBorders>
              <w:top w:val="nil"/>
              <w:left w:val="nil"/>
              <w:bottom w:val="nil"/>
              <w:right w:val="single" w:sz="4" w:space="0" w:color="auto"/>
            </w:tcBorders>
            <w:shd w:val="clear" w:color="auto" w:fill="auto"/>
            <w:noWrap/>
            <w:vAlign w:val="bottom"/>
            <w:hideMark/>
          </w:tcPr>
          <w:p w14:paraId="67BB3C2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986" w:type="dxa"/>
            <w:tcBorders>
              <w:top w:val="nil"/>
              <w:left w:val="nil"/>
              <w:bottom w:val="nil"/>
              <w:right w:val="single" w:sz="4" w:space="0" w:color="auto"/>
            </w:tcBorders>
            <w:shd w:val="clear" w:color="auto" w:fill="auto"/>
            <w:noWrap/>
            <w:vAlign w:val="bottom"/>
            <w:hideMark/>
          </w:tcPr>
          <w:p w14:paraId="14FF02D4"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57" w:type="dxa"/>
            <w:tcBorders>
              <w:top w:val="nil"/>
              <w:left w:val="nil"/>
              <w:bottom w:val="nil"/>
              <w:right w:val="single" w:sz="4" w:space="0" w:color="auto"/>
            </w:tcBorders>
            <w:shd w:val="clear" w:color="auto" w:fill="auto"/>
            <w:noWrap/>
            <w:vAlign w:val="bottom"/>
            <w:hideMark/>
          </w:tcPr>
          <w:p w14:paraId="161C3903"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0B7B8FC9"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1F2F344B" w14:textId="77777777" w:rsidR="00280BCD" w:rsidRPr="006C00BD" w:rsidRDefault="00280BCD" w:rsidP="00C65089">
            <w:pPr>
              <w:spacing w:line="360" w:lineRule="auto"/>
              <w:rPr>
                <w:color w:val="000000"/>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70F5E9B3"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&gt; 10m from SNH</w:t>
            </w:r>
          </w:p>
        </w:tc>
        <w:tc>
          <w:tcPr>
            <w:tcW w:w="1336" w:type="dxa"/>
            <w:tcBorders>
              <w:top w:val="nil"/>
              <w:left w:val="nil"/>
              <w:bottom w:val="single" w:sz="4" w:space="0" w:color="auto"/>
              <w:right w:val="single" w:sz="4" w:space="0" w:color="auto"/>
            </w:tcBorders>
            <w:shd w:val="clear" w:color="auto" w:fill="auto"/>
            <w:noWrap/>
            <w:vAlign w:val="bottom"/>
            <w:hideMark/>
          </w:tcPr>
          <w:p w14:paraId="25136AA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53 (3)</w:t>
            </w:r>
          </w:p>
        </w:tc>
        <w:tc>
          <w:tcPr>
            <w:tcW w:w="1156" w:type="dxa"/>
            <w:tcBorders>
              <w:top w:val="nil"/>
              <w:left w:val="nil"/>
              <w:bottom w:val="single" w:sz="4" w:space="0" w:color="auto"/>
              <w:right w:val="single" w:sz="4" w:space="0" w:color="auto"/>
            </w:tcBorders>
            <w:shd w:val="clear" w:color="auto" w:fill="auto"/>
            <w:noWrap/>
            <w:vAlign w:val="bottom"/>
            <w:hideMark/>
          </w:tcPr>
          <w:p w14:paraId="74EFF8A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 (2)</w:t>
            </w:r>
          </w:p>
        </w:tc>
        <w:tc>
          <w:tcPr>
            <w:tcW w:w="1100" w:type="dxa"/>
            <w:tcBorders>
              <w:top w:val="nil"/>
              <w:left w:val="nil"/>
              <w:bottom w:val="single" w:sz="4" w:space="0" w:color="auto"/>
              <w:right w:val="single" w:sz="4" w:space="0" w:color="auto"/>
            </w:tcBorders>
            <w:shd w:val="clear" w:color="auto" w:fill="auto"/>
            <w:noWrap/>
            <w:vAlign w:val="bottom"/>
            <w:hideMark/>
          </w:tcPr>
          <w:p w14:paraId="352363BB"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54 (10)</w:t>
            </w:r>
          </w:p>
        </w:tc>
        <w:tc>
          <w:tcPr>
            <w:tcW w:w="976" w:type="dxa"/>
            <w:tcBorders>
              <w:top w:val="nil"/>
              <w:left w:val="nil"/>
              <w:bottom w:val="single" w:sz="4" w:space="0" w:color="auto"/>
              <w:right w:val="single" w:sz="4" w:space="0" w:color="auto"/>
            </w:tcBorders>
            <w:shd w:val="clear" w:color="auto" w:fill="auto"/>
            <w:noWrap/>
            <w:vAlign w:val="bottom"/>
            <w:hideMark/>
          </w:tcPr>
          <w:p w14:paraId="29B5CBFC"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4 (1)</w:t>
            </w:r>
          </w:p>
        </w:tc>
        <w:tc>
          <w:tcPr>
            <w:tcW w:w="1006" w:type="dxa"/>
            <w:tcBorders>
              <w:top w:val="nil"/>
              <w:left w:val="nil"/>
              <w:bottom w:val="single" w:sz="4" w:space="0" w:color="auto"/>
              <w:right w:val="single" w:sz="4" w:space="0" w:color="auto"/>
            </w:tcBorders>
            <w:shd w:val="clear" w:color="auto" w:fill="auto"/>
            <w:noWrap/>
            <w:vAlign w:val="bottom"/>
            <w:hideMark/>
          </w:tcPr>
          <w:p w14:paraId="3E5F4E3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29 (4)</w:t>
            </w:r>
          </w:p>
        </w:tc>
        <w:tc>
          <w:tcPr>
            <w:tcW w:w="1036" w:type="dxa"/>
            <w:tcBorders>
              <w:top w:val="nil"/>
              <w:left w:val="nil"/>
              <w:bottom w:val="single" w:sz="4" w:space="0" w:color="auto"/>
              <w:right w:val="single" w:sz="4" w:space="0" w:color="auto"/>
            </w:tcBorders>
            <w:shd w:val="clear" w:color="auto" w:fill="auto"/>
            <w:noWrap/>
            <w:vAlign w:val="bottom"/>
            <w:hideMark/>
          </w:tcPr>
          <w:p w14:paraId="6948CC14"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29 (3)</w:t>
            </w:r>
          </w:p>
        </w:tc>
        <w:tc>
          <w:tcPr>
            <w:tcW w:w="986" w:type="dxa"/>
            <w:tcBorders>
              <w:top w:val="nil"/>
              <w:left w:val="nil"/>
              <w:bottom w:val="single" w:sz="4" w:space="0" w:color="auto"/>
              <w:right w:val="single" w:sz="4" w:space="0" w:color="auto"/>
            </w:tcBorders>
            <w:shd w:val="clear" w:color="auto" w:fill="auto"/>
            <w:noWrap/>
            <w:vAlign w:val="bottom"/>
            <w:hideMark/>
          </w:tcPr>
          <w:p w14:paraId="28CA0045"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8 (2)</w:t>
            </w:r>
          </w:p>
        </w:tc>
        <w:tc>
          <w:tcPr>
            <w:tcW w:w="1057" w:type="dxa"/>
            <w:tcBorders>
              <w:top w:val="nil"/>
              <w:left w:val="nil"/>
              <w:bottom w:val="single" w:sz="4" w:space="0" w:color="auto"/>
              <w:right w:val="single" w:sz="4" w:space="0" w:color="auto"/>
            </w:tcBorders>
            <w:shd w:val="clear" w:color="auto" w:fill="auto"/>
            <w:noWrap/>
            <w:vAlign w:val="bottom"/>
            <w:hideMark/>
          </w:tcPr>
          <w:p w14:paraId="68792B35"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r w:rsidR="00280BCD" w:rsidRPr="006C00BD" w14:paraId="669AD759"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1E47CB58" w14:textId="77777777" w:rsidR="00280BCD" w:rsidRPr="006C00BD" w:rsidRDefault="00280BCD" w:rsidP="00C65089">
            <w:pPr>
              <w:spacing w:line="360" w:lineRule="auto"/>
              <w:rPr>
                <w:color w:val="000000"/>
                <w:sz w:val="18"/>
                <w:szCs w:val="18"/>
                <w:lang w:val="en-GB" w:eastAsia="en-GB"/>
              </w:rPr>
            </w:pPr>
          </w:p>
        </w:tc>
        <w:tc>
          <w:tcPr>
            <w:tcW w:w="2020" w:type="dxa"/>
            <w:tcBorders>
              <w:top w:val="nil"/>
              <w:left w:val="nil"/>
              <w:bottom w:val="nil"/>
              <w:right w:val="single" w:sz="4" w:space="0" w:color="auto"/>
            </w:tcBorders>
            <w:shd w:val="clear" w:color="000000" w:fill="DBDBDB"/>
            <w:noWrap/>
            <w:vAlign w:val="bottom"/>
            <w:hideMark/>
          </w:tcPr>
          <w:p w14:paraId="4350A0B9"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Woody habitat</w:t>
            </w:r>
          </w:p>
        </w:tc>
        <w:tc>
          <w:tcPr>
            <w:tcW w:w="1336" w:type="dxa"/>
            <w:tcBorders>
              <w:top w:val="nil"/>
              <w:left w:val="nil"/>
              <w:bottom w:val="nil"/>
              <w:right w:val="single" w:sz="4" w:space="0" w:color="auto"/>
            </w:tcBorders>
            <w:shd w:val="clear" w:color="auto" w:fill="auto"/>
            <w:noWrap/>
            <w:vAlign w:val="bottom"/>
            <w:hideMark/>
          </w:tcPr>
          <w:p w14:paraId="0732A410"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65 (7)</w:t>
            </w:r>
          </w:p>
        </w:tc>
        <w:tc>
          <w:tcPr>
            <w:tcW w:w="1156" w:type="dxa"/>
            <w:tcBorders>
              <w:top w:val="nil"/>
              <w:left w:val="nil"/>
              <w:bottom w:val="nil"/>
              <w:right w:val="single" w:sz="4" w:space="0" w:color="auto"/>
            </w:tcBorders>
            <w:shd w:val="clear" w:color="auto" w:fill="auto"/>
            <w:noWrap/>
            <w:vAlign w:val="bottom"/>
            <w:hideMark/>
          </w:tcPr>
          <w:p w14:paraId="3CCCBEE6"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 (1)</w:t>
            </w:r>
          </w:p>
        </w:tc>
        <w:tc>
          <w:tcPr>
            <w:tcW w:w="1100" w:type="dxa"/>
            <w:tcBorders>
              <w:top w:val="nil"/>
              <w:left w:val="nil"/>
              <w:bottom w:val="nil"/>
              <w:right w:val="single" w:sz="4" w:space="0" w:color="auto"/>
            </w:tcBorders>
            <w:shd w:val="clear" w:color="auto" w:fill="auto"/>
            <w:noWrap/>
            <w:vAlign w:val="bottom"/>
            <w:hideMark/>
          </w:tcPr>
          <w:p w14:paraId="15C4432A"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149 (16)</w:t>
            </w:r>
          </w:p>
        </w:tc>
        <w:tc>
          <w:tcPr>
            <w:tcW w:w="976" w:type="dxa"/>
            <w:tcBorders>
              <w:top w:val="nil"/>
              <w:left w:val="nil"/>
              <w:bottom w:val="nil"/>
              <w:right w:val="single" w:sz="4" w:space="0" w:color="auto"/>
            </w:tcBorders>
            <w:shd w:val="clear" w:color="auto" w:fill="auto"/>
            <w:noWrap/>
            <w:vAlign w:val="bottom"/>
            <w:hideMark/>
          </w:tcPr>
          <w:p w14:paraId="2551724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17 (4)</w:t>
            </w:r>
          </w:p>
        </w:tc>
        <w:tc>
          <w:tcPr>
            <w:tcW w:w="1006" w:type="dxa"/>
            <w:tcBorders>
              <w:top w:val="nil"/>
              <w:left w:val="nil"/>
              <w:bottom w:val="nil"/>
              <w:right w:val="single" w:sz="4" w:space="0" w:color="auto"/>
            </w:tcBorders>
            <w:shd w:val="clear" w:color="auto" w:fill="auto"/>
            <w:noWrap/>
            <w:vAlign w:val="bottom"/>
            <w:hideMark/>
          </w:tcPr>
          <w:p w14:paraId="409A0DB2"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32 (3)</w:t>
            </w:r>
          </w:p>
        </w:tc>
        <w:tc>
          <w:tcPr>
            <w:tcW w:w="1036" w:type="dxa"/>
            <w:tcBorders>
              <w:top w:val="nil"/>
              <w:left w:val="nil"/>
              <w:bottom w:val="nil"/>
              <w:right w:val="single" w:sz="4" w:space="0" w:color="auto"/>
            </w:tcBorders>
            <w:shd w:val="clear" w:color="000000" w:fill="E2EFDA"/>
            <w:noWrap/>
            <w:vAlign w:val="bottom"/>
            <w:hideMark/>
          </w:tcPr>
          <w:p w14:paraId="710C41D3"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31 (4)</w:t>
            </w:r>
          </w:p>
        </w:tc>
        <w:tc>
          <w:tcPr>
            <w:tcW w:w="986" w:type="dxa"/>
            <w:tcBorders>
              <w:top w:val="nil"/>
              <w:left w:val="nil"/>
              <w:bottom w:val="nil"/>
              <w:right w:val="single" w:sz="4" w:space="0" w:color="auto"/>
            </w:tcBorders>
            <w:shd w:val="clear" w:color="auto" w:fill="auto"/>
            <w:noWrap/>
            <w:vAlign w:val="bottom"/>
            <w:hideMark/>
          </w:tcPr>
          <w:p w14:paraId="7E462586" w14:textId="77777777" w:rsidR="00280BCD" w:rsidRPr="006C00BD" w:rsidRDefault="00280BCD" w:rsidP="00C65089">
            <w:pPr>
              <w:spacing w:line="360" w:lineRule="auto"/>
              <w:jc w:val="center"/>
              <w:rPr>
                <w:b/>
                <w:bCs/>
                <w:color w:val="C00000"/>
                <w:sz w:val="18"/>
                <w:szCs w:val="18"/>
                <w:lang w:val="en-GB" w:eastAsia="en-GB"/>
              </w:rPr>
            </w:pPr>
            <w:r w:rsidRPr="006C00BD">
              <w:rPr>
                <w:rFonts w:ascii="Segoe UI Emoji" w:hAnsi="Segoe UI Emoji" w:cs="Segoe UI Emoji"/>
                <w:b/>
                <w:bCs/>
                <w:color w:val="C00000"/>
                <w:sz w:val="18"/>
                <w:szCs w:val="18"/>
                <w:lang w:val="en-GB" w:eastAsia="en-GB"/>
              </w:rPr>
              <w:t>↘</w:t>
            </w:r>
            <w:r w:rsidRPr="006C00BD">
              <w:rPr>
                <w:b/>
                <w:bCs/>
                <w:color w:val="C00000"/>
                <w:sz w:val="18"/>
                <w:szCs w:val="18"/>
                <w:lang w:val="en-GB" w:eastAsia="en-GB"/>
              </w:rPr>
              <w:t xml:space="preserve"> 19 (7)</w:t>
            </w:r>
          </w:p>
        </w:tc>
        <w:tc>
          <w:tcPr>
            <w:tcW w:w="1057" w:type="dxa"/>
            <w:tcBorders>
              <w:top w:val="nil"/>
              <w:left w:val="nil"/>
              <w:bottom w:val="nil"/>
              <w:right w:val="single" w:sz="4" w:space="0" w:color="auto"/>
            </w:tcBorders>
            <w:shd w:val="clear" w:color="auto" w:fill="auto"/>
            <w:noWrap/>
            <w:vAlign w:val="bottom"/>
            <w:hideMark/>
          </w:tcPr>
          <w:p w14:paraId="641A78D8"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4 (2)</w:t>
            </w:r>
          </w:p>
        </w:tc>
      </w:tr>
      <w:tr w:rsidR="00280BCD" w:rsidRPr="006C00BD" w14:paraId="0E953798" w14:textId="77777777" w:rsidTr="00013FFB">
        <w:trPr>
          <w:trHeight w:val="300"/>
        </w:trPr>
        <w:tc>
          <w:tcPr>
            <w:tcW w:w="541" w:type="dxa"/>
            <w:vMerge/>
            <w:tcBorders>
              <w:top w:val="nil"/>
              <w:left w:val="nil"/>
              <w:bottom w:val="single" w:sz="4" w:space="0" w:color="000000"/>
              <w:right w:val="single" w:sz="4" w:space="0" w:color="auto"/>
            </w:tcBorders>
            <w:vAlign w:val="center"/>
            <w:hideMark/>
          </w:tcPr>
          <w:p w14:paraId="5D446C37" w14:textId="77777777" w:rsidR="00280BCD" w:rsidRPr="006C00BD" w:rsidRDefault="00280BCD" w:rsidP="00C65089">
            <w:pPr>
              <w:spacing w:line="360" w:lineRule="auto"/>
              <w:rPr>
                <w:color w:val="000000"/>
                <w:sz w:val="18"/>
                <w:szCs w:val="18"/>
                <w:lang w:val="en-GB" w:eastAsia="en-GB"/>
              </w:rPr>
            </w:pPr>
          </w:p>
        </w:tc>
        <w:tc>
          <w:tcPr>
            <w:tcW w:w="2020" w:type="dxa"/>
            <w:tcBorders>
              <w:top w:val="nil"/>
              <w:left w:val="nil"/>
              <w:bottom w:val="single" w:sz="4" w:space="0" w:color="auto"/>
              <w:right w:val="single" w:sz="4" w:space="0" w:color="auto"/>
            </w:tcBorders>
            <w:shd w:val="clear" w:color="000000" w:fill="DBDBDB"/>
            <w:noWrap/>
            <w:vAlign w:val="bottom"/>
            <w:hideMark/>
          </w:tcPr>
          <w:p w14:paraId="24F84FA0" w14:textId="77777777" w:rsidR="00280BCD" w:rsidRPr="006C00BD" w:rsidRDefault="00280BCD" w:rsidP="00C65089">
            <w:pPr>
              <w:spacing w:line="360" w:lineRule="auto"/>
              <w:rPr>
                <w:color w:val="000000"/>
                <w:sz w:val="18"/>
                <w:szCs w:val="18"/>
                <w:lang w:val="en-GB" w:eastAsia="en-GB"/>
              </w:rPr>
            </w:pPr>
            <w:r w:rsidRPr="006C00BD">
              <w:rPr>
                <w:color w:val="000000"/>
                <w:sz w:val="18"/>
                <w:szCs w:val="18"/>
                <w:lang w:val="en-GB" w:eastAsia="en-GB"/>
              </w:rPr>
              <w:t>Herbaceous habitat</w:t>
            </w:r>
          </w:p>
        </w:tc>
        <w:tc>
          <w:tcPr>
            <w:tcW w:w="1336" w:type="dxa"/>
            <w:tcBorders>
              <w:top w:val="nil"/>
              <w:left w:val="nil"/>
              <w:bottom w:val="single" w:sz="4" w:space="0" w:color="auto"/>
              <w:right w:val="single" w:sz="4" w:space="0" w:color="auto"/>
            </w:tcBorders>
            <w:shd w:val="clear" w:color="auto" w:fill="auto"/>
            <w:noWrap/>
            <w:vAlign w:val="bottom"/>
            <w:hideMark/>
          </w:tcPr>
          <w:p w14:paraId="65137834"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7 (2)</w:t>
            </w:r>
          </w:p>
        </w:tc>
        <w:tc>
          <w:tcPr>
            <w:tcW w:w="1156" w:type="dxa"/>
            <w:tcBorders>
              <w:top w:val="nil"/>
              <w:left w:val="nil"/>
              <w:bottom w:val="single" w:sz="4" w:space="0" w:color="auto"/>
              <w:right w:val="single" w:sz="4" w:space="0" w:color="auto"/>
            </w:tcBorders>
            <w:shd w:val="clear" w:color="auto" w:fill="auto"/>
            <w:noWrap/>
            <w:vAlign w:val="bottom"/>
            <w:hideMark/>
          </w:tcPr>
          <w:p w14:paraId="36F73CE1"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2 (1)</w:t>
            </w:r>
          </w:p>
        </w:tc>
        <w:tc>
          <w:tcPr>
            <w:tcW w:w="1100" w:type="dxa"/>
            <w:tcBorders>
              <w:top w:val="nil"/>
              <w:left w:val="nil"/>
              <w:bottom w:val="single" w:sz="4" w:space="0" w:color="auto"/>
              <w:right w:val="single" w:sz="4" w:space="0" w:color="auto"/>
            </w:tcBorders>
            <w:shd w:val="clear" w:color="auto" w:fill="auto"/>
            <w:noWrap/>
            <w:vAlign w:val="bottom"/>
            <w:hideMark/>
          </w:tcPr>
          <w:p w14:paraId="45E76359" w14:textId="77777777" w:rsidR="00280BCD" w:rsidRPr="006C00BD" w:rsidRDefault="00280BCD" w:rsidP="00C65089">
            <w:pPr>
              <w:spacing w:line="360" w:lineRule="auto"/>
              <w:jc w:val="center"/>
              <w:rPr>
                <w:b/>
                <w:bCs/>
                <w:color w:val="70AD47"/>
                <w:sz w:val="18"/>
                <w:szCs w:val="18"/>
                <w:lang w:val="en-GB" w:eastAsia="en-GB"/>
              </w:rPr>
            </w:pPr>
            <w:r w:rsidRPr="006C00BD">
              <w:rPr>
                <w:rFonts w:ascii="Segoe UI Emoji" w:hAnsi="Segoe UI Emoji" w:cs="Segoe UI Emoji"/>
                <w:b/>
                <w:bCs/>
                <w:color w:val="70AD47"/>
                <w:sz w:val="18"/>
                <w:szCs w:val="18"/>
                <w:lang w:val="en-GB" w:eastAsia="en-GB"/>
              </w:rPr>
              <w:t>↗</w:t>
            </w:r>
            <w:r w:rsidRPr="006C00BD">
              <w:rPr>
                <w:b/>
                <w:bCs/>
                <w:color w:val="70AD47"/>
                <w:sz w:val="18"/>
                <w:szCs w:val="18"/>
                <w:lang w:val="en-GB" w:eastAsia="en-GB"/>
              </w:rPr>
              <w:t xml:space="preserve"> 32 (5)</w:t>
            </w:r>
          </w:p>
        </w:tc>
        <w:tc>
          <w:tcPr>
            <w:tcW w:w="976" w:type="dxa"/>
            <w:tcBorders>
              <w:top w:val="nil"/>
              <w:left w:val="nil"/>
              <w:bottom w:val="single" w:sz="4" w:space="0" w:color="auto"/>
              <w:right w:val="single" w:sz="4" w:space="0" w:color="auto"/>
            </w:tcBorders>
            <w:shd w:val="clear" w:color="auto" w:fill="auto"/>
            <w:noWrap/>
            <w:vAlign w:val="bottom"/>
            <w:hideMark/>
          </w:tcPr>
          <w:p w14:paraId="58DB1E7A"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06" w:type="dxa"/>
            <w:tcBorders>
              <w:top w:val="nil"/>
              <w:left w:val="nil"/>
              <w:bottom w:val="single" w:sz="4" w:space="0" w:color="auto"/>
              <w:right w:val="single" w:sz="4" w:space="0" w:color="auto"/>
            </w:tcBorders>
            <w:shd w:val="clear" w:color="auto" w:fill="auto"/>
            <w:noWrap/>
            <w:vAlign w:val="bottom"/>
            <w:hideMark/>
          </w:tcPr>
          <w:p w14:paraId="692D23A8"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36" w:type="dxa"/>
            <w:tcBorders>
              <w:top w:val="nil"/>
              <w:left w:val="nil"/>
              <w:bottom w:val="single" w:sz="4" w:space="0" w:color="auto"/>
              <w:right w:val="single" w:sz="4" w:space="0" w:color="auto"/>
            </w:tcBorders>
            <w:shd w:val="clear" w:color="auto" w:fill="auto"/>
            <w:noWrap/>
            <w:vAlign w:val="bottom"/>
            <w:hideMark/>
          </w:tcPr>
          <w:p w14:paraId="03BDCF1C"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986" w:type="dxa"/>
            <w:tcBorders>
              <w:top w:val="nil"/>
              <w:left w:val="nil"/>
              <w:bottom w:val="single" w:sz="4" w:space="0" w:color="auto"/>
              <w:right w:val="single" w:sz="4" w:space="0" w:color="auto"/>
            </w:tcBorders>
            <w:shd w:val="clear" w:color="auto" w:fill="auto"/>
            <w:noWrap/>
            <w:vAlign w:val="bottom"/>
            <w:hideMark/>
          </w:tcPr>
          <w:p w14:paraId="23BF07F1"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c>
          <w:tcPr>
            <w:tcW w:w="1057" w:type="dxa"/>
            <w:tcBorders>
              <w:top w:val="nil"/>
              <w:left w:val="nil"/>
              <w:bottom w:val="single" w:sz="4" w:space="0" w:color="auto"/>
              <w:right w:val="single" w:sz="4" w:space="0" w:color="auto"/>
            </w:tcBorders>
            <w:shd w:val="clear" w:color="auto" w:fill="auto"/>
            <w:noWrap/>
            <w:vAlign w:val="bottom"/>
            <w:hideMark/>
          </w:tcPr>
          <w:p w14:paraId="72A066D0" w14:textId="77777777" w:rsidR="00280BCD" w:rsidRPr="006C00BD" w:rsidRDefault="00280BCD" w:rsidP="00C65089">
            <w:pPr>
              <w:spacing w:line="360" w:lineRule="auto"/>
              <w:jc w:val="center"/>
              <w:rPr>
                <w:b/>
                <w:bCs/>
                <w:color w:val="808080"/>
                <w:sz w:val="18"/>
                <w:szCs w:val="18"/>
                <w:lang w:val="en-GB" w:eastAsia="en-GB"/>
              </w:rPr>
            </w:pPr>
            <w:r w:rsidRPr="006C00BD">
              <w:rPr>
                <w:b/>
                <w:bCs/>
                <w:color w:val="808080"/>
                <w:sz w:val="18"/>
                <w:szCs w:val="18"/>
                <w:lang w:val="en-GB" w:eastAsia="en-GB"/>
              </w:rPr>
              <w:t>Ø 0</w:t>
            </w:r>
          </w:p>
        </w:tc>
      </w:tr>
    </w:tbl>
    <w:p w14:paraId="72FFE546" w14:textId="77777777" w:rsidR="00280BCD" w:rsidRPr="006C00BD" w:rsidRDefault="00280BCD" w:rsidP="00C65089">
      <w:pPr>
        <w:pStyle w:val="SMcaption"/>
        <w:spacing w:line="360" w:lineRule="auto"/>
        <w:jc w:val="both"/>
        <w:rPr>
          <w:sz w:val="20"/>
        </w:rPr>
      </w:pPr>
    </w:p>
    <w:p w14:paraId="5CDA011F" w14:textId="77777777" w:rsidR="00536BC8" w:rsidRDefault="00536BC8">
      <w:pPr>
        <w:rPr>
          <w:b/>
          <w:sz w:val="22"/>
        </w:rPr>
      </w:pPr>
      <w:r>
        <w:rPr>
          <w:b/>
          <w:sz w:val="22"/>
        </w:rPr>
        <w:br w:type="page"/>
      </w:r>
    </w:p>
    <w:p w14:paraId="6C96BED5" w14:textId="2A92CD48" w:rsidR="00820484" w:rsidRDefault="00F514EC" w:rsidP="00C65089">
      <w:pPr>
        <w:pStyle w:val="SMcaption"/>
        <w:spacing w:line="360" w:lineRule="auto"/>
        <w:rPr>
          <w:b/>
          <w:sz w:val="22"/>
        </w:rPr>
      </w:pPr>
      <w:r w:rsidRPr="00C65089">
        <w:rPr>
          <w:b/>
          <w:sz w:val="22"/>
        </w:rPr>
        <w:lastRenderedPageBreak/>
        <w:t>S</w:t>
      </w:r>
      <w:r w:rsidR="00C65089">
        <w:rPr>
          <w:b/>
          <w:sz w:val="22"/>
        </w:rPr>
        <w:t>upporting information</w:t>
      </w:r>
      <w:r w:rsidRPr="00C65089">
        <w:rPr>
          <w:b/>
          <w:sz w:val="22"/>
        </w:rPr>
        <w:t xml:space="preserve"> </w:t>
      </w:r>
      <w:r w:rsidR="00C65089">
        <w:rPr>
          <w:b/>
          <w:sz w:val="22"/>
        </w:rPr>
        <w:t>r</w:t>
      </w:r>
      <w:r w:rsidR="00820484" w:rsidRPr="00C65089">
        <w:rPr>
          <w:b/>
          <w:sz w:val="22"/>
        </w:rPr>
        <w:t>eferences</w:t>
      </w:r>
      <w:r w:rsidR="00C65089">
        <w:rPr>
          <w:b/>
          <w:sz w:val="22"/>
        </w:rPr>
        <w:t>:</w:t>
      </w:r>
    </w:p>
    <w:p w14:paraId="404797B3" w14:textId="77777777" w:rsidR="00013FFB" w:rsidRPr="00013FFB" w:rsidRDefault="00C65089" w:rsidP="00013FFB">
      <w:pPr>
        <w:pStyle w:val="Bibliographie"/>
        <w:rPr>
          <w:sz w:val="22"/>
        </w:rPr>
      </w:pPr>
      <w:r>
        <w:rPr>
          <w:b/>
          <w:sz w:val="22"/>
        </w:rPr>
        <w:fldChar w:fldCharType="begin"/>
      </w:r>
      <w:r w:rsidR="00013FFB">
        <w:rPr>
          <w:b/>
          <w:sz w:val="22"/>
        </w:rPr>
        <w:instrText xml:space="preserve"> ADDIN ZOTERO_BIBL {"uncited":[],"omitted":[],"custom":[]} CSL_BIBLIOGRAPHY </w:instrText>
      </w:r>
      <w:r>
        <w:rPr>
          <w:b/>
          <w:sz w:val="22"/>
        </w:rPr>
        <w:fldChar w:fldCharType="separate"/>
      </w:r>
      <w:r w:rsidR="00013FFB" w:rsidRPr="00013FFB">
        <w:rPr>
          <w:sz w:val="22"/>
        </w:rPr>
        <w:t>Albrecht M, Kleijn D, Williams NM, et al (2020) The effectiveness of flower strips and hedgerows on pest control, pollination services and crop yield: a quantitative synthesis. Ecology Letters 23:1488–1498. https://doi.org/10.1111/ele.13576</w:t>
      </w:r>
    </w:p>
    <w:p w14:paraId="15938459" w14:textId="77777777" w:rsidR="00013FFB" w:rsidRPr="00013FFB" w:rsidRDefault="00013FFB" w:rsidP="00013FFB">
      <w:pPr>
        <w:pStyle w:val="Bibliographie"/>
        <w:rPr>
          <w:sz w:val="22"/>
        </w:rPr>
      </w:pPr>
      <w:r w:rsidRPr="00013FFB">
        <w:rPr>
          <w:sz w:val="22"/>
        </w:rPr>
        <w:t>Bishop GA, Fijen TPM, Desposato BN, et al (2023) Hedgerows have contrasting effects on pollinators and natural enemies and limited spillover effects on apple production. Agriculture, Ecosystems &amp; Environment 346:108364. https://doi.org/10.1016/j.agee.2023.108364</w:t>
      </w:r>
    </w:p>
    <w:p w14:paraId="57490766" w14:textId="77777777" w:rsidR="00013FFB" w:rsidRPr="00013FFB" w:rsidRDefault="00013FFB" w:rsidP="00013FFB">
      <w:pPr>
        <w:pStyle w:val="Bibliographie"/>
        <w:rPr>
          <w:sz w:val="22"/>
        </w:rPr>
      </w:pPr>
      <w:r w:rsidRPr="00013FFB">
        <w:rPr>
          <w:sz w:val="22"/>
        </w:rPr>
        <w:t>Boetzl FA, Krimmer E, Krauss J, Steffan‐Dewenter I (2019) Agri‐environmental schemes promote ground‐dwelling predators in adjacent oilseed rape fields: Diversity, species traits and distance‐decay functions. Journal of Applied Ecology 56:10–20. https://doi.org/10.1111/1365-2664.13162</w:t>
      </w:r>
    </w:p>
    <w:p w14:paraId="27ADAF52" w14:textId="77777777" w:rsidR="00013FFB" w:rsidRPr="00013FFB" w:rsidRDefault="00013FFB" w:rsidP="00013FFB">
      <w:pPr>
        <w:pStyle w:val="Bibliographie"/>
        <w:rPr>
          <w:sz w:val="22"/>
        </w:rPr>
      </w:pPr>
      <w:r w:rsidRPr="00013FFB">
        <w:rPr>
          <w:sz w:val="22"/>
        </w:rPr>
        <w:t xml:space="preserve">Dainese M, Montecchiari S, Sitzia T, et al (2017) High cover of hedgerows in the landscape supports multiple ecosystem services in </w:t>
      </w:r>
      <w:r w:rsidRPr="00013FFB">
        <w:rPr>
          <w:smallCaps/>
          <w:sz w:val="22"/>
        </w:rPr>
        <w:t>M</w:t>
      </w:r>
      <w:r w:rsidRPr="00013FFB">
        <w:rPr>
          <w:sz w:val="22"/>
        </w:rPr>
        <w:t xml:space="preserve"> editerranean cereal fields. Journal of Applied Ecology 54:380–388. https://doi.org/10.1111/1365-2664.12747</w:t>
      </w:r>
    </w:p>
    <w:p w14:paraId="4D2B9968" w14:textId="77777777" w:rsidR="00013FFB" w:rsidRPr="00013FFB" w:rsidRDefault="00013FFB" w:rsidP="00013FFB">
      <w:pPr>
        <w:pStyle w:val="Bibliographie"/>
        <w:rPr>
          <w:sz w:val="22"/>
        </w:rPr>
      </w:pPr>
      <w:r w:rsidRPr="00013FFB">
        <w:rPr>
          <w:sz w:val="22"/>
        </w:rPr>
        <w:t>Letourneau DK, Armbrecht I, Rivera BS, et al (2011) Does plant diversity benefit agroecosystems? A synthetic review. Ecol Appl 21:9–21. https://doi.org/10.1890/09-2026.1</w:t>
      </w:r>
    </w:p>
    <w:p w14:paraId="1CA9029A" w14:textId="77777777" w:rsidR="00013FFB" w:rsidRPr="00013FFB" w:rsidRDefault="00013FFB" w:rsidP="00013FFB">
      <w:pPr>
        <w:pStyle w:val="Bibliographie"/>
        <w:rPr>
          <w:sz w:val="22"/>
        </w:rPr>
      </w:pPr>
      <w:r w:rsidRPr="00013FFB">
        <w:rPr>
          <w:sz w:val="22"/>
        </w:rPr>
        <w:t>Lichtenberg EM, Kennedy CM, Kremen C, et al (2017) A global synthesis of the effects of diversified farming systems on arthropod diversity within fields and across agricultural landscapes. Global Change Biology 23:4946–4957. https://doi.org/10.1111/gcb.13714</w:t>
      </w:r>
    </w:p>
    <w:p w14:paraId="1AD57CEE" w14:textId="77777777" w:rsidR="00013FFB" w:rsidRPr="00013FFB" w:rsidRDefault="00013FFB" w:rsidP="00013FFB">
      <w:pPr>
        <w:pStyle w:val="Bibliographie"/>
        <w:rPr>
          <w:sz w:val="22"/>
        </w:rPr>
      </w:pPr>
      <w:r w:rsidRPr="00013FFB">
        <w:rPr>
          <w:sz w:val="22"/>
        </w:rPr>
        <w:t>McHugh NM, Moreby S, Lof ME, et al (2020) The contribution of semi‐natural habitats to biological control is dependent on sentinel prey type. Journal of Applied Ecology 57:914–925. https://doi.org/10.1111/1365-2664.13596</w:t>
      </w:r>
    </w:p>
    <w:p w14:paraId="0B2665AB" w14:textId="77777777" w:rsidR="00013FFB" w:rsidRPr="00013FFB" w:rsidRDefault="00013FFB" w:rsidP="00013FFB">
      <w:pPr>
        <w:pStyle w:val="Bibliographie"/>
        <w:rPr>
          <w:sz w:val="22"/>
        </w:rPr>
      </w:pPr>
      <w:r w:rsidRPr="00013FFB">
        <w:rPr>
          <w:sz w:val="22"/>
        </w:rPr>
        <w:t>Page MJ, McKenzie JE, Bossuyt PM, et al (2021) The PRISMA 2020 statement: an updated guideline for reporting systematic reviews. BMJ 372:n71. https://doi.org/10.1136/bmj.n71</w:t>
      </w:r>
    </w:p>
    <w:p w14:paraId="5B17153B" w14:textId="77777777" w:rsidR="00013FFB" w:rsidRPr="00013FFB" w:rsidRDefault="00013FFB" w:rsidP="00013FFB">
      <w:pPr>
        <w:pStyle w:val="Bibliographie"/>
        <w:rPr>
          <w:sz w:val="22"/>
        </w:rPr>
      </w:pPr>
      <w:r w:rsidRPr="00013FFB">
        <w:rPr>
          <w:sz w:val="22"/>
        </w:rPr>
        <w:t>Pecheur E, Piqueray J, Monty A, et al (2020) The influence of ecological infrastructures adjacent to crops on their carabid assemblages in intensive agroecosystems. PeerJ 8:e8094. https://doi.org/10.7717/peerj.8094</w:t>
      </w:r>
    </w:p>
    <w:p w14:paraId="1F96568C" w14:textId="77777777" w:rsidR="00013FFB" w:rsidRPr="00013FFB" w:rsidRDefault="00013FFB" w:rsidP="00013FFB">
      <w:pPr>
        <w:pStyle w:val="Bibliographie"/>
        <w:rPr>
          <w:sz w:val="22"/>
        </w:rPr>
      </w:pPr>
      <w:r w:rsidRPr="00013FFB">
        <w:rPr>
          <w:sz w:val="22"/>
        </w:rPr>
        <w:t>Rohatgi A (2015) WebPlotDigitizer Version 3.9. Retrieved September 22:2015</w:t>
      </w:r>
    </w:p>
    <w:p w14:paraId="6582F1BA" w14:textId="77777777" w:rsidR="00013FFB" w:rsidRPr="00013FFB" w:rsidRDefault="00013FFB" w:rsidP="00013FFB">
      <w:pPr>
        <w:pStyle w:val="Bibliographie"/>
        <w:rPr>
          <w:sz w:val="22"/>
        </w:rPr>
      </w:pPr>
      <w:r w:rsidRPr="00013FFB">
        <w:rPr>
          <w:sz w:val="22"/>
        </w:rPr>
        <w:t>Staton T, Walters RJ, Smith J, et al (2021) Evaluating a trait‐based approach to compare natural enemy and pest communities in agroforestry vs. arable systems. Ecological Applications 31:e02294. https://doi.org/10.1002/eap.2294</w:t>
      </w:r>
    </w:p>
    <w:p w14:paraId="6B80679A" w14:textId="77777777" w:rsidR="00013FFB" w:rsidRPr="00013FFB" w:rsidRDefault="00013FFB" w:rsidP="00013FFB">
      <w:pPr>
        <w:pStyle w:val="Bibliographie"/>
        <w:rPr>
          <w:sz w:val="22"/>
        </w:rPr>
      </w:pPr>
      <w:r w:rsidRPr="00013FFB">
        <w:rPr>
          <w:sz w:val="22"/>
        </w:rPr>
        <w:t>Wan N-F, Zheng X-R, Fu L-W, et al (2020) Global synthesis of effects of plant species diversity on trophic groups and interactions. Nat Plants 6:503–510. https://doi.org/10.1038/s41477-020-0654-y</w:t>
      </w:r>
    </w:p>
    <w:p w14:paraId="38136287" w14:textId="77777777" w:rsidR="00013FFB" w:rsidRPr="00013FFB" w:rsidRDefault="00013FFB" w:rsidP="00013FFB">
      <w:pPr>
        <w:pStyle w:val="Bibliographie"/>
        <w:rPr>
          <w:sz w:val="22"/>
        </w:rPr>
      </w:pPr>
      <w:r w:rsidRPr="00013FFB">
        <w:rPr>
          <w:sz w:val="22"/>
        </w:rPr>
        <w:t xml:space="preserve">Zamorano J, Bartomeus I, Grez AA, Garibaldi LA (2020) Field margin floral enhancements increase pollinator diversity at the field edge but show no consistent spillover into the </w:t>
      </w:r>
      <w:r w:rsidRPr="00013FFB">
        <w:rPr>
          <w:sz w:val="22"/>
        </w:rPr>
        <w:lastRenderedPageBreak/>
        <w:t>crop field: a meta‐analysis. Insect Conserv Diversity 13:519–531. https://doi.org/10.1111/icad.12454</w:t>
      </w:r>
    </w:p>
    <w:p w14:paraId="0AD3D177" w14:textId="5AB797F4" w:rsidR="00C65089" w:rsidRPr="00C65089" w:rsidRDefault="00C65089" w:rsidP="00C65089">
      <w:pPr>
        <w:pStyle w:val="SMcaption"/>
        <w:spacing w:line="360" w:lineRule="auto"/>
        <w:rPr>
          <w:b/>
          <w:sz w:val="22"/>
        </w:rPr>
      </w:pPr>
      <w:r>
        <w:rPr>
          <w:b/>
          <w:sz w:val="22"/>
        </w:rPr>
        <w:fldChar w:fldCharType="end"/>
      </w:r>
    </w:p>
    <w:p w14:paraId="68E26366" w14:textId="77777777" w:rsidR="00C65089" w:rsidRPr="006C00BD" w:rsidRDefault="00C65089" w:rsidP="00C65089">
      <w:pPr>
        <w:pStyle w:val="SMcaption"/>
        <w:spacing w:line="360" w:lineRule="auto"/>
        <w:rPr>
          <w:b/>
          <w:sz w:val="20"/>
        </w:rPr>
      </w:pPr>
    </w:p>
    <w:sectPr w:rsidR="00C65089" w:rsidRPr="006C00BD" w:rsidSect="00F125EE">
      <w:headerReference w:type="default" r:id="rId15"/>
      <w:footerReference w:type="default" r:id="rId16"/>
      <w:pgSz w:w="12240" w:h="15840"/>
      <w:pgMar w:top="1440" w:right="1800" w:bottom="1440" w:left="180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1126A" w16cex:dateUtc="2020-08-26T23:55:00Z"/>
  <w16cex:commentExtensible w16cex:durableId="22F112F1" w16cex:dateUtc="2020-08-26T23:57:00Z"/>
  <w16cex:commentExtensible w16cex:durableId="22F113C6" w16cex:dateUtc="2020-08-27T00:00:00Z"/>
  <w16cex:commentExtensible w16cex:durableId="22F114E9" w16cex:dateUtc="2020-08-27T00: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D9833" w14:textId="77777777" w:rsidR="00013FFB" w:rsidRDefault="00013FFB">
      <w:r>
        <w:separator/>
      </w:r>
    </w:p>
  </w:endnote>
  <w:endnote w:type="continuationSeparator" w:id="0">
    <w:p w14:paraId="66C3BA5E" w14:textId="77777777" w:rsidR="00013FFB" w:rsidRDefault="0001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96907" w14:textId="193174C0" w:rsidR="00013FFB" w:rsidRDefault="00013FFB">
    <w:pPr>
      <w:pStyle w:val="Pieddepage"/>
      <w:jc w:val="right"/>
    </w:pPr>
    <w:r>
      <w:fldChar w:fldCharType="begin"/>
    </w:r>
    <w:r>
      <w:instrText xml:space="preserve"> PAGE   \* MERGEFORMAT </w:instrText>
    </w:r>
    <w:r>
      <w:fldChar w:fldCharType="separate"/>
    </w:r>
    <w:r>
      <w:rPr>
        <w:noProof/>
      </w:rPr>
      <w:t>1</w:t>
    </w:r>
    <w:r>
      <w:fldChar w:fldCharType="end"/>
    </w:r>
  </w:p>
  <w:p w14:paraId="180EEFF6" w14:textId="77777777" w:rsidR="00013FFB" w:rsidRDefault="00013F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E0CF2" w14:textId="77777777" w:rsidR="00013FFB" w:rsidRDefault="00013FFB">
      <w:r>
        <w:separator/>
      </w:r>
    </w:p>
  </w:footnote>
  <w:footnote w:type="continuationSeparator" w:id="0">
    <w:p w14:paraId="19463A8C" w14:textId="77777777" w:rsidR="00013FFB" w:rsidRDefault="00013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40DC9" w14:textId="77777777" w:rsidR="00013FFB" w:rsidRPr="005001AC" w:rsidRDefault="00013FFB" w:rsidP="005001AC">
    <w:pPr>
      <w:jc w:val="right"/>
      <w:rPr>
        <w:sz w:val="20"/>
      </w:rPr>
    </w:pPr>
  </w:p>
  <w:p w14:paraId="0091C365" w14:textId="77777777" w:rsidR="00013FFB" w:rsidRDefault="00013F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D1436C"/>
    <w:multiLevelType w:val="hybridMultilevel"/>
    <w:tmpl w:val="B026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7977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B22E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6"/>
  </w:num>
  <w:num w:numId="14">
    <w:abstractNumId w:val="13"/>
  </w:num>
  <w:num w:numId="15">
    <w:abstractNumId w:val="11"/>
  </w:num>
  <w:num w:numId="16">
    <w:abstractNumId w:val="1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3FFB"/>
    <w:rsid w:val="00015F74"/>
    <w:rsid w:val="00017C53"/>
    <w:rsid w:val="00030840"/>
    <w:rsid w:val="00065EBD"/>
    <w:rsid w:val="00083B44"/>
    <w:rsid w:val="000850DC"/>
    <w:rsid w:val="000A41E4"/>
    <w:rsid w:val="000C2771"/>
    <w:rsid w:val="000C5F36"/>
    <w:rsid w:val="000F0DCE"/>
    <w:rsid w:val="00112C5B"/>
    <w:rsid w:val="00114193"/>
    <w:rsid w:val="00115A38"/>
    <w:rsid w:val="0011687B"/>
    <w:rsid w:val="00124F82"/>
    <w:rsid w:val="0016337A"/>
    <w:rsid w:val="00164269"/>
    <w:rsid w:val="001A1BDE"/>
    <w:rsid w:val="001A5116"/>
    <w:rsid w:val="001C0520"/>
    <w:rsid w:val="001C0975"/>
    <w:rsid w:val="001F0876"/>
    <w:rsid w:val="001F167C"/>
    <w:rsid w:val="001F5E91"/>
    <w:rsid w:val="002077B9"/>
    <w:rsid w:val="00262D72"/>
    <w:rsid w:val="00280BCD"/>
    <w:rsid w:val="00294FBB"/>
    <w:rsid w:val="002C030F"/>
    <w:rsid w:val="002C667A"/>
    <w:rsid w:val="00325D90"/>
    <w:rsid w:val="00331D75"/>
    <w:rsid w:val="00332BFB"/>
    <w:rsid w:val="00355362"/>
    <w:rsid w:val="00363E44"/>
    <w:rsid w:val="00387114"/>
    <w:rsid w:val="00395E86"/>
    <w:rsid w:val="00397983"/>
    <w:rsid w:val="003A2FD8"/>
    <w:rsid w:val="003B40E6"/>
    <w:rsid w:val="003F6E14"/>
    <w:rsid w:val="00405336"/>
    <w:rsid w:val="00455699"/>
    <w:rsid w:val="004571D5"/>
    <w:rsid w:val="00461D81"/>
    <w:rsid w:val="0046356B"/>
    <w:rsid w:val="00477182"/>
    <w:rsid w:val="004779CB"/>
    <w:rsid w:val="004A159F"/>
    <w:rsid w:val="004B2F21"/>
    <w:rsid w:val="004E42D8"/>
    <w:rsid w:val="004E7BA2"/>
    <w:rsid w:val="004F7EDF"/>
    <w:rsid w:val="005001AC"/>
    <w:rsid w:val="00527D71"/>
    <w:rsid w:val="00536BC8"/>
    <w:rsid w:val="005607DD"/>
    <w:rsid w:val="005609E9"/>
    <w:rsid w:val="00596700"/>
    <w:rsid w:val="005A558C"/>
    <w:rsid w:val="005C52D5"/>
    <w:rsid w:val="005D088E"/>
    <w:rsid w:val="005E28F8"/>
    <w:rsid w:val="005E6513"/>
    <w:rsid w:val="005F15B7"/>
    <w:rsid w:val="006069C6"/>
    <w:rsid w:val="00611A19"/>
    <w:rsid w:val="006140DF"/>
    <w:rsid w:val="00651114"/>
    <w:rsid w:val="0065772A"/>
    <w:rsid w:val="00670299"/>
    <w:rsid w:val="00690668"/>
    <w:rsid w:val="00691985"/>
    <w:rsid w:val="006A1B64"/>
    <w:rsid w:val="006C00BD"/>
    <w:rsid w:val="006D169A"/>
    <w:rsid w:val="006E3E68"/>
    <w:rsid w:val="007108F5"/>
    <w:rsid w:val="00713E5B"/>
    <w:rsid w:val="007402FC"/>
    <w:rsid w:val="007411A1"/>
    <w:rsid w:val="00763345"/>
    <w:rsid w:val="007843C9"/>
    <w:rsid w:val="00797F24"/>
    <w:rsid w:val="007B5946"/>
    <w:rsid w:val="007F5297"/>
    <w:rsid w:val="00807D35"/>
    <w:rsid w:val="00820484"/>
    <w:rsid w:val="00824DF3"/>
    <w:rsid w:val="00840BB2"/>
    <w:rsid w:val="00885C9B"/>
    <w:rsid w:val="008C069B"/>
    <w:rsid w:val="008D5D2A"/>
    <w:rsid w:val="00914B63"/>
    <w:rsid w:val="009258B8"/>
    <w:rsid w:val="009354F3"/>
    <w:rsid w:val="00943C3C"/>
    <w:rsid w:val="009447DC"/>
    <w:rsid w:val="009519CF"/>
    <w:rsid w:val="00961BA5"/>
    <w:rsid w:val="009743A9"/>
    <w:rsid w:val="009A5287"/>
    <w:rsid w:val="009A670E"/>
    <w:rsid w:val="009B2AC5"/>
    <w:rsid w:val="009B7984"/>
    <w:rsid w:val="009D6B1C"/>
    <w:rsid w:val="009F4BED"/>
    <w:rsid w:val="009F7D93"/>
    <w:rsid w:val="00A3403B"/>
    <w:rsid w:val="00A51A12"/>
    <w:rsid w:val="00A627D4"/>
    <w:rsid w:val="00A72B81"/>
    <w:rsid w:val="00A74DA2"/>
    <w:rsid w:val="00AC15B4"/>
    <w:rsid w:val="00AD499C"/>
    <w:rsid w:val="00AD71EE"/>
    <w:rsid w:val="00AE5A70"/>
    <w:rsid w:val="00B003EE"/>
    <w:rsid w:val="00B038F4"/>
    <w:rsid w:val="00B15008"/>
    <w:rsid w:val="00B16F99"/>
    <w:rsid w:val="00B36869"/>
    <w:rsid w:val="00B400AA"/>
    <w:rsid w:val="00B42F9C"/>
    <w:rsid w:val="00B43B31"/>
    <w:rsid w:val="00B47CFA"/>
    <w:rsid w:val="00B57F00"/>
    <w:rsid w:val="00B73A1C"/>
    <w:rsid w:val="00B77B2A"/>
    <w:rsid w:val="00B82C22"/>
    <w:rsid w:val="00B8723B"/>
    <w:rsid w:val="00B93DBA"/>
    <w:rsid w:val="00B9440A"/>
    <w:rsid w:val="00BB2D2A"/>
    <w:rsid w:val="00BD58CF"/>
    <w:rsid w:val="00C046DC"/>
    <w:rsid w:val="00C04CC1"/>
    <w:rsid w:val="00C364C5"/>
    <w:rsid w:val="00C47714"/>
    <w:rsid w:val="00C50C6D"/>
    <w:rsid w:val="00C600D9"/>
    <w:rsid w:val="00C65089"/>
    <w:rsid w:val="00CC1384"/>
    <w:rsid w:val="00CC447F"/>
    <w:rsid w:val="00CD3720"/>
    <w:rsid w:val="00CF16C9"/>
    <w:rsid w:val="00CF1848"/>
    <w:rsid w:val="00CF5C2F"/>
    <w:rsid w:val="00D04BCF"/>
    <w:rsid w:val="00D143D9"/>
    <w:rsid w:val="00D269AB"/>
    <w:rsid w:val="00D346C2"/>
    <w:rsid w:val="00D72226"/>
    <w:rsid w:val="00DA22DA"/>
    <w:rsid w:val="00DA59EA"/>
    <w:rsid w:val="00DB0B1D"/>
    <w:rsid w:val="00DC623A"/>
    <w:rsid w:val="00DD421A"/>
    <w:rsid w:val="00E257C8"/>
    <w:rsid w:val="00E37047"/>
    <w:rsid w:val="00E60D0F"/>
    <w:rsid w:val="00E9773B"/>
    <w:rsid w:val="00EA596B"/>
    <w:rsid w:val="00EC13A3"/>
    <w:rsid w:val="00EC7C85"/>
    <w:rsid w:val="00F04CD9"/>
    <w:rsid w:val="00F125EE"/>
    <w:rsid w:val="00F12E98"/>
    <w:rsid w:val="00F22029"/>
    <w:rsid w:val="00F25DEF"/>
    <w:rsid w:val="00F514EC"/>
    <w:rsid w:val="00F60CD4"/>
    <w:rsid w:val="00F630EA"/>
    <w:rsid w:val="00F7007E"/>
    <w:rsid w:val="00F70200"/>
    <w:rsid w:val="00F73193"/>
    <w:rsid w:val="00F74F95"/>
    <w:rsid w:val="00F80705"/>
    <w:rsid w:val="00FA1481"/>
    <w:rsid w:val="00FB44FD"/>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630EA"/>
    <w:rPr>
      <w:sz w:val="24"/>
    </w:rPr>
  </w:style>
  <w:style w:type="paragraph" w:styleId="Titre1">
    <w:name w:val="heading 1"/>
    <w:basedOn w:val="Normal"/>
    <w:next w:val="Normal"/>
    <w:link w:val="Titre1Car"/>
    <w:semiHidden/>
    <w:qFormat/>
    <w:rsid w:val="00B43B31"/>
    <w:pPr>
      <w:keepNext/>
      <w:spacing w:before="240" w:after="60"/>
      <w:outlineLvl w:val="0"/>
    </w:pPr>
    <w:rPr>
      <w:b/>
      <w:bCs/>
      <w:kern w:val="32"/>
      <w:szCs w:val="24"/>
    </w:rPr>
  </w:style>
  <w:style w:type="paragraph" w:styleId="Titre2">
    <w:name w:val="heading 2"/>
    <w:basedOn w:val="Normal"/>
    <w:next w:val="Normal"/>
    <w:link w:val="Titre2Car"/>
    <w:semiHidden/>
    <w:qFormat/>
    <w:rsid w:val="007411A1"/>
    <w:pPr>
      <w:keepNext/>
      <w:spacing w:before="240" w:after="60"/>
      <w:outlineLvl w:val="1"/>
    </w:pPr>
    <w:rPr>
      <w:rFonts w:ascii="Cambria" w:hAnsi="Cambria"/>
      <w:b/>
      <w:bCs/>
      <w:i/>
      <w:iCs/>
      <w:sz w:val="28"/>
      <w:szCs w:val="28"/>
    </w:rPr>
  </w:style>
  <w:style w:type="paragraph" w:styleId="Titre3">
    <w:name w:val="heading 3"/>
    <w:basedOn w:val="Normal"/>
    <w:next w:val="Normal"/>
    <w:semiHidden/>
    <w:qFormat/>
    <w:rsid w:val="00C600D9"/>
    <w:pPr>
      <w:keepNext/>
      <w:spacing w:line="480" w:lineRule="auto"/>
      <w:outlineLvl w:val="2"/>
    </w:pPr>
    <w:rPr>
      <w:rFonts w:ascii="Times" w:eastAsia="Times" w:hAnsi="Times"/>
      <w:b/>
    </w:rPr>
  </w:style>
  <w:style w:type="paragraph" w:styleId="Titre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itre5">
    <w:name w:val="heading 5"/>
    <w:basedOn w:val="Normal"/>
    <w:next w:val="Normal"/>
    <w:link w:val="Titre5Car"/>
    <w:semiHidden/>
    <w:qFormat/>
    <w:rsid w:val="007411A1"/>
    <w:pPr>
      <w:spacing w:before="240" w:after="60"/>
      <w:outlineLvl w:val="4"/>
    </w:pPr>
    <w:rPr>
      <w:rFonts w:ascii="Calibri" w:hAnsi="Calibri"/>
      <w:b/>
      <w:bCs/>
      <w:i/>
      <w:iCs/>
      <w:sz w:val="26"/>
      <w:szCs w:val="26"/>
    </w:rPr>
  </w:style>
  <w:style w:type="paragraph" w:styleId="Titre6">
    <w:name w:val="heading 6"/>
    <w:basedOn w:val="Normal"/>
    <w:next w:val="Normal"/>
    <w:link w:val="Titre6Car"/>
    <w:semiHidden/>
    <w:qFormat/>
    <w:rsid w:val="007411A1"/>
    <w:pPr>
      <w:spacing w:before="240" w:after="60"/>
      <w:outlineLvl w:val="5"/>
    </w:pPr>
    <w:rPr>
      <w:rFonts w:ascii="Calibri" w:hAnsi="Calibri"/>
      <w:b/>
      <w:bCs/>
      <w:sz w:val="22"/>
      <w:szCs w:val="22"/>
    </w:rPr>
  </w:style>
  <w:style w:type="paragraph" w:styleId="Titre7">
    <w:name w:val="heading 7"/>
    <w:basedOn w:val="Normal"/>
    <w:next w:val="Normal"/>
    <w:link w:val="Titre7Car"/>
    <w:semiHidden/>
    <w:qFormat/>
    <w:rsid w:val="007411A1"/>
    <w:pPr>
      <w:spacing w:before="240" w:after="60"/>
      <w:outlineLvl w:val="6"/>
    </w:pPr>
    <w:rPr>
      <w:rFonts w:ascii="Calibri" w:hAnsi="Calibri"/>
      <w:szCs w:val="24"/>
    </w:rPr>
  </w:style>
  <w:style w:type="paragraph" w:styleId="Titre8">
    <w:name w:val="heading 8"/>
    <w:basedOn w:val="Normal"/>
    <w:next w:val="Normal"/>
    <w:link w:val="Titre8Car"/>
    <w:semiHidden/>
    <w:qFormat/>
    <w:rsid w:val="007411A1"/>
    <w:pPr>
      <w:spacing w:before="240" w:after="60"/>
      <w:outlineLvl w:val="7"/>
    </w:pPr>
    <w:rPr>
      <w:rFonts w:ascii="Calibri" w:hAnsi="Calibri"/>
      <w:i/>
      <w:iCs/>
      <w:szCs w:val="24"/>
    </w:rPr>
  </w:style>
  <w:style w:type="paragraph" w:styleId="Titre9">
    <w:name w:val="heading 9"/>
    <w:basedOn w:val="Normal"/>
    <w:next w:val="Normal"/>
    <w:link w:val="Titre9Car"/>
    <w:semiHidden/>
    <w:qFormat/>
    <w:rsid w:val="007411A1"/>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477182"/>
  </w:style>
  <w:style w:type="character" w:customStyle="1" w:styleId="Titre1Car">
    <w:name w:val="Titre 1 Car"/>
    <w:basedOn w:val="Policepardfaut"/>
    <w:link w:val="Titre1"/>
    <w:semiHidden/>
    <w:rsid w:val="00FF04E3"/>
    <w:rPr>
      <w:b/>
      <w:bCs/>
      <w:kern w:val="32"/>
      <w:sz w:val="24"/>
      <w:szCs w:val="24"/>
    </w:rPr>
  </w:style>
  <w:style w:type="character" w:customStyle="1" w:styleId="Titre2Car">
    <w:name w:val="Titre 2 Car"/>
    <w:basedOn w:val="Policepardfaut"/>
    <w:link w:val="Titre2"/>
    <w:semiHidden/>
    <w:rsid w:val="00FF04E3"/>
    <w:rPr>
      <w:rFonts w:ascii="Cambria" w:hAnsi="Cambria"/>
      <w:b/>
      <w:bCs/>
      <w:i/>
      <w:iCs/>
      <w:sz w:val="28"/>
      <w:szCs w:val="28"/>
    </w:rPr>
  </w:style>
  <w:style w:type="character" w:customStyle="1" w:styleId="Titre5Car">
    <w:name w:val="Titre 5 Car"/>
    <w:basedOn w:val="Policepardfaut"/>
    <w:link w:val="Titre5"/>
    <w:semiHidden/>
    <w:rsid w:val="00FF04E3"/>
    <w:rPr>
      <w:rFonts w:ascii="Calibri" w:hAnsi="Calibri"/>
      <w:b/>
      <w:bCs/>
      <w:i/>
      <w:iCs/>
      <w:sz w:val="26"/>
      <w:szCs w:val="26"/>
    </w:rPr>
  </w:style>
  <w:style w:type="character" w:customStyle="1" w:styleId="Titre6Car">
    <w:name w:val="Titre 6 Car"/>
    <w:basedOn w:val="Policepardfaut"/>
    <w:link w:val="Titre6"/>
    <w:semiHidden/>
    <w:rsid w:val="00FF04E3"/>
    <w:rPr>
      <w:rFonts w:ascii="Calibri" w:hAnsi="Calibri"/>
      <w:b/>
      <w:bCs/>
      <w:sz w:val="22"/>
      <w:szCs w:val="22"/>
    </w:rPr>
  </w:style>
  <w:style w:type="character" w:customStyle="1" w:styleId="Titre7Car">
    <w:name w:val="Titre 7 Car"/>
    <w:basedOn w:val="Policepardfaut"/>
    <w:link w:val="Titre7"/>
    <w:semiHidden/>
    <w:rsid w:val="00FF04E3"/>
    <w:rPr>
      <w:rFonts w:ascii="Calibri" w:hAnsi="Calibri"/>
      <w:sz w:val="24"/>
      <w:szCs w:val="24"/>
    </w:rPr>
  </w:style>
  <w:style w:type="character" w:customStyle="1" w:styleId="Titre8Car">
    <w:name w:val="Titre 8 Car"/>
    <w:basedOn w:val="Policepardfaut"/>
    <w:link w:val="Titre8"/>
    <w:semiHidden/>
    <w:rsid w:val="00FF04E3"/>
    <w:rPr>
      <w:rFonts w:ascii="Calibri" w:hAnsi="Calibri"/>
      <w:i/>
      <w:iCs/>
      <w:sz w:val="24"/>
      <w:szCs w:val="24"/>
    </w:rPr>
  </w:style>
  <w:style w:type="character" w:customStyle="1" w:styleId="Titre9Car">
    <w:name w:val="Titre 9 Car"/>
    <w:basedOn w:val="Policepardfaut"/>
    <w:link w:val="Titre9"/>
    <w:semiHidden/>
    <w:rsid w:val="00FF04E3"/>
    <w:rPr>
      <w:rFonts w:ascii="Cambria" w:hAnsi="Cambria"/>
      <w:sz w:val="22"/>
      <w:szCs w:val="22"/>
    </w:rPr>
  </w:style>
  <w:style w:type="paragraph" w:customStyle="1" w:styleId="SMHeading">
    <w:name w:val="SM Heading"/>
    <w:basedOn w:val="Titre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edebulles">
    <w:name w:val="Balloon Text"/>
    <w:basedOn w:val="Normal"/>
    <w:link w:val="TextedebullesCar"/>
    <w:semiHidden/>
    <w:rsid w:val="00405336"/>
    <w:rPr>
      <w:rFonts w:ascii="Tahoma" w:hAnsi="Tahoma" w:cs="Tahoma"/>
      <w:sz w:val="16"/>
      <w:szCs w:val="16"/>
    </w:rPr>
  </w:style>
  <w:style w:type="character" w:customStyle="1" w:styleId="TextedebullesCar">
    <w:name w:val="Texte de bulles Car"/>
    <w:basedOn w:val="Policepardfaut"/>
    <w:link w:val="Textedebulles"/>
    <w:semiHidden/>
    <w:rsid w:val="00FF04E3"/>
    <w:rPr>
      <w:rFonts w:ascii="Tahoma" w:hAnsi="Tahoma" w:cs="Tahoma"/>
      <w:sz w:val="16"/>
      <w:szCs w:val="16"/>
    </w:rPr>
  </w:style>
  <w:style w:type="paragraph" w:styleId="Bibliographie">
    <w:name w:val="Bibliography"/>
    <w:basedOn w:val="Normal"/>
    <w:next w:val="Normal"/>
    <w:uiPriority w:val="37"/>
    <w:semiHidden/>
    <w:rsid w:val="00405336"/>
    <w:pPr>
      <w:spacing w:after="240"/>
      <w:ind w:left="720" w:hanging="720"/>
    </w:pPr>
  </w:style>
  <w:style w:type="paragraph" w:styleId="Normalcentr">
    <w:name w:val="Block Text"/>
    <w:basedOn w:val="Normal"/>
    <w:semiHidden/>
    <w:rsid w:val="00405336"/>
    <w:pPr>
      <w:spacing w:after="120"/>
      <w:ind w:left="1440" w:right="1440"/>
    </w:pPr>
  </w:style>
  <w:style w:type="paragraph" w:styleId="Corpsdetexte">
    <w:name w:val="Body Text"/>
    <w:basedOn w:val="Normal"/>
    <w:link w:val="CorpsdetexteCar"/>
    <w:semiHidden/>
    <w:rsid w:val="00405336"/>
    <w:pPr>
      <w:spacing w:after="120"/>
    </w:pPr>
  </w:style>
  <w:style w:type="character" w:customStyle="1" w:styleId="CorpsdetexteCar">
    <w:name w:val="Corps de texte Car"/>
    <w:basedOn w:val="Policepardfaut"/>
    <w:link w:val="Corpsdetexte"/>
    <w:semiHidden/>
    <w:rsid w:val="00FF04E3"/>
    <w:rPr>
      <w:sz w:val="24"/>
    </w:rPr>
  </w:style>
  <w:style w:type="paragraph" w:styleId="Corpsdetexte2">
    <w:name w:val="Body Text 2"/>
    <w:basedOn w:val="Normal"/>
    <w:link w:val="Corpsdetexte2Car"/>
    <w:semiHidden/>
    <w:rsid w:val="00405336"/>
    <w:pPr>
      <w:spacing w:after="120" w:line="480" w:lineRule="auto"/>
    </w:pPr>
  </w:style>
  <w:style w:type="character" w:customStyle="1" w:styleId="Corpsdetexte2Car">
    <w:name w:val="Corps de texte 2 Car"/>
    <w:basedOn w:val="Policepardfaut"/>
    <w:link w:val="Corpsdetexte2"/>
    <w:semiHidden/>
    <w:rsid w:val="00FF04E3"/>
    <w:rPr>
      <w:sz w:val="24"/>
    </w:rPr>
  </w:style>
  <w:style w:type="paragraph" w:styleId="Corpsdetexte3">
    <w:name w:val="Body Text 3"/>
    <w:basedOn w:val="Normal"/>
    <w:link w:val="Corpsdetexte3Car"/>
    <w:semiHidden/>
    <w:rsid w:val="00405336"/>
    <w:pPr>
      <w:spacing w:after="120"/>
    </w:pPr>
    <w:rPr>
      <w:sz w:val="16"/>
      <w:szCs w:val="16"/>
    </w:rPr>
  </w:style>
  <w:style w:type="character" w:customStyle="1" w:styleId="Corpsdetexte3Car">
    <w:name w:val="Corps de texte 3 Car"/>
    <w:basedOn w:val="Policepardfaut"/>
    <w:link w:val="Corpsdetexte3"/>
    <w:semiHidden/>
    <w:rsid w:val="00FF04E3"/>
    <w:rPr>
      <w:sz w:val="16"/>
      <w:szCs w:val="16"/>
    </w:rPr>
  </w:style>
  <w:style w:type="paragraph" w:styleId="Retrait1religne">
    <w:name w:val="Body Text First Indent"/>
    <w:basedOn w:val="Corpsdetexte"/>
    <w:link w:val="Retrait1religneCar"/>
    <w:semiHidden/>
    <w:rsid w:val="00405336"/>
    <w:pPr>
      <w:ind w:firstLine="210"/>
    </w:pPr>
  </w:style>
  <w:style w:type="character" w:customStyle="1" w:styleId="Retrait1religneCar">
    <w:name w:val="Retrait 1re ligne Car"/>
    <w:basedOn w:val="CorpsdetexteCar"/>
    <w:link w:val="Retrait1religne"/>
    <w:semiHidden/>
    <w:rsid w:val="00FF04E3"/>
    <w:rPr>
      <w:sz w:val="24"/>
    </w:rPr>
  </w:style>
  <w:style w:type="paragraph" w:styleId="Retraitcorpsdetexte">
    <w:name w:val="Body Text Indent"/>
    <w:basedOn w:val="Normal"/>
    <w:link w:val="RetraitcorpsdetexteCar"/>
    <w:semiHidden/>
    <w:rsid w:val="00405336"/>
    <w:pPr>
      <w:spacing w:after="120"/>
      <w:ind w:left="360"/>
    </w:pPr>
  </w:style>
  <w:style w:type="character" w:customStyle="1" w:styleId="RetraitcorpsdetexteCar">
    <w:name w:val="Retrait corps de texte Car"/>
    <w:basedOn w:val="Policepardfaut"/>
    <w:link w:val="Retraitcorpsdetexte"/>
    <w:semiHidden/>
    <w:rsid w:val="00FF04E3"/>
    <w:rPr>
      <w:sz w:val="24"/>
    </w:rPr>
  </w:style>
  <w:style w:type="paragraph" w:styleId="Retraitcorpset1relig">
    <w:name w:val="Body Text First Indent 2"/>
    <w:basedOn w:val="Retraitcorpsdetexte"/>
    <w:link w:val="Retraitcorpset1religCar"/>
    <w:semiHidden/>
    <w:rsid w:val="00405336"/>
    <w:pPr>
      <w:ind w:firstLine="210"/>
    </w:pPr>
  </w:style>
  <w:style w:type="character" w:customStyle="1" w:styleId="Retraitcorpset1religCar">
    <w:name w:val="Retrait corps et 1re lig. Car"/>
    <w:basedOn w:val="RetraitcorpsdetexteCar"/>
    <w:link w:val="Retraitcorpset1relig"/>
    <w:semiHidden/>
    <w:rsid w:val="00FF04E3"/>
    <w:rPr>
      <w:sz w:val="24"/>
    </w:rPr>
  </w:style>
  <w:style w:type="paragraph" w:styleId="Retraitcorpsdetexte2">
    <w:name w:val="Body Text Indent 2"/>
    <w:basedOn w:val="Normal"/>
    <w:link w:val="Retraitcorpsdetexte2Car"/>
    <w:semiHidden/>
    <w:rsid w:val="00405336"/>
    <w:pPr>
      <w:spacing w:after="120" w:line="480" w:lineRule="auto"/>
      <w:ind w:left="360"/>
    </w:pPr>
  </w:style>
  <w:style w:type="character" w:customStyle="1" w:styleId="Retraitcorpsdetexte2Car">
    <w:name w:val="Retrait corps de texte 2 Car"/>
    <w:basedOn w:val="Policepardfaut"/>
    <w:link w:val="Retraitcorpsdetexte2"/>
    <w:semiHidden/>
    <w:rsid w:val="00FF04E3"/>
    <w:rPr>
      <w:sz w:val="24"/>
    </w:rPr>
  </w:style>
  <w:style w:type="paragraph" w:styleId="Retraitcorpsdetexte3">
    <w:name w:val="Body Text Indent 3"/>
    <w:basedOn w:val="Normal"/>
    <w:link w:val="Retraitcorpsdetexte3Car"/>
    <w:semiHidden/>
    <w:rsid w:val="00405336"/>
    <w:pPr>
      <w:spacing w:after="120"/>
      <w:ind w:left="360"/>
    </w:pPr>
    <w:rPr>
      <w:sz w:val="16"/>
      <w:szCs w:val="16"/>
    </w:rPr>
  </w:style>
  <w:style w:type="character" w:customStyle="1" w:styleId="Retraitcorpsdetexte3Car">
    <w:name w:val="Retrait corps de texte 3 Car"/>
    <w:basedOn w:val="Policepardfaut"/>
    <w:link w:val="Retraitcorpsdetexte3"/>
    <w:semiHidden/>
    <w:rsid w:val="00FF04E3"/>
    <w:rPr>
      <w:sz w:val="16"/>
      <w:szCs w:val="16"/>
    </w:rPr>
  </w:style>
  <w:style w:type="paragraph" w:styleId="Lgende">
    <w:name w:val="caption"/>
    <w:basedOn w:val="Normal"/>
    <w:next w:val="Normal"/>
    <w:semiHidden/>
    <w:qFormat/>
    <w:rsid w:val="00405336"/>
    <w:rPr>
      <w:b/>
      <w:bCs/>
      <w:sz w:val="20"/>
    </w:rPr>
  </w:style>
  <w:style w:type="paragraph" w:styleId="Formuledepolitesse">
    <w:name w:val="Closing"/>
    <w:basedOn w:val="Normal"/>
    <w:link w:val="FormuledepolitesseCar"/>
    <w:semiHidden/>
    <w:rsid w:val="00405336"/>
    <w:pPr>
      <w:ind w:left="4320"/>
    </w:pPr>
  </w:style>
  <w:style w:type="character" w:customStyle="1" w:styleId="FormuledepolitesseCar">
    <w:name w:val="Formule de politesse Car"/>
    <w:basedOn w:val="Policepardfaut"/>
    <w:link w:val="Formuledepolitesse"/>
    <w:semiHidden/>
    <w:rsid w:val="00FF04E3"/>
    <w:rPr>
      <w:sz w:val="24"/>
    </w:rPr>
  </w:style>
  <w:style w:type="paragraph" w:styleId="Commentaire">
    <w:name w:val="annotation text"/>
    <w:basedOn w:val="Normal"/>
    <w:link w:val="CommentaireCar"/>
    <w:semiHidden/>
    <w:rsid w:val="00405336"/>
    <w:rPr>
      <w:sz w:val="20"/>
    </w:rPr>
  </w:style>
  <w:style w:type="character" w:customStyle="1" w:styleId="CommentaireCar">
    <w:name w:val="Commentaire Car"/>
    <w:basedOn w:val="Policepardfaut"/>
    <w:link w:val="Commentaire"/>
    <w:semiHidden/>
    <w:rsid w:val="00FF04E3"/>
  </w:style>
  <w:style w:type="paragraph" w:styleId="Objetducommentaire">
    <w:name w:val="annotation subject"/>
    <w:basedOn w:val="Commentaire"/>
    <w:next w:val="Commentaire"/>
    <w:link w:val="ObjetducommentaireCar"/>
    <w:semiHidden/>
    <w:rsid w:val="00405336"/>
    <w:rPr>
      <w:b/>
      <w:bCs/>
    </w:rPr>
  </w:style>
  <w:style w:type="character" w:customStyle="1" w:styleId="ObjetducommentaireCar">
    <w:name w:val="Objet du commentaire Car"/>
    <w:basedOn w:val="CommentaireCar"/>
    <w:link w:val="Objetducommentaire"/>
    <w:semiHidden/>
    <w:rsid w:val="00FF04E3"/>
    <w:rPr>
      <w:b/>
      <w:bCs/>
    </w:rPr>
  </w:style>
  <w:style w:type="paragraph" w:styleId="Date">
    <w:name w:val="Date"/>
    <w:basedOn w:val="Normal"/>
    <w:next w:val="Normal"/>
    <w:link w:val="DateCar"/>
    <w:semiHidden/>
    <w:rsid w:val="00405336"/>
  </w:style>
  <w:style w:type="character" w:customStyle="1" w:styleId="DateCar">
    <w:name w:val="Date Car"/>
    <w:basedOn w:val="Policepardfaut"/>
    <w:link w:val="Date"/>
    <w:semiHidden/>
    <w:rsid w:val="00FF04E3"/>
    <w:rPr>
      <w:sz w:val="24"/>
    </w:rPr>
  </w:style>
  <w:style w:type="paragraph" w:styleId="Explorateurdedocuments">
    <w:name w:val="Document Map"/>
    <w:basedOn w:val="Normal"/>
    <w:link w:val="ExplorateurdedocumentsCar"/>
    <w:semiHidden/>
    <w:rsid w:val="00405336"/>
    <w:rPr>
      <w:rFonts w:ascii="Tahoma" w:hAnsi="Tahoma" w:cs="Tahoma"/>
      <w:sz w:val="16"/>
      <w:szCs w:val="16"/>
    </w:rPr>
  </w:style>
  <w:style w:type="character" w:customStyle="1" w:styleId="ExplorateurdedocumentsCar">
    <w:name w:val="Explorateur de documents Car"/>
    <w:basedOn w:val="Policepardfaut"/>
    <w:link w:val="Explorateurdedocuments"/>
    <w:semiHidden/>
    <w:rsid w:val="00FF04E3"/>
    <w:rPr>
      <w:rFonts w:ascii="Tahoma" w:hAnsi="Tahoma" w:cs="Tahoma"/>
      <w:sz w:val="16"/>
      <w:szCs w:val="16"/>
    </w:rPr>
  </w:style>
  <w:style w:type="paragraph" w:styleId="Signaturelectronique">
    <w:name w:val="E-mail Signature"/>
    <w:basedOn w:val="Normal"/>
    <w:link w:val="SignaturelectroniqueCar"/>
    <w:semiHidden/>
    <w:rsid w:val="00405336"/>
  </w:style>
  <w:style w:type="character" w:customStyle="1" w:styleId="SignaturelectroniqueCar">
    <w:name w:val="Signature électronique Car"/>
    <w:basedOn w:val="Policepardfaut"/>
    <w:link w:val="Signaturelectronique"/>
    <w:semiHidden/>
    <w:rsid w:val="00FF04E3"/>
    <w:rPr>
      <w:sz w:val="24"/>
    </w:rPr>
  </w:style>
  <w:style w:type="paragraph" w:styleId="Notedefin">
    <w:name w:val="endnote text"/>
    <w:basedOn w:val="Normal"/>
    <w:link w:val="NotedefinCar"/>
    <w:semiHidden/>
    <w:rsid w:val="00405336"/>
    <w:rPr>
      <w:sz w:val="20"/>
    </w:rPr>
  </w:style>
  <w:style w:type="character" w:customStyle="1" w:styleId="NotedefinCar">
    <w:name w:val="Note de fin Car"/>
    <w:basedOn w:val="Policepardfaut"/>
    <w:link w:val="Notedefin"/>
    <w:semiHidden/>
    <w:rsid w:val="00FF04E3"/>
  </w:style>
  <w:style w:type="paragraph" w:styleId="Adressedestinatai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Adresseexpditeur">
    <w:name w:val="envelope return"/>
    <w:basedOn w:val="Normal"/>
    <w:semiHidden/>
    <w:rsid w:val="00405336"/>
    <w:rPr>
      <w:rFonts w:ascii="Cambria" w:hAnsi="Cambria"/>
      <w:sz w:val="20"/>
    </w:rPr>
  </w:style>
  <w:style w:type="paragraph" w:styleId="Pieddepage">
    <w:name w:val="footer"/>
    <w:basedOn w:val="Normal"/>
    <w:link w:val="PieddepageCar"/>
    <w:semiHidden/>
    <w:rsid w:val="00405336"/>
    <w:pPr>
      <w:tabs>
        <w:tab w:val="center" w:pos="4680"/>
        <w:tab w:val="right" w:pos="9360"/>
      </w:tabs>
    </w:pPr>
  </w:style>
  <w:style w:type="character" w:customStyle="1" w:styleId="PieddepageCar">
    <w:name w:val="Pied de page Car"/>
    <w:basedOn w:val="Policepardfaut"/>
    <w:link w:val="Pieddepage"/>
    <w:semiHidden/>
    <w:rsid w:val="00FF04E3"/>
    <w:rPr>
      <w:sz w:val="24"/>
    </w:rPr>
  </w:style>
  <w:style w:type="paragraph" w:styleId="Notedebasdepage">
    <w:name w:val="footnote text"/>
    <w:basedOn w:val="Normal"/>
    <w:link w:val="NotedebasdepageCar"/>
    <w:semiHidden/>
    <w:rsid w:val="00405336"/>
    <w:rPr>
      <w:sz w:val="20"/>
    </w:rPr>
  </w:style>
  <w:style w:type="character" w:customStyle="1" w:styleId="NotedebasdepageCar">
    <w:name w:val="Note de bas de page Car"/>
    <w:basedOn w:val="Policepardfaut"/>
    <w:link w:val="Notedebasdepage"/>
    <w:semiHidden/>
    <w:rsid w:val="00FF04E3"/>
  </w:style>
  <w:style w:type="paragraph" w:styleId="En-tte">
    <w:name w:val="header"/>
    <w:basedOn w:val="Normal"/>
    <w:link w:val="En-tteCar"/>
    <w:semiHidden/>
    <w:rsid w:val="00405336"/>
    <w:pPr>
      <w:tabs>
        <w:tab w:val="center" w:pos="4680"/>
        <w:tab w:val="right" w:pos="9360"/>
      </w:tabs>
    </w:pPr>
  </w:style>
  <w:style w:type="character" w:customStyle="1" w:styleId="En-tteCar">
    <w:name w:val="En-tête Car"/>
    <w:basedOn w:val="Policepardfaut"/>
    <w:link w:val="En-tte"/>
    <w:semiHidden/>
    <w:rsid w:val="00FF04E3"/>
    <w:rPr>
      <w:sz w:val="24"/>
    </w:rPr>
  </w:style>
  <w:style w:type="paragraph" w:styleId="AdresseHTML">
    <w:name w:val="HTML Address"/>
    <w:basedOn w:val="Normal"/>
    <w:link w:val="AdresseHTMLCar"/>
    <w:semiHidden/>
    <w:rsid w:val="00405336"/>
    <w:rPr>
      <w:i/>
      <w:iCs/>
    </w:rPr>
  </w:style>
  <w:style w:type="character" w:customStyle="1" w:styleId="AdresseHTMLCar">
    <w:name w:val="Adresse HTML Car"/>
    <w:basedOn w:val="Policepardfaut"/>
    <w:link w:val="AdresseHTML"/>
    <w:semiHidden/>
    <w:rsid w:val="00FF04E3"/>
    <w:rPr>
      <w:i/>
      <w:iCs/>
      <w:sz w:val="24"/>
    </w:rPr>
  </w:style>
  <w:style w:type="paragraph" w:styleId="PrformatHTML">
    <w:name w:val="HTML Preformatted"/>
    <w:basedOn w:val="Normal"/>
    <w:link w:val="PrformatHTMLCar"/>
    <w:semiHidden/>
    <w:rsid w:val="00405336"/>
    <w:rPr>
      <w:rFonts w:ascii="Courier New" w:hAnsi="Courier New" w:cs="Courier New"/>
      <w:sz w:val="20"/>
    </w:rPr>
  </w:style>
  <w:style w:type="character" w:customStyle="1" w:styleId="PrformatHTMLCar">
    <w:name w:val="Préformaté HTML Car"/>
    <w:basedOn w:val="Policepardfaut"/>
    <w:link w:val="PrformatHTML"/>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Titreindex">
    <w:name w:val="index heading"/>
    <w:basedOn w:val="Normal"/>
    <w:next w:val="Index1"/>
    <w:semiHidden/>
    <w:rsid w:val="00405336"/>
    <w:rPr>
      <w:rFonts w:ascii="Cambria" w:hAnsi="Cambria"/>
      <w:b/>
      <w:bCs/>
    </w:rPr>
  </w:style>
  <w:style w:type="paragraph" w:styleId="Citationintense">
    <w:name w:val="Intense Quote"/>
    <w:basedOn w:val="Normal"/>
    <w:next w:val="Normal"/>
    <w:link w:val="Citationintense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tionintenseCar">
    <w:name w:val="Citation intense Car"/>
    <w:basedOn w:val="Policepardfaut"/>
    <w:link w:val="Citationintense"/>
    <w:uiPriority w:val="30"/>
    <w:semiHidden/>
    <w:rsid w:val="00FF04E3"/>
    <w:rPr>
      <w:b/>
      <w:bCs/>
      <w:i/>
      <w:iCs/>
      <w:color w:val="4F81BD"/>
      <w:sz w:val="24"/>
    </w:rPr>
  </w:style>
  <w:style w:type="paragraph" w:styleId="Liste">
    <w:name w:val="List"/>
    <w:basedOn w:val="Normal"/>
    <w:semiHidden/>
    <w:rsid w:val="00405336"/>
    <w:pPr>
      <w:ind w:left="360" w:hanging="360"/>
      <w:contextualSpacing/>
    </w:pPr>
  </w:style>
  <w:style w:type="paragraph" w:styleId="Liste2">
    <w:name w:val="List 2"/>
    <w:basedOn w:val="Normal"/>
    <w:semiHidden/>
    <w:rsid w:val="00405336"/>
    <w:pPr>
      <w:ind w:left="720" w:hanging="360"/>
      <w:contextualSpacing/>
    </w:pPr>
  </w:style>
  <w:style w:type="paragraph" w:styleId="Liste3">
    <w:name w:val="List 3"/>
    <w:basedOn w:val="Normal"/>
    <w:semiHidden/>
    <w:rsid w:val="00405336"/>
    <w:pPr>
      <w:ind w:left="1080" w:hanging="360"/>
      <w:contextualSpacing/>
    </w:pPr>
  </w:style>
  <w:style w:type="paragraph" w:styleId="Liste4">
    <w:name w:val="List 4"/>
    <w:basedOn w:val="Normal"/>
    <w:semiHidden/>
    <w:rsid w:val="00405336"/>
    <w:pPr>
      <w:ind w:left="1440" w:hanging="360"/>
      <w:contextualSpacing/>
    </w:pPr>
  </w:style>
  <w:style w:type="paragraph" w:styleId="Liste5">
    <w:name w:val="List 5"/>
    <w:basedOn w:val="Normal"/>
    <w:semiHidden/>
    <w:rsid w:val="00405336"/>
    <w:pPr>
      <w:ind w:left="1800" w:hanging="360"/>
      <w:contextualSpacing/>
    </w:pPr>
  </w:style>
  <w:style w:type="paragraph" w:styleId="Listepuces">
    <w:name w:val="List Bullet"/>
    <w:basedOn w:val="Normal"/>
    <w:semiHidden/>
    <w:rsid w:val="00405336"/>
    <w:pPr>
      <w:numPr>
        <w:numId w:val="1"/>
      </w:numPr>
      <w:contextualSpacing/>
    </w:pPr>
  </w:style>
  <w:style w:type="paragraph" w:styleId="Listepuces2">
    <w:name w:val="List Bullet 2"/>
    <w:basedOn w:val="Normal"/>
    <w:semiHidden/>
    <w:rsid w:val="00405336"/>
    <w:pPr>
      <w:numPr>
        <w:numId w:val="2"/>
      </w:numPr>
      <w:contextualSpacing/>
    </w:pPr>
  </w:style>
  <w:style w:type="paragraph" w:styleId="Listepuces3">
    <w:name w:val="List Bullet 3"/>
    <w:basedOn w:val="Normal"/>
    <w:semiHidden/>
    <w:rsid w:val="00405336"/>
    <w:pPr>
      <w:numPr>
        <w:numId w:val="3"/>
      </w:numPr>
      <w:contextualSpacing/>
    </w:pPr>
  </w:style>
  <w:style w:type="paragraph" w:styleId="Listepuces4">
    <w:name w:val="List Bullet 4"/>
    <w:basedOn w:val="Normal"/>
    <w:semiHidden/>
    <w:rsid w:val="00405336"/>
    <w:pPr>
      <w:numPr>
        <w:numId w:val="4"/>
      </w:numPr>
      <w:contextualSpacing/>
    </w:pPr>
  </w:style>
  <w:style w:type="paragraph" w:styleId="Listepuces5">
    <w:name w:val="List Bullet 5"/>
    <w:basedOn w:val="Normal"/>
    <w:semiHidden/>
    <w:rsid w:val="00405336"/>
    <w:pPr>
      <w:numPr>
        <w:numId w:val="5"/>
      </w:numPr>
      <w:contextualSpacing/>
    </w:pPr>
  </w:style>
  <w:style w:type="paragraph" w:styleId="Listecontinue">
    <w:name w:val="List Continue"/>
    <w:basedOn w:val="Normal"/>
    <w:semiHidden/>
    <w:rsid w:val="00405336"/>
    <w:pPr>
      <w:spacing w:after="120"/>
      <w:ind w:left="360"/>
      <w:contextualSpacing/>
    </w:pPr>
  </w:style>
  <w:style w:type="paragraph" w:styleId="Listecontinue2">
    <w:name w:val="List Continue 2"/>
    <w:basedOn w:val="Normal"/>
    <w:semiHidden/>
    <w:rsid w:val="00405336"/>
    <w:pPr>
      <w:spacing w:after="120"/>
      <w:ind w:left="720"/>
      <w:contextualSpacing/>
    </w:pPr>
  </w:style>
  <w:style w:type="paragraph" w:styleId="Listecontinue3">
    <w:name w:val="List Continue 3"/>
    <w:basedOn w:val="Normal"/>
    <w:semiHidden/>
    <w:rsid w:val="00405336"/>
    <w:pPr>
      <w:spacing w:after="120"/>
      <w:ind w:left="1080"/>
      <w:contextualSpacing/>
    </w:pPr>
  </w:style>
  <w:style w:type="paragraph" w:styleId="Listecontinue4">
    <w:name w:val="List Continue 4"/>
    <w:basedOn w:val="Normal"/>
    <w:semiHidden/>
    <w:rsid w:val="00405336"/>
    <w:pPr>
      <w:spacing w:after="120"/>
      <w:ind w:left="1440"/>
      <w:contextualSpacing/>
    </w:pPr>
  </w:style>
  <w:style w:type="paragraph" w:styleId="Listecontinue5">
    <w:name w:val="List Continue 5"/>
    <w:basedOn w:val="Normal"/>
    <w:semiHidden/>
    <w:rsid w:val="00405336"/>
    <w:pPr>
      <w:spacing w:after="120"/>
      <w:ind w:left="1800"/>
      <w:contextualSpacing/>
    </w:pPr>
  </w:style>
  <w:style w:type="paragraph" w:styleId="Listenumros">
    <w:name w:val="List Number"/>
    <w:basedOn w:val="Normal"/>
    <w:semiHidden/>
    <w:rsid w:val="00405336"/>
    <w:pPr>
      <w:numPr>
        <w:numId w:val="6"/>
      </w:numPr>
      <w:contextualSpacing/>
    </w:pPr>
  </w:style>
  <w:style w:type="paragraph" w:styleId="Listenumros2">
    <w:name w:val="List Number 2"/>
    <w:basedOn w:val="Normal"/>
    <w:semiHidden/>
    <w:rsid w:val="00405336"/>
    <w:pPr>
      <w:numPr>
        <w:numId w:val="7"/>
      </w:numPr>
      <w:contextualSpacing/>
    </w:pPr>
  </w:style>
  <w:style w:type="paragraph" w:styleId="Listenumros3">
    <w:name w:val="List Number 3"/>
    <w:basedOn w:val="Normal"/>
    <w:semiHidden/>
    <w:rsid w:val="00405336"/>
    <w:pPr>
      <w:numPr>
        <w:numId w:val="8"/>
      </w:numPr>
      <w:contextualSpacing/>
    </w:pPr>
  </w:style>
  <w:style w:type="paragraph" w:styleId="Listenumros4">
    <w:name w:val="List Number 4"/>
    <w:basedOn w:val="Normal"/>
    <w:semiHidden/>
    <w:rsid w:val="00405336"/>
    <w:pPr>
      <w:numPr>
        <w:numId w:val="9"/>
      </w:numPr>
      <w:contextualSpacing/>
    </w:pPr>
  </w:style>
  <w:style w:type="paragraph" w:styleId="Listenumros5">
    <w:name w:val="List Number 5"/>
    <w:basedOn w:val="Normal"/>
    <w:semiHidden/>
    <w:rsid w:val="00405336"/>
    <w:pPr>
      <w:numPr>
        <w:numId w:val="10"/>
      </w:numPr>
      <w:contextualSpacing/>
    </w:pPr>
  </w:style>
  <w:style w:type="paragraph" w:styleId="Paragraphedeliste">
    <w:name w:val="List Paragraph"/>
    <w:basedOn w:val="Normal"/>
    <w:uiPriority w:val="34"/>
    <w:semiHidden/>
    <w:qFormat/>
    <w:rsid w:val="00405336"/>
    <w:pPr>
      <w:ind w:left="720"/>
    </w:pPr>
  </w:style>
  <w:style w:type="paragraph" w:styleId="Textedemacro">
    <w:name w:val="macro"/>
    <w:link w:val="Textede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basedOn w:val="Policepardfaut"/>
    <w:link w:val="Textedemacro"/>
    <w:semiHidden/>
    <w:rsid w:val="00FF04E3"/>
    <w:rPr>
      <w:rFonts w:ascii="Courier New" w:hAnsi="Courier New" w:cs="Courier New"/>
      <w:lang w:val="en-US" w:eastAsia="en-US" w:bidi="ar-SA"/>
    </w:rPr>
  </w:style>
  <w:style w:type="paragraph" w:styleId="En-ttedemessage">
    <w:name w:val="Message Header"/>
    <w:basedOn w:val="Normal"/>
    <w:link w:val="En-ttedemessag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ttedemessageCar">
    <w:name w:val="En-tête de message Car"/>
    <w:basedOn w:val="Policepardfaut"/>
    <w:link w:val="En-ttedemessage"/>
    <w:semiHidden/>
    <w:rsid w:val="00FF04E3"/>
    <w:rPr>
      <w:rFonts w:ascii="Cambria" w:hAnsi="Cambria"/>
      <w:sz w:val="24"/>
      <w:szCs w:val="24"/>
      <w:shd w:val="pct20" w:color="auto" w:fill="auto"/>
    </w:rPr>
  </w:style>
  <w:style w:type="paragraph" w:styleId="Sansinterligne">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Retraitnormal">
    <w:name w:val="Normal Indent"/>
    <w:basedOn w:val="Normal"/>
    <w:semiHidden/>
    <w:rsid w:val="00405336"/>
    <w:pPr>
      <w:ind w:left="720"/>
    </w:pPr>
  </w:style>
  <w:style w:type="paragraph" w:styleId="Titredenote">
    <w:name w:val="Note Heading"/>
    <w:basedOn w:val="Normal"/>
    <w:next w:val="Normal"/>
    <w:link w:val="TitredenoteCar"/>
    <w:semiHidden/>
    <w:rsid w:val="00405336"/>
  </w:style>
  <w:style w:type="character" w:customStyle="1" w:styleId="TitredenoteCar">
    <w:name w:val="Titre de note Car"/>
    <w:basedOn w:val="Policepardfaut"/>
    <w:link w:val="Titredenote"/>
    <w:semiHidden/>
    <w:rsid w:val="00FF04E3"/>
    <w:rPr>
      <w:sz w:val="24"/>
    </w:rPr>
  </w:style>
  <w:style w:type="paragraph" w:styleId="Textebrut">
    <w:name w:val="Plain Text"/>
    <w:basedOn w:val="Normal"/>
    <w:link w:val="TextebrutCar"/>
    <w:semiHidden/>
    <w:rsid w:val="00405336"/>
    <w:rPr>
      <w:rFonts w:ascii="Courier New" w:hAnsi="Courier New" w:cs="Courier New"/>
      <w:sz w:val="20"/>
    </w:rPr>
  </w:style>
  <w:style w:type="character" w:customStyle="1" w:styleId="TextebrutCar">
    <w:name w:val="Texte brut Car"/>
    <w:basedOn w:val="Policepardfaut"/>
    <w:link w:val="Textebrut"/>
    <w:semiHidden/>
    <w:rsid w:val="00FF04E3"/>
    <w:rPr>
      <w:rFonts w:ascii="Courier New" w:hAnsi="Courier New" w:cs="Courier New"/>
    </w:rPr>
  </w:style>
  <w:style w:type="paragraph" w:styleId="Citation">
    <w:name w:val="Quote"/>
    <w:basedOn w:val="Normal"/>
    <w:next w:val="Normal"/>
    <w:link w:val="CitationCar"/>
    <w:uiPriority w:val="29"/>
    <w:semiHidden/>
    <w:qFormat/>
    <w:rsid w:val="00405336"/>
    <w:rPr>
      <w:i/>
      <w:iCs/>
      <w:color w:val="000000"/>
    </w:rPr>
  </w:style>
  <w:style w:type="character" w:customStyle="1" w:styleId="CitationCar">
    <w:name w:val="Citation Car"/>
    <w:basedOn w:val="Policepardfaut"/>
    <w:link w:val="Citation"/>
    <w:uiPriority w:val="29"/>
    <w:semiHidden/>
    <w:rsid w:val="00FF04E3"/>
    <w:rPr>
      <w:i/>
      <w:iCs/>
      <w:color w:val="000000"/>
      <w:sz w:val="24"/>
    </w:rPr>
  </w:style>
  <w:style w:type="paragraph" w:styleId="Salutations">
    <w:name w:val="Salutation"/>
    <w:basedOn w:val="Normal"/>
    <w:next w:val="Normal"/>
    <w:link w:val="SalutationsCar"/>
    <w:semiHidden/>
    <w:rsid w:val="00405336"/>
  </w:style>
  <w:style w:type="character" w:customStyle="1" w:styleId="SalutationsCar">
    <w:name w:val="Salutations Car"/>
    <w:basedOn w:val="Policepardfaut"/>
    <w:link w:val="Salutations"/>
    <w:semiHidden/>
    <w:rsid w:val="00FF04E3"/>
    <w:rPr>
      <w:sz w:val="24"/>
    </w:rPr>
  </w:style>
  <w:style w:type="paragraph" w:styleId="Signature">
    <w:name w:val="Signature"/>
    <w:basedOn w:val="Normal"/>
    <w:link w:val="SignatureCar"/>
    <w:semiHidden/>
    <w:rsid w:val="00405336"/>
    <w:pPr>
      <w:ind w:left="4320"/>
    </w:pPr>
  </w:style>
  <w:style w:type="character" w:customStyle="1" w:styleId="SignatureCar">
    <w:name w:val="Signature Car"/>
    <w:basedOn w:val="Policepardfaut"/>
    <w:link w:val="Signature"/>
    <w:semiHidden/>
    <w:rsid w:val="00FF04E3"/>
    <w:rPr>
      <w:sz w:val="24"/>
    </w:rPr>
  </w:style>
  <w:style w:type="paragraph" w:styleId="Sous-titre">
    <w:name w:val="Subtitle"/>
    <w:basedOn w:val="Normal"/>
    <w:next w:val="Normal"/>
    <w:link w:val="Sous-titreCar"/>
    <w:semiHidden/>
    <w:qFormat/>
    <w:rsid w:val="00405336"/>
    <w:pPr>
      <w:spacing w:after="60"/>
      <w:jc w:val="center"/>
      <w:outlineLvl w:val="1"/>
    </w:pPr>
    <w:rPr>
      <w:rFonts w:ascii="Cambria" w:hAnsi="Cambria"/>
      <w:szCs w:val="24"/>
    </w:rPr>
  </w:style>
  <w:style w:type="character" w:customStyle="1" w:styleId="Sous-titreCar">
    <w:name w:val="Sous-titre Car"/>
    <w:basedOn w:val="Policepardfaut"/>
    <w:link w:val="Sous-titre"/>
    <w:semiHidden/>
    <w:rsid w:val="00FF04E3"/>
    <w:rPr>
      <w:rFonts w:ascii="Cambria" w:hAnsi="Cambria"/>
      <w:sz w:val="24"/>
      <w:szCs w:val="24"/>
    </w:rPr>
  </w:style>
  <w:style w:type="paragraph" w:styleId="Tabledesrfrencesjuridiques">
    <w:name w:val="table of authorities"/>
    <w:basedOn w:val="Normal"/>
    <w:next w:val="Normal"/>
    <w:semiHidden/>
    <w:rsid w:val="00405336"/>
    <w:pPr>
      <w:ind w:left="240" w:hanging="240"/>
    </w:pPr>
  </w:style>
  <w:style w:type="paragraph" w:styleId="Tabledesillustrations">
    <w:name w:val="table of figures"/>
    <w:basedOn w:val="Normal"/>
    <w:next w:val="Normal"/>
    <w:semiHidden/>
    <w:rsid w:val="00405336"/>
  </w:style>
  <w:style w:type="paragraph" w:styleId="Titre">
    <w:name w:val="Title"/>
    <w:basedOn w:val="Normal"/>
    <w:next w:val="Normal"/>
    <w:link w:val="TitreCar"/>
    <w:semiHidden/>
    <w:qFormat/>
    <w:rsid w:val="0040533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semiHidden/>
    <w:rsid w:val="00FF04E3"/>
    <w:rPr>
      <w:rFonts w:ascii="Cambria" w:hAnsi="Cambria"/>
      <w:b/>
      <w:bCs/>
      <w:kern w:val="28"/>
      <w:sz w:val="32"/>
      <w:szCs w:val="32"/>
    </w:rPr>
  </w:style>
  <w:style w:type="paragraph" w:styleId="TitreTR">
    <w:name w:val="toa heading"/>
    <w:basedOn w:val="Normal"/>
    <w:next w:val="Normal"/>
    <w:semiHidden/>
    <w:rsid w:val="00405336"/>
    <w:pPr>
      <w:spacing w:before="120"/>
    </w:pPr>
    <w:rPr>
      <w:rFonts w:ascii="Cambria" w:hAnsi="Cambria"/>
      <w:b/>
      <w:bCs/>
      <w:szCs w:val="24"/>
    </w:rPr>
  </w:style>
  <w:style w:type="paragraph" w:styleId="TM1">
    <w:name w:val="toc 1"/>
    <w:basedOn w:val="Normal"/>
    <w:next w:val="Normal"/>
    <w:autoRedefine/>
    <w:semiHidden/>
    <w:rsid w:val="00405336"/>
  </w:style>
  <w:style w:type="paragraph" w:styleId="TM2">
    <w:name w:val="toc 2"/>
    <w:basedOn w:val="Normal"/>
    <w:next w:val="Normal"/>
    <w:autoRedefine/>
    <w:semiHidden/>
    <w:rsid w:val="00405336"/>
    <w:pPr>
      <w:ind w:left="240"/>
    </w:pPr>
  </w:style>
  <w:style w:type="paragraph" w:styleId="TM3">
    <w:name w:val="toc 3"/>
    <w:basedOn w:val="Normal"/>
    <w:next w:val="Normal"/>
    <w:autoRedefine/>
    <w:semiHidden/>
    <w:rsid w:val="00405336"/>
    <w:pPr>
      <w:ind w:left="480"/>
    </w:pPr>
  </w:style>
  <w:style w:type="paragraph" w:styleId="TM4">
    <w:name w:val="toc 4"/>
    <w:basedOn w:val="Normal"/>
    <w:next w:val="Normal"/>
    <w:autoRedefine/>
    <w:semiHidden/>
    <w:rsid w:val="00405336"/>
    <w:pPr>
      <w:ind w:left="720"/>
    </w:pPr>
  </w:style>
  <w:style w:type="paragraph" w:styleId="TM5">
    <w:name w:val="toc 5"/>
    <w:basedOn w:val="Normal"/>
    <w:next w:val="Normal"/>
    <w:autoRedefine/>
    <w:semiHidden/>
    <w:rsid w:val="00405336"/>
    <w:pPr>
      <w:ind w:left="960"/>
    </w:pPr>
  </w:style>
  <w:style w:type="paragraph" w:styleId="TM6">
    <w:name w:val="toc 6"/>
    <w:basedOn w:val="Normal"/>
    <w:next w:val="Normal"/>
    <w:autoRedefine/>
    <w:semiHidden/>
    <w:rsid w:val="00405336"/>
    <w:pPr>
      <w:ind w:left="1200"/>
    </w:pPr>
  </w:style>
  <w:style w:type="paragraph" w:styleId="TM7">
    <w:name w:val="toc 7"/>
    <w:basedOn w:val="Normal"/>
    <w:next w:val="Normal"/>
    <w:autoRedefine/>
    <w:semiHidden/>
    <w:rsid w:val="00405336"/>
    <w:pPr>
      <w:ind w:left="1440"/>
    </w:pPr>
  </w:style>
  <w:style w:type="paragraph" w:styleId="TM8">
    <w:name w:val="toc 8"/>
    <w:basedOn w:val="Normal"/>
    <w:next w:val="Normal"/>
    <w:autoRedefine/>
    <w:semiHidden/>
    <w:rsid w:val="00405336"/>
    <w:pPr>
      <w:ind w:left="1680"/>
    </w:pPr>
  </w:style>
  <w:style w:type="paragraph" w:styleId="TM9">
    <w:name w:val="toc 9"/>
    <w:basedOn w:val="Normal"/>
    <w:next w:val="Normal"/>
    <w:autoRedefine/>
    <w:semiHidden/>
    <w:rsid w:val="00405336"/>
    <w:pPr>
      <w:ind w:left="1920"/>
    </w:pPr>
  </w:style>
  <w:style w:type="paragraph" w:styleId="En-ttedetabledesmatires">
    <w:name w:val="TOC Heading"/>
    <w:basedOn w:val="Titre1"/>
    <w:next w:val="Normal"/>
    <w:uiPriority w:val="39"/>
    <w:semiHidden/>
    <w:unhideWhenUsed/>
    <w:qFormat/>
    <w:rsid w:val="00405336"/>
    <w:pPr>
      <w:outlineLvl w:val="9"/>
    </w:pPr>
    <w:rPr>
      <w:rFonts w:ascii="Cambria" w:hAnsi="Cambria"/>
      <w:sz w:val="32"/>
      <w:szCs w:val="32"/>
    </w:rPr>
  </w:style>
  <w:style w:type="character" w:styleId="Lienhypertexte">
    <w:name w:val="Hyperlink"/>
    <w:basedOn w:val="Policepardfaut"/>
    <w:semiHidden/>
    <w:rsid w:val="007402FC"/>
    <w:rPr>
      <w:color w:val="0000FF"/>
      <w:u w:val="single"/>
    </w:rPr>
  </w:style>
  <w:style w:type="character" w:styleId="Accentuation">
    <w:name w:val="Emphasis"/>
    <w:basedOn w:val="Policepardfaut"/>
    <w:uiPriority w:val="20"/>
    <w:qFormat/>
    <w:rsid w:val="00B42F9C"/>
    <w:rPr>
      <w:i/>
      <w:iCs/>
    </w:rPr>
  </w:style>
  <w:style w:type="character" w:styleId="Marquedecommentaire">
    <w:name w:val="annotation reference"/>
    <w:basedOn w:val="Policepardfaut"/>
    <w:semiHidden/>
    <w:rsid w:val="009258B8"/>
    <w:rPr>
      <w:sz w:val="16"/>
      <w:szCs w:val="16"/>
    </w:rPr>
  </w:style>
  <w:style w:type="character" w:styleId="Lienhypertextesuivivisit">
    <w:name w:val="FollowedHyperlink"/>
    <w:basedOn w:val="Policepardfaut"/>
    <w:semiHidden/>
    <w:unhideWhenUsed/>
    <w:rsid w:val="00611A19"/>
    <w:rPr>
      <w:color w:val="800080" w:themeColor="followedHyperlink"/>
      <w:u w:val="single"/>
    </w:rPr>
  </w:style>
  <w:style w:type="table" w:styleId="Grilledutableau">
    <w:name w:val="Table Grid"/>
    <w:basedOn w:val="TableauNormal"/>
    <w:uiPriority w:val="39"/>
    <w:rsid w:val="00D72226"/>
    <w:rPr>
      <w:rFonts w:ascii="Calibri" w:eastAsia="Calibri" w:hAnsi="Calibri" w:cs="Calibr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001435">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04832747">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03150-32F4-419E-8AD1-7EEFD9457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3670</Words>
  <Characters>59698</Characters>
  <Application>Microsoft Office Word</Application>
  <DocSecurity>0</DocSecurity>
  <Lines>497</Lines>
  <Paragraphs>126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63242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Gaetan Seimandi</cp:lastModifiedBy>
  <cp:revision>2</cp:revision>
  <cp:lastPrinted>2018-02-26T17:19:00Z</cp:lastPrinted>
  <dcterms:created xsi:type="dcterms:W3CDTF">2025-10-20T12:30:00Z</dcterms:created>
  <dcterms:modified xsi:type="dcterms:W3CDTF">2025-10-20T12:30:00Z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id="2WX3vwKj"/&gt;&lt;style id="http://www.zotero.org/styles/agronomy-for-sustainable-development" hasBibliography="1" bibliographyStyleHasBeenSet="1"/&gt;&lt;prefs&gt;&lt;pref name="fieldType" value="Field"/&gt;&lt;/prefs&gt;</vt:lpwstr>
  </property>
  <property fmtid="{D5CDD505-2E9C-101B-9397-08002B2CF9AE}" pid="3" name="ZOTERO_PREF_2">
    <vt:lpwstr>&lt;/data&gt;</vt:lpwstr>
  </property>
</Properties>
</file>