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8A" w:rsidRDefault="00745A8A">
      <w:bookmarkStart w:id="0" w:name="_GoBack"/>
      <w:bookmarkEnd w:id="0"/>
    </w:p>
    <w:p w:rsidR="00AC73B0" w:rsidRDefault="00AC73B0" w:rsidP="00AC73B0">
      <w:pPr>
        <w:jc w:val="center"/>
        <w:rPr>
          <w:sz w:val="40"/>
          <w:szCs w:val="40"/>
        </w:rPr>
      </w:pPr>
      <w:r>
        <w:rPr>
          <w:sz w:val="40"/>
          <w:szCs w:val="40"/>
        </w:rPr>
        <w:t>Supplementary material</w:t>
      </w:r>
    </w:p>
    <w:p w:rsidR="00AC73B0" w:rsidRDefault="00AC73B0" w:rsidP="00AC73B0">
      <w:pPr>
        <w:jc w:val="center"/>
        <w:rPr>
          <w:sz w:val="40"/>
          <w:szCs w:val="40"/>
        </w:rPr>
      </w:pPr>
    </w:p>
    <w:p w:rsidR="00AC73B0" w:rsidRDefault="00AC73B0" w:rsidP="00AC73B0">
      <w:pPr>
        <w:jc w:val="center"/>
        <w:rPr>
          <w:sz w:val="40"/>
          <w:szCs w:val="40"/>
        </w:rPr>
      </w:pPr>
    </w:p>
    <w:p w:rsidR="00AC73B0" w:rsidRDefault="00AC73B0" w:rsidP="00AC73B0">
      <w:r>
        <w:t>Supplementary S1: Conversion of LFMC from a dry weight to a fresh weight basis</w:t>
      </w:r>
    </w:p>
    <w:p w:rsidR="00AC73B0" w:rsidRDefault="00AC73B0" w:rsidP="00AC73B0">
      <w:pPr>
        <w:rPr>
          <w:b/>
          <w:u w:val="single"/>
        </w:rPr>
      </w:pPr>
    </w:p>
    <w:p w:rsidR="00AC73B0" w:rsidRPr="00CE71C6" w:rsidRDefault="00AC73B0" w:rsidP="00AC73B0">
      <w:pPr>
        <w:rPr>
          <w:b/>
        </w:rPr>
      </w:pPr>
      <w:r w:rsidRPr="00CE71C6">
        <w:t>Let</w:t>
      </w:r>
      <w:r w:rsidRPr="00CE71C6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W</m:t>
            </m:r>
          </m:e>
          <m:sub>
            <m:r>
              <w:rPr>
                <w:rFonts w:ascii="Cambria Math"/>
              </w:rPr>
              <m:t>d</m:t>
            </m:r>
          </m:sub>
        </m:sSub>
      </m:oMath>
      <w:r w:rsidRPr="00F27FC8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W</m:t>
            </m:r>
          </m:e>
          <m:sub>
            <m:r>
              <w:rPr>
                <w:rFonts w:ascii="Cambria Math"/>
              </w:rPr>
              <m:t>f</m:t>
            </m:r>
          </m:sub>
        </m:sSub>
      </m:oMath>
      <w:r w:rsidRPr="00F27FC8" w:rsidDel="00F27FC8">
        <w:rPr>
          <w:i/>
        </w:rPr>
        <w:t xml:space="preserve"> </w:t>
      </w:r>
      <w:r w:rsidRPr="00F27FC8">
        <w:t xml:space="preserve">be </w:t>
      </w:r>
      <w:r>
        <w:t xml:space="preserve">respectively </w:t>
      </w:r>
      <w:r w:rsidRPr="00F27FC8">
        <w:t>the dry and fresh weight of</w:t>
      </w:r>
      <w:r w:rsidRPr="00F27FC8">
        <w:rPr>
          <w:i/>
        </w:rPr>
        <w:t xml:space="preserve"> </w:t>
      </w:r>
      <w:r w:rsidRPr="00F27FC8">
        <w:t>the fuel.</w:t>
      </w:r>
    </w:p>
    <w:p w:rsidR="00AC73B0" w:rsidRDefault="00AC73B0" w:rsidP="00AC73B0"/>
    <w:p w:rsidR="00AC73B0" w:rsidRDefault="00AC73B0" w:rsidP="00AC73B0">
      <w:r w:rsidRPr="00196D93">
        <w:t xml:space="preserve">LFMC </w:t>
      </w:r>
      <w:r>
        <w:t>is generally</w:t>
      </w:r>
      <w:r w:rsidRPr="00196D93">
        <w:t xml:space="preserve"> expressed </w:t>
      </w:r>
      <w:r>
        <w:t xml:space="preserve">on a dry basis </w:t>
      </w:r>
      <w:r w:rsidRPr="00196D93">
        <w:t>as: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583"/>
        <w:gridCol w:w="915"/>
      </w:tblGrid>
      <w:tr w:rsidR="00AC73B0" w:rsidRPr="00AB21DC" w:rsidTr="00F64F85">
        <w:tc>
          <w:tcPr>
            <w:tcW w:w="564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3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LFMC=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915" w:type="dxa"/>
            <w:vAlign w:val="center"/>
          </w:tcPr>
          <w:p w:rsidR="00AC73B0" w:rsidRPr="00AB21DC" w:rsidRDefault="00AC73B0" w:rsidP="00F64F8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51A1F">
              <w:t>(</w:t>
            </w:r>
            <w:r>
              <w:t>S1-1</w:t>
            </w:r>
            <w:r w:rsidRPr="00D51A1F">
              <w:t>)</w:t>
            </w:r>
          </w:p>
        </w:tc>
      </w:tr>
    </w:tbl>
    <w:p w:rsidR="00AC73B0" w:rsidRDefault="00AC73B0" w:rsidP="00AC73B0">
      <w:pPr>
        <w:outlineLvl w:val="0"/>
      </w:pPr>
    </w:p>
    <w:p w:rsidR="00AC73B0" w:rsidRDefault="00AC73B0" w:rsidP="00AC73B0">
      <w:pPr>
        <w:outlineLvl w:val="0"/>
      </w:pPr>
      <w:r>
        <w:t>French forest service uses a less common definition (on a fresh mass basis):</w:t>
      </w:r>
    </w:p>
    <w:p w:rsidR="00AC73B0" w:rsidRDefault="00AC73B0" w:rsidP="00AC73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583"/>
        <w:gridCol w:w="915"/>
      </w:tblGrid>
      <w:tr w:rsidR="00AC73B0" w:rsidRPr="00AB21DC" w:rsidTr="00F64F85">
        <w:tc>
          <w:tcPr>
            <w:tcW w:w="564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3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LFMC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=1-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15" w:type="dxa"/>
            <w:vAlign w:val="center"/>
          </w:tcPr>
          <w:p w:rsidR="00AC73B0" w:rsidRPr="00AB21DC" w:rsidRDefault="00AC73B0" w:rsidP="00F64F8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51A1F">
              <w:t>(</w:t>
            </w:r>
            <w:r>
              <w:t>S1-2</w:t>
            </w:r>
            <w:r w:rsidRPr="00D51A1F">
              <w:t>)</w:t>
            </w:r>
          </w:p>
        </w:tc>
      </w:tr>
    </w:tbl>
    <w:p w:rsidR="00AC73B0" w:rsidRDefault="00AC73B0" w:rsidP="00AC73B0"/>
    <w:p w:rsidR="00AC73B0" w:rsidRDefault="00AC73B0" w:rsidP="00AC73B0">
      <w:r>
        <w:t>The</w:t>
      </w:r>
      <w:r w:rsidRPr="00196D93">
        <w:t xml:space="preserve"> conversion from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LFMC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</m:oMath>
      <w:r w:rsidRPr="00196D93">
        <w:t xml:space="preserve"> to </w:t>
      </w:r>
      <m:oMath>
        <m:r>
          <m:rPr>
            <m:sty m:val="p"/>
          </m:rPr>
          <w:rPr>
            <w:rFonts w:ascii="Cambria Math" w:hAnsi="Cambria Math"/>
          </w:rPr>
          <m:t>LFMC</m:t>
        </m:r>
      </m:oMath>
      <w:r w:rsidRPr="00196D93">
        <w:t xml:space="preserve"> and conversely can be done as:</w:t>
      </w:r>
    </w:p>
    <w:p w:rsidR="00AC73B0" w:rsidRDefault="00AC73B0" w:rsidP="00AC73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583"/>
        <w:gridCol w:w="915"/>
      </w:tblGrid>
      <w:tr w:rsidR="00AC73B0" w:rsidRPr="00AB21DC" w:rsidTr="00F64F85">
        <w:tc>
          <w:tcPr>
            <w:tcW w:w="564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3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LFMC=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LFMC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LFMC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15" w:type="dxa"/>
            <w:vAlign w:val="center"/>
          </w:tcPr>
          <w:p w:rsidR="00AC73B0" w:rsidRPr="00AB21DC" w:rsidRDefault="00AC73B0" w:rsidP="00F64F8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51A1F">
              <w:t>(</w:t>
            </w:r>
            <w:r>
              <w:t>S1-3</w:t>
            </w:r>
            <w:r w:rsidRPr="00D51A1F">
              <w:t>)</w:t>
            </w:r>
          </w:p>
        </w:tc>
      </w:tr>
    </w:tbl>
    <w:p w:rsidR="00AC73B0" w:rsidRDefault="00AC73B0" w:rsidP="00AC73B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583"/>
        <w:gridCol w:w="915"/>
      </w:tblGrid>
      <w:tr w:rsidR="00AC73B0" w:rsidRPr="00AB21DC" w:rsidTr="00F64F85">
        <w:tc>
          <w:tcPr>
            <w:tcW w:w="564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3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LFMC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LFMC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LFMC</m:t>
                    </m:r>
                  </m:den>
                </m:f>
              </m:oMath>
            </m:oMathPara>
          </w:p>
        </w:tc>
        <w:tc>
          <w:tcPr>
            <w:tcW w:w="915" w:type="dxa"/>
            <w:vAlign w:val="center"/>
          </w:tcPr>
          <w:p w:rsidR="00AC73B0" w:rsidRPr="00AB21DC" w:rsidRDefault="00AC73B0" w:rsidP="00F64F8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51A1F">
              <w:t>(</w:t>
            </w:r>
            <w:r>
              <w:t>S1-4</w:t>
            </w:r>
            <w:r w:rsidRPr="00D51A1F">
              <w:t>)</w:t>
            </w:r>
          </w:p>
        </w:tc>
      </w:tr>
    </w:tbl>
    <w:p w:rsidR="00AC73B0" w:rsidRPr="00196D93" w:rsidRDefault="00AC73B0" w:rsidP="00AC73B0">
      <w:pPr>
        <w:outlineLvl w:val="0"/>
      </w:pPr>
    </w:p>
    <w:p w:rsidR="00AC73B0" w:rsidRDefault="00AC73B0" w:rsidP="00AC73B0"/>
    <w:p w:rsidR="00AC73B0" w:rsidRDefault="00AC73B0" w:rsidP="00AC73B0"/>
    <w:p w:rsidR="00AC73B0" w:rsidRDefault="00AC73B0" w:rsidP="00AC73B0">
      <w:pPr>
        <w:rPr>
          <w:b/>
          <w:i/>
          <w:u w:val="single"/>
        </w:rPr>
      </w:pPr>
      <w:r>
        <w:br w:type="page"/>
      </w:r>
    </w:p>
    <w:p w:rsidR="00AC73B0" w:rsidRDefault="00AC73B0" w:rsidP="00AC73B0">
      <w:r w:rsidRPr="00F44213">
        <w:rPr>
          <w:sz w:val="18"/>
          <w:szCs w:val="18"/>
        </w:rPr>
        <w:lastRenderedPageBreak/>
        <w:t xml:space="preserve">Supplementary S2: </w:t>
      </w:r>
      <w:r>
        <w:t>Distribution of individual measurements of LFMC and mean LFMC computed by the DPFM before and after the applying a manual filter.</w:t>
      </w:r>
    </w:p>
    <w:p w:rsidR="00AC73B0" w:rsidRDefault="00AC73B0" w:rsidP="00AC73B0"/>
    <w:p w:rsidR="00AC73B0" w:rsidRDefault="00AC73B0" w:rsidP="00AC73B0"/>
    <w:p w:rsidR="00AC73B0" w:rsidRDefault="00AC73B0" w:rsidP="00AC73B0">
      <w:pPr>
        <w:keepNext/>
        <w:jc w:val="center"/>
      </w:pPr>
      <w:r>
        <w:rPr>
          <w:noProof/>
        </w:rPr>
        <w:drawing>
          <wp:inline distT="0" distB="0" distL="0" distR="0" wp14:anchorId="4B8C2DD7" wp14:editId="5BC75C2F">
            <wp:extent cx="5760720" cy="289242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B0" w:rsidRDefault="00AC73B0" w:rsidP="00AC73B0">
      <w:pPr>
        <w:keepNext/>
        <w:jc w:val="center"/>
      </w:pPr>
    </w:p>
    <w:p w:rsidR="00AC73B0" w:rsidRDefault="00AC73B0" w:rsidP="00AC73B0">
      <w:r>
        <w:br w:type="page"/>
      </w:r>
    </w:p>
    <w:p w:rsidR="00AC73B0" w:rsidRDefault="00AC73B0" w:rsidP="00AC7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Supplementary S3: Relationship between LFMC estimates computed with a robust mean (Equation 2) and the common median.</w:t>
      </w:r>
    </w:p>
    <w:p w:rsidR="00AC73B0" w:rsidRDefault="00AC73B0" w:rsidP="00AC73B0"/>
    <w:p w:rsidR="00AC73B0" w:rsidRDefault="00AC73B0" w:rsidP="00AC73B0"/>
    <w:p w:rsidR="00AC73B0" w:rsidRDefault="00AC73B0" w:rsidP="00AC73B0">
      <w:pPr>
        <w:jc w:val="center"/>
      </w:pPr>
      <w:r>
        <w:rPr>
          <w:noProof/>
        </w:rPr>
        <w:drawing>
          <wp:inline distT="0" distB="0" distL="0" distR="0" wp14:anchorId="0A285111" wp14:editId="47BAB26C">
            <wp:extent cx="3628372" cy="3172484"/>
            <wp:effectExtent l="0" t="0" r="0" b="0"/>
            <wp:docPr id="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8372" cy="31724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B0" w:rsidRDefault="00AC73B0" w:rsidP="00AC73B0"/>
    <w:p w:rsidR="00AC73B0" w:rsidRDefault="00AC73B0" w:rsidP="00AC73B0">
      <w:r>
        <w:br w:type="page"/>
      </w:r>
    </w:p>
    <w:p w:rsidR="00AC73B0" w:rsidRDefault="00AC73B0" w:rsidP="00AC73B0">
      <w:proofErr w:type="gramStart"/>
      <w:r>
        <w:lastRenderedPageBreak/>
        <w:t>Supplementary S4.</w:t>
      </w:r>
      <w:proofErr w:type="gramEnd"/>
      <w:r>
        <w:t xml:space="preserve"> Comparison between median-based standard error and the robust standard error</w:t>
      </w:r>
    </w:p>
    <w:p w:rsidR="00AC73B0" w:rsidRDefault="00AC73B0" w:rsidP="00AC73B0"/>
    <w:p w:rsidR="00AC73B0" w:rsidRDefault="00AC73B0" w:rsidP="00AC73B0">
      <w:r>
        <w:t>Based on equation (4), the median-based standard error can be computed as: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7583"/>
        <w:gridCol w:w="915"/>
      </w:tblGrid>
      <w:tr w:rsidR="00AC73B0" w:rsidRPr="00AB21DC" w:rsidTr="00F64F85">
        <w:tc>
          <w:tcPr>
            <w:tcW w:w="564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3" w:type="dxa"/>
          </w:tcPr>
          <w:p w:rsidR="00AC73B0" w:rsidRPr="00AB21DC" w:rsidRDefault="00AC73B0" w:rsidP="00F64F85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SE</m:t>
                    </m:r>
                  </m:e>
                </m:acc>
                <m:r>
                  <w:rPr>
                    <w:rFonts w:ascii="Cambria Math" w:hAnsi="Cambria Math"/>
                  </w:rPr>
                  <m:t>(t)=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(t)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n(t)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915" w:type="dxa"/>
            <w:vAlign w:val="center"/>
          </w:tcPr>
          <w:p w:rsidR="00AC73B0" w:rsidRPr="00AB21DC" w:rsidRDefault="00AC73B0" w:rsidP="00F64F8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51A1F">
              <w:t>(</w:t>
            </w:r>
            <w:r>
              <w:t>S4-1</w:t>
            </w:r>
            <w:r w:rsidRPr="00D51A1F">
              <w:t>)</w:t>
            </w:r>
          </w:p>
        </w:tc>
      </w:tr>
    </w:tbl>
    <w:p w:rsidR="00AC73B0" w:rsidRDefault="00AC73B0" w:rsidP="00AC73B0">
      <w:proofErr w:type="gramStart"/>
      <w:r w:rsidRPr="00363539">
        <w:t>with</w:t>
      </w:r>
      <w:proofErr w:type="gramEnd"/>
      <w:r w:rsidRPr="00363539">
        <w:t xml:space="preserve"> </w:t>
      </w:r>
      <m:oMath>
        <m:r>
          <w:rPr>
            <w:rFonts w:ascii="Cambria Math" w:hAnsi="Cambria Math"/>
          </w:rPr>
          <m:t>n(t)</m:t>
        </m:r>
      </m:oMath>
      <w:r w:rsidRPr="00D51A1F">
        <w:t xml:space="preserve"> the number of individual measurements in sample </w:t>
      </w:r>
      <w:r>
        <w:rPr>
          <w:i/>
        </w:rPr>
        <w:t>t</w:t>
      </w:r>
      <w:r w:rsidRPr="00363539">
        <w:t xml:space="preserve"> (</w:t>
      </w:r>
      <m:oMath>
        <m:r>
          <w:rPr>
            <w:rFonts w:ascii="Cambria Math" w:hAnsi="Cambria Math"/>
          </w:rPr>
          <m:t>n(t)≤5)</m:t>
        </m:r>
      </m:oMath>
      <w:r w:rsidRPr="00D51A1F">
        <w:t>.</w:t>
      </w:r>
      <w:r>
        <w:t xml:space="preserve"> </w:t>
      </w:r>
      <w:r w:rsidRPr="00363539">
        <w:t xml:space="preserve">Median-based estimators of standard errors </w:t>
      </w:r>
      <w:r>
        <w:t>show a highly asymmetric distribution (</w:t>
      </w:r>
      <w:r w:rsidRPr="00363539">
        <w:t>Fig S</w:t>
      </w:r>
      <w:r>
        <w:t>4A, the inset shows the same asymmetric distribution for error between 0 and 5</w:t>
      </w:r>
      <w:proofErr w:type="gramStart"/>
      <w:r>
        <w:t>) :</w:t>
      </w:r>
      <w:proofErr w:type="gramEnd"/>
      <w:r w:rsidRPr="00D51A1F">
        <w:t xml:space="preserve"> </w:t>
      </w:r>
      <w:r>
        <w:t>extremely</w:t>
      </w:r>
      <w:r w:rsidRPr="00D51A1F">
        <w:t xml:space="preserve"> small estimated error</w:t>
      </w:r>
      <w:r>
        <w:t>s are frequent (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SE</m:t>
            </m:r>
          </m:e>
        </m:acc>
        <m:r>
          <w:rPr>
            <w:rFonts w:ascii="Cambria Math" w:hAnsi="Cambria Math"/>
          </w:rPr>
          <m:t>(t)&lt;0.2%</m:t>
        </m:r>
      </m:oMath>
      <w:r>
        <w:t xml:space="preserve"> for 12 % of measurements, Fig. S4A, inset) as well as very large ones (more than 10 %, Fig. S4A). These distributions of the median based errors are not realistic as the variance estimates is expected to follow a</w:t>
      </w:r>
      <w:r>
        <w:rPr>
          <w:rFonts w:ascii="Calibri" w:hAnsi="Calibri" w:cs="Calibri"/>
        </w:rPr>
        <w:t xml:space="preserve"> </w:t>
      </w:r>
      <w:r>
        <w:t>χ</w:t>
      </w:r>
      <w:r w:rsidRPr="00640A07">
        <w:rPr>
          <w:vertAlign w:val="subscript"/>
        </w:rPr>
        <w:t>2</w:t>
      </w:r>
      <w:r>
        <w:t xml:space="preserve"> distribution. </w:t>
      </w:r>
      <w:proofErr w:type="gramStart"/>
      <w:r>
        <w:t>By contrast, the distribution of robust standard error (Fig.</w:t>
      </w:r>
      <w:proofErr w:type="gramEnd"/>
      <w:r>
        <w:t xml:space="preserve"> S4B) exhibit a more realistic pattern as it does not show the high frequency of low values and the long tail. These results demonstrate the benefit our approach for standard error estimation.</w:t>
      </w:r>
    </w:p>
    <w:p w:rsidR="00AC73B0" w:rsidRDefault="00AC73B0" w:rsidP="00AC73B0"/>
    <w:p w:rsidR="00AC73B0" w:rsidRDefault="00AC73B0" w:rsidP="00AC73B0">
      <w:r>
        <w:rPr>
          <w:noProof/>
        </w:rPr>
        <w:drawing>
          <wp:inline distT="0" distB="0" distL="0" distR="0" wp14:anchorId="605BAA61" wp14:editId="37A44094">
            <wp:extent cx="5760720" cy="2612390"/>
            <wp:effectExtent l="0" t="0" r="0" b="0"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2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B0" w:rsidRPr="00C06801" w:rsidRDefault="00AC73B0" w:rsidP="00AC73B0">
      <w:pPr>
        <w:pStyle w:val="HTMLPreformatted"/>
        <w:rPr>
          <w:rStyle w:val="gcwxi2kcpjb"/>
          <w:rFonts w:ascii="Arial" w:hAnsi="Arial" w:cs="Arial"/>
          <w:sz w:val="18"/>
          <w:szCs w:val="18"/>
          <w:lang w:val="en-AU"/>
        </w:rPr>
      </w:pPr>
      <w:r w:rsidRPr="00893A2A">
        <w:rPr>
          <w:rStyle w:val="gcwxi2kcpjb"/>
          <w:rFonts w:ascii="Arial" w:hAnsi="Arial" w:cs="Arial"/>
          <w:i/>
          <w:sz w:val="18"/>
          <w:szCs w:val="18"/>
          <w:lang w:val="en-AU"/>
        </w:rPr>
        <w:t>Figure S3</w:t>
      </w:r>
      <w:r>
        <w:rPr>
          <w:rStyle w:val="gcwxi2kcpjb"/>
          <w:rFonts w:ascii="Arial" w:hAnsi="Arial" w:cs="Arial"/>
          <w:sz w:val="18"/>
          <w:szCs w:val="18"/>
          <w:lang w:val="en-AU"/>
        </w:rPr>
        <w:t>:</w:t>
      </w:r>
      <w:r w:rsidRPr="00C06801">
        <w:rPr>
          <w:rStyle w:val="gcwxi2kcpjb"/>
          <w:rFonts w:ascii="Arial" w:hAnsi="Arial" w:cs="Arial"/>
          <w:sz w:val="18"/>
          <w:szCs w:val="18"/>
          <w:lang w:val="en-AU"/>
        </w:rPr>
        <w:t xml:space="preserve"> Histogram</w:t>
      </w:r>
      <w:r>
        <w:rPr>
          <w:rStyle w:val="gcwxi2kcpjb"/>
          <w:rFonts w:ascii="Arial" w:hAnsi="Arial" w:cs="Arial"/>
          <w:sz w:val="18"/>
          <w:szCs w:val="18"/>
          <w:lang w:val="en-AU"/>
        </w:rPr>
        <w:t>s</w:t>
      </w:r>
      <w:r w:rsidRPr="00C06801">
        <w:rPr>
          <w:rStyle w:val="gcwxi2kcpjb"/>
          <w:rFonts w:ascii="Arial" w:hAnsi="Arial" w:cs="Arial"/>
          <w:sz w:val="18"/>
          <w:szCs w:val="18"/>
          <w:lang w:val="en-AU"/>
        </w:rPr>
        <w:t xml:space="preserve"> </w:t>
      </w:r>
      <w:r>
        <w:rPr>
          <w:rStyle w:val="gcwxi2kcpjb"/>
          <w:rFonts w:ascii="Arial" w:hAnsi="Arial" w:cs="Arial"/>
          <w:sz w:val="18"/>
          <w:szCs w:val="18"/>
          <w:lang w:val="en-AU"/>
        </w:rPr>
        <w:t>of standard error frequencies: A/</w:t>
      </w:r>
      <w:r w:rsidRPr="00C06801">
        <w:rPr>
          <w:rStyle w:val="gcwxi2kcpjb"/>
          <w:rFonts w:ascii="Arial" w:hAnsi="Arial" w:cs="Arial"/>
          <w:sz w:val="18"/>
          <w:szCs w:val="18"/>
          <w:lang w:val="en-AU"/>
        </w:rPr>
        <w:t xml:space="preserve"> median-based </w:t>
      </w:r>
      <m:oMath>
        <m:acc>
          <m:accPr>
            <m:chr m:val="̃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SE</m:t>
            </m:r>
          </m:e>
        </m:acc>
        <m:r>
          <w:rPr>
            <w:rFonts w:ascii="Cambria Math" w:eastAsiaTheme="minorEastAsia" w:hAnsi="Cambria Math" w:hint="eastAsia"/>
            <w:lang w:val="en-US"/>
          </w:rPr>
          <m:t>(</m:t>
        </m:r>
        <m:r>
          <w:rPr>
            <w:rFonts w:ascii="Cambria Math" w:eastAsiaTheme="minorEastAsia" w:hAnsi="Cambria Math"/>
          </w:rPr>
          <m:t>t</m:t>
        </m:r>
        <m:r>
          <w:rPr>
            <w:rFonts w:ascii="Cambria Math" w:eastAsiaTheme="minorEastAsia" w:hAnsi="Cambria Math" w:hint="eastAsia"/>
            <w:lang w:val="en-US"/>
          </w:rPr>
          <m:t>)</m:t>
        </m:r>
      </m:oMath>
      <w:r w:rsidRPr="00C06801">
        <w:rPr>
          <w:rStyle w:val="gcwxi2kcpjb"/>
          <w:rFonts w:ascii="Arial" w:hAnsi="Arial" w:cs="Arial"/>
          <w:sz w:val="18"/>
          <w:szCs w:val="18"/>
          <w:lang w:val="en-AU"/>
        </w:rPr>
        <w:t xml:space="preserve"> </w:t>
      </w:r>
      <w:r>
        <w:rPr>
          <w:rStyle w:val="gcwxi2kcpjb"/>
          <w:rFonts w:ascii="Arial" w:hAnsi="Arial" w:cs="Arial"/>
          <w:sz w:val="18"/>
          <w:szCs w:val="18"/>
          <w:lang w:val="en-AU"/>
        </w:rPr>
        <w:t xml:space="preserve">(S3-1); B/ robust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SE</m:t>
            </m:r>
          </m:e>
        </m:acc>
        <m:r>
          <w:rPr>
            <w:rFonts w:ascii="Cambria Math" w:eastAsiaTheme="minorEastAsia" w:hAnsi="Cambria Math" w:hint="eastAsia"/>
            <w:lang w:val="en-US"/>
          </w:rPr>
          <m:t>(</m:t>
        </m:r>
        <m:r>
          <w:rPr>
            <w:rFonts w:ascii="Cambria Math" w:eastAsiaTheme="minorEastAsia" w:hAnsi="Cambria Math"/>
          </w:rPr>
          <m:t>t</m:t>
        </m:r>
        <m:r>
          <w:rPr>
            <w:rFonts w:ascii="Cambria Math" w:eastAsiaTheme="minorEastAsia" w:hAnsi="Cambria Math" w:hint="eastAsia"/>
            <w:lang w:val="en-US"/>
          </w:rPr>
          <m:t>)</m:t>
        </m:r>
      </m:oMath>
      <w:r>
        <w:rPr>
          <w:rStyle w:val="gcwxi2kcpjb"/>
          <w:rFonts w:ascii="Arial" w:hAnsi="Arial" w:cs="Arial"/>
          <w:sz w:val="18"/>
          <w:szCs w:val="18"/>
          <w:lang w:val="en-AU"/>
        </w:rPr>
        <w:t xml:space="preserve"> (S2-8). </w:t>
      </w:r>
      <w:proofErr w:type="gramStart"/>
      <w:r>
        <w:rPr>
          <w:rStyle w:val="gcwxi2kcpjb"/>
          <w:rFonts w:ascii="Arial" w:hAnsi="Arial" w:cs="Arial"/>
          <w:sz w:val="18"/>
          <w:szCs w:val="18"/>
          <w:lang w:val="en-AU"/>
        </w:rPr>
        <w:t>The insert in Fig.</w:t>
      </w:r>
      <w:proofErr w:type="gramEnd"/>
      <w:r>
        <w:rPr>
          <w:rStyle w:val="gcwxi2kcpjb"/>
          <w:rFonts w:ascii="Arial" w:hAnsi="Arial" w:cs="Arial"/>
          <w:sz w:val="18"/>
          <w:szCs w:val="18"/>
          <w:lang w:val="en-AU"/>
        </w:rPr>
        <w:t xml:space="preserve"> S3A shows the histogram truncated for values between 0 and 5.</w:t>
      </w:r>
    </w:p>
    <w:p w:rsidR="00AC73B0" w:rsidRDefault="00AC73B0" w:rsidP="00AC73B0"/>
    <w:p w:rsidR="00AC73B0" w:rsidRDefault="00AC73B0" w:rsidP="00AC73B0"/>
    <w:p w:rsidR="00AC73B0" w:rsidRDefault="00AC73B0" w:rsidP="00AC73B0"/>
    <w:p w:rsidR="00AC73B0" w:rsidRDefault="00AC73B0" w:rsidP="00AC73B0"/>
    <w:p w:rsidR="00AC73B0" w:rsidRDefault="00AC73B0" w:rsidP="00AC73B0"/>
    <w:p w:rsidR="00AC73B0" w:rsidRDefault="00AC73B0" w:rsidP="00AC7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</w:rPr>
      </w:pPr>
    </w:p>
    <w:p w:rsidR="00AC73B0" w:rsidRDefault="00AC73B0" w:rsidP="00AC73B0"/>
    <w:p w:rsidR="00AC73B0" w:rsidRDefault="00AC73B0" w:rsidP="00AC73B0">
      <w:r>
        <w:br w:type="page"/>
      </w:r>
    </w:p>
    <w:p w:rsidR="00AC73B0" w:rsidRDefault="00AC73B0" w:rsidP="00AC7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 xml:space="preserve">Supplementary S5: Comparison of the </w:t>
      </w:r>
      <w:proofErr w:type="spellStart"/>
      <w:r>
        <w:rPr>
          <w:i/>
        </w:rPr>
        <w:t>Réseau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hydrique’s</w:t>
      </w:r>
      <w:proofErr w:type="spellEnd"/>
      <w:r>
        <w:t xml:space="preserve"> rainfall measurements with the rainfall from SAFRAN climatic analysis (8 km grid resolution, Vidal </w:t>
      </w:r>
      <w:r w:rsidRPr="00682608">
        <w:rPr>
          <w:i/>
        </w:rPr>
        <w:t>et al</w:t>
      </w:r>
      <w:r>
        <w:t xml:space="preserve">. 2010), both were annually cumulated over the measurement periods of the </w:t>
      </w:r>
      <w:proofErr w:type="spellStart"/>
      <w:r>
        <w:rPr>
          <w:i/>
        </w:rPr>
        <w:t>Réseau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hydrique</w:t>
      </w:r>
      <w:proofErr w:type="spellEnd"/>
      <w:r>
        <w:t>.</w:t>
      </w:r>
    </w:p>
    <w:p w:rsidR="00AC73B0" w:rsidRDefault="00AC73B0" w:rsidP="00AC73B0">
      <w:pPr>
        <w:keepNext/>
        <w:jc w:val="center"/>
      </w:pPr>
    </w:p>
    <w:p w:rsidR="00AC73B0" w:rsidRDefault="00AC73B0" w:rsidP="00AC73B0">
      <w:pPr>
        <w:keepNext/>
        <w:jc w:val="center"/>
      </w:pPr>
      <w:r>
        <w:rPr>
          <w:noProof/>
        </w:rPr>
        <w:drawing>
          <wp:inline distT="0" distB="0" distL="0" distR="0" wp14:anchorId="334E327A" wp14:editId="59F33B73">
            <wp:extent cx="2924976" cy="2907565"/>
            <wp:effectExtent l="0" t="0" r="0" b="0"/>
            <wp:docPr id="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976" cy="2907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3B0" w:rsidRDefault="00AC73B0" w:rsidP="00AC73B0">
      <w:pPr>
        <w:jc w:val="center"/>
        <w:rPr>
          <w:i/>
          <w:color w:val="44546A"/>
          <w:sz w:val="18"/>
          <w:szCs w:val="18"/>
        </w:rPr>
      </w:pPr>
    </w:p>
    <w:p w:rsidR="00AC73B0" w:rsidRDefault="00AC73B0" w:rsidP="00AC73B0"/>
    <w:p w:rsidR="00AC73B0" w:rsidRDefault="00AC73B0" w:rsidP="00AC73B0"/>
    <w:p w:rsidR="00AC73B0" w:rsidRDefault="00AC73B0" w:rsidP="00AC73B0">
      <w:r>
        <w:br w:type="page"/>
      </w:r>
    </w:p>
    <w:p w:rsidR="00AC73B0" w:rsidRDefault="00AC73B0" w:rsidP="00AC73B0">
      <w:pPr>
        <w:rPr>
          <w:sz w:val="18"/>
          <w:szCs w:val="18"/>
        </w:rPr>
      </w:pPr>
      <w:r>
        <w:rPr>
          <w:sz w:val="18"/>
          <w:szCs w:val="18"/>
        </w:rPr>
        <w:lastRenderedPageBreak/>
        <w:t>Supplementary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S6: details on the linear model applied to explain </w:t>
      </w:r>
    </w:p>
    <w:p w:rsidR="00AC73B0" w:rsidRDefault="00AC73B0" w:rsidP="00AC73B0">
      <w:pPr>
        <w:rPr>
          <w:sz w:val="18"/>
          <w:szCs w:val="18"/>
        </w:rPr>
      </w:pPr>
    </w:p>
    <w:p w:rsidR="00AC73B0" w:rsidRDefault="00AC73B0" w:rsidP="00AC73B0">
      <w:pPr>
        <w:rPr>
          <w:sz w:val="18"/>
          <w:szCs w:val="18"/>
        </w:rPr>
      </w:pPr>
      <w:r>
        <w:rPr>
          <w:sz w:val="18"/>
          <w:szCs w:val="18"/>
        </w:rPr>
        <w:t xml:space="preserve">Table S6: Coefficients of the linear model applied to explain the yearly minimum </w:t>
      </w:r>
      <m:oMath>
        <m:acc>
          <m:accPr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LFMC</m:t>
            </m:r>
          </m:e>
        </m:acc>
      </m:oMath>
      <w:r>
        <w:rPr>
          <w:sz w:val="18"/>
          <w:szCs w:val="18"/>
        </w:rPr>
        <w:t xml:space="preserve"> reached at each </w:t>
      </w:r>
      <w:proofErr w:type="spellStart"/>
      <w:r w:rsidRPr="009C34CC">
        <w:rPr>
          <w:i/>
          <w:sz w:val="18"/>
          <w:szCs w:val="18"/>
        </w:rPr>
        <w:t>sitexspecies</w:t>
      </w:r>
      <w:proofErr w:type="spellEnd"/>
      <w:r>
        <w:rPr>
          <w:sz w:val="18"/>
          <w:szCs w:val="18"/>
        </w:rPr>
        <w:t xml:space="preserve"> with (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) a linear function of an aridity index (based on the yearly ratio between rainfall and Penman potential evapotranspiration R/ETP for the June to September period, as in Figure 1) (ii) an effect of species regeneration strategy (seeders and </w:t>
      </w:r>
      <w:proofErr w:type="spellStart"/>
      <w:r>
        <w:rPr>
          <w:sz w:val="18"/>
          <w:szCs w:val="18"/>
        </w:rPr>
        <w:t>resprouters</w:t>
      </w:r>
      <w:proofErr w:type="spellEnd"/>
      <w:r>
        <w:rPr>
          <w:sz w:val="18"/>
          <w:szCs w:val="18"/>
        </w:rPr>
        <w:t xml:space="preserve">) and a site effect. </w:t>
      </w:r>
      <w:r>
        <w:rPr>
          <w:i/>
          <w:sz w:val="18"/>
          <w:szCs w:val="18"/>
        </w:rPr>
        <w:t>Regeneration strategy</w:t>
      </w:r>
      <w:r>
        <w:rPr>
          <w:sz w:val="18"/>
          <w:szCs w:val="18"/>
        </w:rPr>
        <w:t xml:space="preserve"> and </w:t>
      </w:r>
      <w:r w:rsidRPr="001C4836">
        <w:rPr>
          <w:i/>
          <w:sz w:val="18"/>
          <w:szCs w:val="18"/>
        </w:rPr>
        <w:t>site</w:t>
      </w:r>
      <w:r>
        <w:rPr>
          <w:sz w:val="18"/>
          <w:szCs w:val="18"/>
        </w:rPr>
        <w:t xml:space="preserve"> effects were set additive. The Figure S6 below is a graphical representation of the different effects. The regeneration strategy for each species was taken from the </w:t>
      </w:r>
      <w:proofErr w:type="spellStart"/>
      <w:r>
        <w:rPr>
          <w:sz w:val="18"/>
          <w:szCs w:val="18"/>
        </w:rPr>
        <w:t>Brot</w:t>
      </w:r>
      <w:proofErr w:type="spellEnd"/>
      <w:r>
        <w:rPr>
          <w:sz w:val="18"/>
          <w:szCs w:val="18"/>
        </w:rPr>
        <w:t xml:space="preserve"> database (Paula </w:t>
      </w:r>
      <w:r w:rsidRPr="00682608">
        <w:rPr>
          <w:i/>
          <w:sz w:val="18"/>
          <w:szCs w:val="18"/>
        </w:rPr>
        <w:t>et al</w:t>
      </w:r>
      <w:r>
        <w:rPr>
          <w:sz w:val="18"/>
          <w:szCs w:val="18"/>
        </w:rPr>
        <w:t>. 2009).</w:t>
      </w:r>
    </w:p>
    <w:p w:rsidR="00AC73B0" w:rsidRDefault="00AC73B0" w:rsidP="00AC73B0">
      <w:pPr>
        <w:rPr>
          <w:sz w:val="18"/>
          <w:szCs w:val="18"/>
        </w:rPr>
      </w:pPr>
    </w:p>
    <w:tbl>
      <w:tblPr>
        <w:tblW w:w="7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300"/>
        <w:gridCol w:w="1300"/>
        <w:gridCol w:w="1300"/>
        <w:gridCol w:w="1300"/>
        <w:gridCol w:w="469"/>
      </w:tblGrid>
      <w:tr w:rsidR="00AC73B0" w:rsidRPr="008F065C" w:rsidTr="00F64F85">
        <w:trPr>
          <w:trHeight w:val="300"/>
        </w:trPr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Estimate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Std</w:t>
            </w:r>
            <w:proofErr w:type="spellEnd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 xml:space="preserve">. </w:t>
            </w: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Error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t value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proofErr w:type="gram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Pr(</w:t>
            </w:r>
            <w:proofErr w:type="gramEnd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&gt;|t|)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 xml:space="preserve">Global </w:t>
            </w: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Intercept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60.0297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2.4044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24.966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&lt; 2e-16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Drought</w:t>
            </w:r>
            <w:proofErr w:type="spellEnd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 xml:space="preserve"> 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19.8427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2.3270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8.527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&lt; 2e-16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6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Regeneration</w:t>
            </w:r>
            <w:proofErr w:type="spellEnd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 xml:space="preserve"> </w:t>
            </w:r>
            <w:proofErr w:type="spellStart"/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strategy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-7.2401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0.9316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-7.772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1.93e-14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D04S2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-6.4580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3.0490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-2.118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0.034416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D05S1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18.4664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3.1167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4.30e-09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D06S1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-8.9948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-3.002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0.002747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D06S2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-16.8842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-5.629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2.35e-08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D06S3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-14.9572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-4.915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1.04e-06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D07S1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6.0223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6.0712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0.321463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D07S2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18.0031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3.2934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5.81e-08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D11S1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3.7672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0.210807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D11S2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2.8261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0.349109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D13S1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-7.3879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-2.459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0.014086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D13S2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-4.3816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0.152785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D13S3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-8.8090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5.6325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0.118146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D26S1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-1.6517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3.1675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-0.521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0.602175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D2AS1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-12.1700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-4.036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5.85e-05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lastRenderedPageBreak/>
              <w:t>D2AS2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-4.5896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3.1246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0.142186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D2AS3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-23.8407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6.6990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-3.559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0.000390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D2AS4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4.5641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3.8143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0.231757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D2BS2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-9.1031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3.2162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-2.830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0.004742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D2BS3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-17.1978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-5.674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1.83e-08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D2BS1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-13.4989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3.5597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-3.792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0.000158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D30S1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0.6005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0.841691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D30S2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-17.3130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-5.798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8.99e-09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D34S1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16.3934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3.0656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5.348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1.11e-07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D34S2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-4.9214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3.1316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0.116385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D48S1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1.8455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0.549640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D66S1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-12.1486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3.1622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-3.842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0.000130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D66S2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0.974947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D83S1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-15.3230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-5.121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3.65e-07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D83S2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-1.6834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-0.563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0.573338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D83S3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-1.9645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-0.640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0.522330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D83S4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12.2031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4.0200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0.002463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D83S5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1.3647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4.0263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0.734726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D84S1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0.3852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3.0268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0.898764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 </w:t>
            </w:r>
          </w:p>
        </w:tc>
      </w:tr>
      <w:tr w:rsidR="00AC73B0" w:rsidRPr="008F065C" w:rsidTr="00F64F85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b/>
                <w:bCs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b/>
                <w:bCs/>
                <w:lang w:val="fr-FR"/>
              </w:rPr>
              <w:t>D84S2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-10.6565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2.9920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-3.562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0.000386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3B0" w:rsidRPr="008F065C" w:rsidRDefault="00AC73B0" w:rsidP="00F64F85">
            <w:pPr>
              <w:rPr>
                <w:rFonts w:ascii="Calibri" w:eastAsia="Times New Roman" w:hAnsi="Calibri" w:cs="Times New Roman"/>
                <w:lang w:val="fr-FR"/>
              </w:rPr>
            </w:pPr>
            <w:r w:rsidRPr="008F065C">
              <w:rPr>
                <w:rFonts w:ascii="Calibri" w:eastAsia="Times New Roman" w:hAnsi="Calibri" w:cs="Times New Roman"/>
                <w:lang w:val="fr-FR"/>
              </w:rPr>
              <w:t>***</w:t>
            </w:r>
          </w:p>
        </w:tc>
      </w:tr>
    </w:tbl>
    <w:p w:rsidR="00AC73B0" w:rsidRDefault="00AC73B0" w:rsidP="00AC73B0">
      <w:pPr>
        <w:rPr>
          <w:sz w:val="18"/>
          <w:szCs w:val="18"/>
        </w:rPr>
      </w:pPr>
    </w:p>
    <w:p w:rsidR="00AC73B0" w:rsidRDefault="00AC73B0" w:rsidP="00AC73B0">
      <w:pPr>
        <w:rPr>
          <w:sz w:val="18"/>
          <w:szCs w:val="18"/>
        </w:rPr>
      </w:pPr>
    </w:p>
    <w:p w:rsidR="00AC73B0" w:rsidRDefault="00AC73B0" w:rsidP="00AC73B0">
      <w:pPr>
        <w:rPr>
          <w:sz w:val="18"/>
          <w:szCs w:val="18"/>
        </w:rPr>
      </w:pPr>
    </w:p>
    <w:p w:rsidR="00AC73B0" w:rsidRDefault="00AC73B0" w:rsidP="00AC73B0">
      <w:pPr>
        <w:rPr>
          <w:sz w:val="18"/>
          <w:szCs w:val="18"/>
        </w:rPr>
      </w:pPr>
    </w:p>
    <w:p w:rsidR="00AC73B0" w:rsidRDefault="00AC73B0" w:rsidP="00AC73B0">
      <w:pPr>
        <w:rPr>
          <w:sz w:val="18"/>
          <w:szCs w:val="18"/>
        </w:rPr>
      </w:pPr>
      <w:r>
        <w:rPr>
          <w:sz w:val="18"/>
          <w:szCs w:val="18"/>
        </w:rPr>
        <w:t xml:space="preserve">Figure S6: Boxplot of the yearly minimum value of LFMC reached at each site. Species were separated into two functional groups, </w:t>
      </w:r>
      <w:proofErr w:type="spellStart"/>
      <w:r>
        <w:rPr>
          <w:sz w:val="18"/>
          <w:szCs w:val="18"/>
        </w:rPr>
        <w:t>resprouters</w:t>
      </w:r>
      <w:proofErr w:type="spellEnd"/>
      <w:r>
        <w:rPr>
          <w:sz w:val="18"/>
          <w:szCs w:val="18"/>
        </w:rPr>
        <w:t xml:space="preserve"> and seeders. One species for which we were unable to find its regeneration strategy in the literature is </w:t>
      </w:r>
      <w:r>
        <w:rPr>
          <w:sz w:val="18"/>
          <w:szCs w:val="18"/>
        </w:rPr>
        <w:lastRenderedPageBreak/>
        <w:t xml:space="preserve">indicated as NA (not available). </w:t>
      </w:r>
      <w:proofErr w:type="gramStart"/>
      <w:r>
        <w:rPr>
          <w:sz w:val="18"/>
          <w:szCs w:val="18"/>
        </w:rPr>
        <w:t>Only one box per site is plotted when both species from this site belong to a single regeneration strategy.</w:t>
      </w:r>
      <w:proofErr w:type="gramEnd"/>
      <w:r>
        <w:rPr>
          <w:sz w:val="18"/>
          <w:szCs w:val="18"/>
        </w:rPr>
        <w:t xml:space="preserve"> The two horizontal lines indicate two fire danger levels (moderate and extreme).</w:t>
      </w:r>
    </w:p>
    <w:p w:rsidR="00AC73B0" w:rsidRDefault="00AC73B0" w:rsidP="00AC73B0"/>
    <w:p w:rsidR="00AC73B0" w:rsidRDefault="00AC73B0" w:rsidP="00AC73B0">
      <w:pPr>
        <w:rPr>
          <w:sz w:val="18"/>
          <w:szCs w:val="18"/>
        </w:rPr>
      </w:pPr>
      <w:r w:rsidRPr="00C6394B">
        <w:rPr>
          <w:noProof/>
          <w:sz w:val="18"/>
          <w:szCs w:val="18"/>
        </w:rPr>
        <w:drawing>
          <wp:inline distT="0" distB="0" distL="0" distR="0" wp14:anchorId="633C8F67" wp14:editId="25566073">
            <wp:extent cx="5760720" cy="429387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3B0" w:rsidRDefault="00AC73B0" w:rsidP="00AC73B0"/>
    <w:p w:rsidR="00AC73B0" w:rsidRDefault="00AC73B0" w:rsidP="00AC73B0"/>
    <w:p w:rsidR="00AC73B0" w:rsidRDefault="00AC73B0" w:rsidP="00AC73B0"/>
    <w:p w:rsidR="00AC73B0" w:rsidRDefault="00AC73B0" w:rsidP="00AC73B0">
      <w:r>
        <w:t>REFERENCES:</w:t>
      </w:r>
    </w:p>
    <w:p w:rsidR="00AC73B0" w:rsidRDefault="00AC73B0" w:rsidP="00AC73B0">
      <w:pPr>
        <w:pStyle w:val="NormalWeb"/>
        <w:ind w:left="480" w:hanging="480"/>
      </w:pPr>
      <w:r>
        <w:t xml:space="preserve">Paula, S., </w:t>
      </w:r>
      <w:proofErr w:type="spellStart"/>
      <w:r>
        <w:t>Arianoutsou</w:t>
      </w:r>
      <w:proofErr w:type="spellEnd"/>
      <w:r>
        <w:t xml:space="preserve">, M., </w:t>
      </w:r>
      <w:proofErr w:type="spellStart"/>
      <w:r>
        <w:t>Kazanis</w:t>
      </w:r>
      <w:proofErr w:type="spellEnd"/>
      <w:r>
        <w:t xml:space="preserve">, D., </w:t>
      </w:r>
      <w:proofErr w:type="spellStart"/>
      <w:r>
        <w:t>Tavşanoğlu</w:t>
      </w:r>
      <w:proofErr w:type="spellEnd"/>
      <w:r>
        <w:t xml:space="preserve">, Ç., Lloret, F., </w:t>
      </w:r>
      <w:proofErr w:type="spellStart"/>
      <w:r>
        <w:t>Buhk</w:t>
      </w:r>
      <w:proofErr w:type="spellEnd"/>
      <w:r>
        <w:t xml:space="preserve">, C., … Pausas, J. G. (2009). </w:t>
      </w:r>
      <w:proofErr w:type="spellStart"/>
      <w:r>
        <w:t>Fire-related</w:t>
      </w:r>
      <w:proofErr w:type="spellEnd"/>
      <w:r>
        <w:t xml:space="preserve"> traits for plant </w:t>
      </w:r>
      <w:proofErr w:type="spellStart"/>
      <w:r>
        <w:t>species</w:t>
      </w:r>
      <w:proofErr w:type="spellEnd"/>
      <w:r>
        <w:t xml:space="preserve"> of the </w:t>
      </w:r>
      <w:proofErr w:type="spellStart"/>
      <w:r>
        <w:t>Mediterranean</w:t>
      </w:r>
      <w:proofErr w:type="spellEnd"/>
      <w:r>
        <w:t xml:space="preserve"> Basin. </w:t>
      </w:r>
      <w:proofErr w:type="spellStart"/>
      <w:r>
        <w:rPr>
          <w:i/>
          <w:iCs/>
        </w:rPr>
        <w:t>Ecology</w:t>
      </w:r>
      <w:proofErr w:type="spellEnd"/>
      <w:r>
        <w:t xml:space="preserve">, </w:t>
      </w:r>
      <w:r>
        <w:rPr>
          <w:i/>
          <w:iCs/>
        </w:rPr>
        <w:t>90</w:t>
      </w:r>
      <w:r>
        <w:t>(5), 1420. https://doi.org/10.1890/08-1309.1</w:t>
      </w:r>
    </w:p>
    <w:p w:rsidR="00AC73B0" w:rsidRDefault="00AC73B0" w:rsidP="00AC73B0">
      <w:pPr>
        <w:pStyle w:val="NormalWeb"/>
        <w:ind w:left="480" w:hanging="480"/>
      </w:pPr>
      <w:r>
        <w:t xml:space="preserve">Vidal, J.-P., Martin, E., </w:t>
      </w:r>
      <w:proofErr w:type="spellStart"/>
      <w:r>
        <w:t>Franchistéguy</w:t>
      </w:r>
      <w:proofErr w:type="spellEnd"/>
      <w:r>
        <w:t xml:space="preserve">, L., </w:t>
      </w:r>
      <w:proofErr w:type="spellStart"/>
      <w:r>
        <w:t>Baillon</w:t>
      </w:r>
      <w:proofErr w:type="spellEnd"/>
      <w:r>
        <w:t xml:space="preserve">, M., &amp; </w:t>
      </w:r>
      <w:proofErr w:type="spellStart"/>
      <w:r>
        <w:t>Soubeyroux</w:t>
      </w:r>
      <w:proofErr w:type="spellEnd"/>
      <w:r>
        <w:t>, J.-M. (2010). A 50-year high-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reanalysis</w:t>
      </w:r>
      <w:proofErr w:type="spellEnd"/>
      <w:r>
        <w:t xml:space="preserve"> over France </w:t>
      </w:r>
      <w:proofErr w:type="spellStart"/>
      <w:r>
        <w:t>with</w:t>
      </w:r>
      <w:proofErr w:type="spellEnd"/>
      <w:r>
        <w:t xml:space="preserve"> the Safran system. </w:t>
      </w:r>
      <w:r>
        <w:rPr>
          <w:i/>
          <w:iCs/>
        </w:rPr>
        <w:t xml:space="preserve">International Journal of </w:t>
      </w:r>
      <w:proofErr w:type="spellStart"/>
      <w:r>
        <w:rPr>
          <w:i/>
          <w:iCs/>
        </w:rPr>
        <w:t>Climatology</w:t>
      </w:r>
      <w:proofErr w:type="spellEnd"/>
      <w:r>
        <w:t xml:space="preserve">, </w:t>
      </w:r>
      <w:r>
        <w:rPr>
          <w:i/>
          <w:iCs/>
        </w:rPr>
        <w:t>30</w:t>
      </w:r>
      <w:r>
        <w:t>(11), 1627–1644. https://doi.org/10.1002/joc.2003</w:t>
      </w:r>
    </w:p>
    <w:p w:rsidR="00AC73B0" w:rsidRDefault="00AC73B0" w:rsidP="00AC73B0"/>
    <w:p w:rsidR="00AC73B0" w:rsidRDefault="00AC73B0"/>
    <w:sectPr w:rsidR="00AC73B0" w:rsidSect="00745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B0"/>
    <w:rsid w:val="001B7FEA"/>
    <w:rsid w:val="002A1A66"/>
    <w:rsid w:val="004745A6"/>
    <w:rsid w:val="00575F79"/>
    <w:rsid w:val="00745A8A"/>
    <w:rsid w:val="007B721F"/>
    <w:rsid w:val="00800C44"/>
    <w:rsid w:val="00830898"/>
    <w:rsid w:val="00907C6B"/>
    <w:rsid w:val="0097209F"/>
    <w:rsid w:val="009E6FDA"/>
    <w:rsid w:val="00A17B4C"/>
    <w:rsid w:val="00AA7A92"/>
    <w:rsid w:val="00AC73B0"/>
    <w:rsid w:val="00B67AD0"/>
    <w:rsid w:val="00CC4675"/>
    <w:rsid w:val="00CD33C0"/>
    <w:rsid w:val="00CF03B3"/>
    <w:rsid w:val="00E223AD"/>
    <w:rsid w:val="00ED49E8"/>
    <w:rsid w:val="00F9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3B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C73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C73B0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gcwxi2kcpjb">
    <w:name w:val="gcwxi2kcpjb"/>
    <w:basedOn w:val="DefaultParagraphFont"/>
    <w:rsid w:val="00AC73B0"/>
  </w:style>
  <w:style w:type="paragraph" w:styleId="NormalWeb">
    <w:name w:val="Normal (Web)"/>
    <w:basedOn w:val="Normal"/>
    <w:uiPriority w:val="99"/>
    <w:semiHidden/>
    <w:unhideWhenUsed/>
    <w:rsid w:val="00AC73B0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3B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C73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C73B0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gcwxi2kcpjb">
    <w:name w:val="gcwxi2kcpjb"/>
    <w:basedOn w:val="DefaultParagraphFont"/>
    <w:rsid w:val="00AC73B0"/>
  </w:style>
  <w:style w:type="paragraph" w:styleId="NormalWeb">
    <w:name w:val="Normal (Web)"/>
    <w:basedOn w:val="Normal"/>
    <w:uiPriority w:val="99"/>
    <w:semiHidden/>
    <w:unhideWhenUsed/>
    <w:rsid w:val="00AC73B0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841</Words>
  <Characters>4746</Characters>
  <Application>Microsoft Office Word</Application>
  <DocSecurity>0</DocSecurity>
  <Lines>226</Lines>
  <Paragraphs>133</Paragraphs>
  <ScaleCrop>false</ScaleCrop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JRETADA</dc:creator>
  <cp:lastModifiedBy>JRETADA</cp:lastModifiedBy>
  <cp:revision>1</cp:revision>
  <dcterms:created xsi:type="dcterms:W3CDTF">2018-03-29T06:01:00Z</dcterms:created>
  <dcterms:modified xsi:type="dcterms:W3CDTF">2018-03-29T06:07:00Z</dcterms:modified>
</cp:coreProperties>
</file>