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3895B" w14:textId="6F818A81" w:rsidR="00F11BA3" w:rsidRPr="00F11BA3" w:rsidRDefault="00F11BA3">
      <w:pPr>
        <w:rPr>
          <w:b/>
          <w:bCs/>
        </w:rPr>
      </w:pPr>
      <w:r w:rsidRPr="00F11BA3">
        <w:rPr>
          <w:b/>
          <w:bCs/>
        </w:rPr>
        <w:t>Table 1: Studies included in review</w:t>
      </w:r>
      <w:r>
        <w:rPr>
          <w:b/>
          <w:bCs/>
        </w:rPr>
        <w:t>.</w:t>
      </w: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581"/>
        <w:gridCol w:w="1193"/>
        <w:gridCol w:w="865"/>
        <w:gridCol w:w="1124"/>
        <w:gridCol w:w="1337"/>
        <w:gridCol w:w="1074"/>
        <w:gridCol w:w="1422"/>
        <w:gridCol w:w="989"/>
        <w:gridCol w:w="2756"/>
        <w:gridCol w:w="2756"/>
      </w:tblGrid>
      <w:tr w:rsidR="008B1F72" w:rsidRPr="008B1F72" w14:paraId="3E808564" w14:textId="77777777" w:rsidTr="00F11BA3">
        <w:trPr>
          <w:trHeight w:val="288"/>
        </w:trPr>
        <w:tc>
          <w:tcPr>
            <w:tcW w:w="1355" w:type="dxa"/>
            <w:shd w:val="clear" w:color="auto" w:fill="auto"/>
            <w:noWrap/>
            <w:vAlign w:val="bottom"/>
            <w:hideMark/>
          </w:tcPr>
          <w:p w14:paraId="2DA46C9B" w14:textId="77777777" w:rsidR="00D35F89" w:rsidRPr="00531F62" w:rsidRDefault="00D35F89" w:rsidP="00E740CA">
            <w:pPr>
              <w:spacing w:after="0" w:line="240" w:lineRule="auto"/>
              <w:jc w:val="left"/>
              <w:rPr>
                <w:rFonts w:ascii="Calibri" w:eastAsia="Times New Roman" w:hAnsi="Calibri" w:cs="Calibri"/>
                <w:b/>
                <w:bCs/>
                <w:sz w:val="18"/>
                <w:szCs w:val="18"/>
                <w:lang w:eastAsia="en-AU"/>
              </w:rPr>
            </w:pPr>
            <w:r w:rsidRPr="00531F62">
              <w:rPr>
                <w:rFonts w:ascii="Calibri" w:eastAsia="Times New Roman" w:hAnsi="Calibri" w:cs="Calibri"/>
                <w:b/>
                <w:bCs/>
                <w:sz w:val="18"/>
                <w:szCs w:val="18"/>
                <w:lang w:eastAsia="en-AU"/>
              </w:rPr>
              <w:t>Author</w:t>
            </w:r>
          </w:p>
        </w:tc>
        <w:tc>
          <w:tcPr>
            <w:tcW w:w="581" w:type="dxa"/>
            <w:shd w:val="clear" w:color="auto" w:fill="auto"/>
            <w:noWrap/>
            <w:vAlign w:val="bottom"/>
            <w:hideMark/>
          </w:tcPr>
          <w:p w14:paraId="17E7547F" w14:textId="77777777" w:rsidR="00D35F89" w:rsidRPr="00531F62" w:rsidRDefault="00D35F89" w:rsidP="00E740CA">
            <w:pPr>
              <w:spacing w:after="0" w:line="240" w:lineRule="auto"/>
              <w:jc w:val="left"/>
              <w:rPr>
                <w:rFonts w:ascii="Calibri" w:eastAsia="Times New Roman" w:hAnsi="Calibri" w:cs="Calibri"/>
                <w:b/>
                <w:bCs/>
                <w:sz w:val="18"/>
                <w:szCs w:val="18"/>
                <w:lang w:eastAsia="en-AU"/>
              </w:rPr>
            </w:pPr>
            <w:r w:rsidRPr="00531F62">
              <w:rPr>
                <w:rFonts w:ascii="Calibri" w:eastAsia="Times New Roman" w:hAnsi="Calibri" w:cs="Calibri"/>
                <w:b/>
                <w:bCs/>
                <w:sz w:val="18"/>
                <w:szCs w:val="18"/>
                <w:lang w:eastAsia="en-AU"/>
              </w:rPr>
              <w:t>Year</w:t>
            </w:r>
          </w:p>
        </w:tc>
        <w:tc>
          <w:tcPr>
            <w:tcW w:w="1193" w:type="dxa"/>
            <w:shd w:val="clear" w:color="auto" w:fill="auto"/>
            <w:noWrap/>
            <w:vAlign w:val="bottom"/>
            <w:hideMark/>
          </w:tcPr>
          <w:p w14:paraId="20A14BF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Location</w:t>
            </w:r>
          </w:p>
        </w:tc>
        <w:tc>
          <w:tcPr>
            <w:tcW w:w="865" w:type="dxa"/>
            <w:shd w:val="clear" w:color="auto" w:fill="auto"/>
            <w:noWrap/>
            <w:vAlign w:val="bottom"/>
            <w:hideMark/>
          </w:tcPr>
          <w:p w14:paraId="66EC865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Sample size</w:t>
            </w:r>
          </w:p>
        </w:tc>
        <w:tc>
          <w:tcPr>
            <w:tcW w:w="1124" w:type="dxa"/>
            <w:shd w:val="clear" w:color="auto" w:fill="auto"/>
            <w:noWrap/>
            <w:vAlign w:val="bottom"/>
            <w:hideMark/>
          </w:tcPr>
          <w:p w14:paraId="1AEBA81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Design</w:t>
            </w:r>
          </w:p>
        </w:tc>
        <w:tc>
          <w:tcPr>
            <w:tcW w:w="1337" w:type="dxa"/>
            <w:shd w:val="clear" w:color="auto" w:fill="auto"/>
            <w:noWrap/>
            <w:vAlign w:val="bottom"/>
            <w:hideMark/>
          </w:tcPr>
          <w:p w14:paraId="5D9CD31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Primary method</w:t>
            </w:r>
          </w:p>
        </w:tc>
        <w:tc>
          <w:tcPr>
            <w:tcW w:w="1074" w:type="dxa"/>
            <w:shd w:val="clear" w:color="auto" w:fill="auto"/>
            <w:noWrap/>
            <w:vAlign w:val="bottom"/>
            <w:hideMark/>
          </w:tcPr>
          <w:p w14:paraId="40FA44E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Population </w:t>
            </w:r>
          </w:p>
        </w:tc>
        <w:tc>
          <w:tcPr>
            <w:tcW w:w="1422" w:type="dxa"/>
            <w:shd w:val="clear" w:color="auto" w:fill="auto"/>
            <w:noWrap/>
            <w:vAlign w:val="bottom"/>
            <w:hideMark/>
          </w:tcPr>
          <w:p w14:paraId="1E664C99" w14:textId="17867563" w:rsidR="00D35F89" w:rsidRPr="00531F62" w:rsidRDefault="00D35F89" w:rsidP="00E740CA">
            <w:pPr>
              <w:spacing w:after="0" w:line="240" w:lineRule="auto"/>
              <w:jc w:val="left"/>
              <w:rPr>
                <w:rFonts w:ascii="Calibri" w:eastAsia="Times New Roman" w:hAnsi="Calibri" w:cs="Calibri"/>
                <w:sz w:val="18"/>
                <w:szCs w:val="18"/>
                <w:lang w:eastAsia="en-AU"/>
              </w:rPr>
            </w:pPr>
            <w:r w:rsidRPr="008B1F72">
              <w:rPr>
                <w:rFonts w:ascii="Calibri" w:eastAsia="Times New Roman" w:hAnsi="Calibri" w:cs="Calibri"/>
                <w:sz w:val="18"/>
                <w:szCs w:val="18"/>
                <w:lang w:eastAsia="en-AU"/>
              </w:rPr>
              <w:t>Collect food insecurity</w:t>
            </w:r>
          </w:p>
        </w:tc>
        <w:tc>
          <w:tcPr>
            <w:tcW w:w="989" w:type="dxa"/>
            <w:shd w:val="clear" w:color="auto" w:fill="auto"/>
            <w:noWrap/>
            <w:vAlign w:val="bottom"/>
            <w:hideMark/>
          </w:tcPr>
          <w:p w14:paraId="55955ACE" w14:textId="36DDD3D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prev food insecurity</w:t>
            </w:r>
          </w:p>
        </w:tc>
        <w:tc>
          <w:tcPr>
            <w:tcW w:w="2756" w:type="dxa"/>
            <w:shd w:val="clear" w:color="auto" w:fill="auto"/>
            <w:noWrap/>
            <w:vAlign w:val="bottom"/>
            <w:hideMark/>
          </w:tcPr>
          <w:p w14:paraId="5DC966C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Study aim</w:t>
            </w:r>
          </w:p>
        </w:tc>
        <w:tc>
          <w:tcPr>
            <w:tcW w:w="2756" w:type="dxa"/>
            <w:shd w:val="clear" w:color="auto" w:fill="auto"/>
            <w:noWrap/>
            <w:vAlign w:val="bottom"/>
            <w:hideMark/>
          </w:tcPr>
          <w:p w14:paraId="1278C73F" w14:textId="56B9B8C1" w:rsidR="00D35F89" w:rsidRPr="00531F62" w:rsidRDefault="008B1F72"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F</w:t>
            </w:r>
            <w:r w:rsidR="00D35F89" w:rsidRPr="00531F62">
              <w:rPr>
                <w:rFonts w:ascii="Calibri" w:eastAsia="Times New Roman" w:hAnsi="Calibri" w:cs="Calibri"/>
                <w:sz w:val="18"/>
                <w:szCs w:val="18"/>
                <w:lang w:eastAsia="en-AU"/>
              </w:rPr>
              <w:t>ood insecurity</w:t>
            </w:r>
            <w:r>
              <w:rPr>
                <w:rFonts w:ascii="Calibri" w:eastAsia="Times New Roman" w:hAnsi="Calibri" w:cs="Calibri"/>
                <w:sz w:val="18"/>
                <w:szCs w:val="18"/>
                <w:lang w:eastAsia="en-AU"/>
              </w:rPr>
              <w:t xml:space="preserve"> fi</w:t>
            </w:r>
            <w:r w:rsidR="00D35F89" w:rsidRPr="00531F62">
              <w:rPr>
                <w:rFonts w:ascii="Calibri" w:eastAsia="Times New Roman" w:hAnsi="Calibri" w:cs="Calibri"/>
                <w:sz w:val="18"/>
                <w:szCs w:val="18"/>
                <w:lang w:eastAsia="en-AU"/>
              </w:rPr>
              <w:t>ndings</w:t>
            </w:r>
          </w:p>
        </w:tc>
      </w:tr>
      <w:tr w:rsidR="008B1F72" w:rsidRPr="008B1F72" w14:paraId="1F5C5423" w14:textId="77777777" w:rsidTr="00F11BA3">
        <w:trPr>
          <w:trHeight w:val="300"/>
        </w:trPr>
        <w:tc>
          <w:tcPr>
            <w:tcW w:w="1355" w:type="dxa"/>
            <w:shd w:val="clear" w:color="auto" w:fill="auto"/>
            <w:noWrap/>
            <w:vAlign w:val="bottom"/>
            <w:hideMark/>
          </w:tcPr>
          <w:p w14:paraId="638A2E6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Agarwal</w:t>
            </w:r>
          </w:p>
        </w:tc>
        <w:tc>
          <w:tcPr>
            <w:tcW w:w="581" w:type="dxa"/>
            <w:shd w:val="clear" w:color="auto" w:fill="auto"/>
            <w:noWrap/>
            <w:vAlign w:val="bottom"/>
            <w:hideMark/>
          </w:tcPr>
          <w:p w14:paraId="472441C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2009</w:t>
            </w:r>
          </w:p>
        </w:tc>
        <w:tc>
          <w:tcPr>
            <w:tcW w:w="1193" w:type="dxa"/>
            <w:shd w:val="clear" w:color="auto" w:fill="auto"/>
            <w:noWrap/>
            <w:vAlign w:val="bottom"/>
            <w:hideMark/>
          </w:tcPr>
          <w:p w14:paraId="54FB2C07" w14:textId="28C426A0" w:rsidR="00D35F89" w:rsidRPr="00531F62" w:rsidRDefault="00D35F89" w:rsidP="008B1F72">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Delhi</w:t>
            </w:r>
          </w:p>
        </w:tc>
        <w:tc>
          <w:tcPr>
            <w:tcW w:w="865" w:type="dxa"/>
            <w:shd w:val="clear" w:color="auto" w:fill="auto"/>
            <w:noWrap/>
            <w:vAlign w:val="bottom"/>
            <w:hideMark/>
          </w:tcPr>
          <w:p w14:paraId="42D4FB1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410</w:t>
            </w:r>
          </w:p>
        </w:tc>
        <w:tc>
          <w:tcPr>
            <w:tcW w:w="1124" w:type="dxa"/>
            <w:shd w:val="clear" w:color="auto" w:fill="auto"/>
            <w:noWrap/>
            <w:vAlign w:val="bottom"/>
            <w:hideMark/>
          </w:tcPr>
          <w:p w14:paraId="7FB2309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71FF25B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Interviews</w:t>
            </w:r>
          </w:p>
        </w:tc>
        <w:tc>
          <w:tcPr>
            <w:tcW w:w="1074" w:type="dxa"/>
            <w:shd w:val="clear" w:color="auto" w:fill="auto"/>
            <w:noWrap/>
            <w:vAlign w:val="bottom"/>
            <w:hideMark/>
          </w:tcPr>
          <w:p w14:paraId="0FCF0E6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women</w:t>
            </w:r>
          </w:p>
        </w:tc>
        <w:tc>
          <w:tcPr>
            <w:tcW w:w="1422" w:type="dxa"/>
            <w:shd w:val="clear" w:color="auto" w:fill="auto"/>
            <w:noWrap/>
            <w:vAlign w:val="bottom"/>
            <w:hideMark/>
          </w:tcPr>
          <w:p w14:paraId="79C930E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 - 4 questions</w:t>
            </w:r>
          </w:p>
        </w:tc>
        <w:tc>
          <w:tcPr>
            <w:tcW w:w="989" w:type="dxa"/>
            <w:shd w:val="clear" w:color="auto" w:fill="auto"/>
            <w:noWrap/>
            <w:vAlign w:val="bottom"/>
            <w:hideMark/>
          </w:tcPr>
          <w:p w14:paraId="36650DA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51%</w:t>
            </w:r>
          </w:p>
        </w:tc>
        <w:tc>
          <w:tcPr>
            <w:tcW w:w="2756" w:type="dxa"/>
            <w:shd w:val="clear" w:color="auto" w:fill="auto"/>
            <w:noWrap/>
            <w:vAlign w:val="bottom"/>
            <w:hideMark/>
          </w:tcPr>
          <w:p w14:paraId="5DC9279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explore levels and determinants of experiential household food insecurity and economic access to food</w:t>
            </w:r>
          </w:p>
        </w:tc>
        <w:tc>
          <w:tcPr>
            <w:tcW w:w="2756" w:type="dxa"/>
            <w:shd w:val="clear" w:color="auto" w:fill="auto"/>
            <w:noWrap/>
            <w:vAlign w:val="bottom"/>
            <w:hideMark/>
          </w:tcPr>
          <w:p w14:paraId="0901A67A" w14:textId="71FA5691"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Half of urban slum dwellers were food insecure. </w:t>
            </w:r>
            <w:r w:rsidR="004F350E">
              <w:rPr>
                <w:rFonts w:ascii="Calibri" w:eastAsia="Times New Roman" w:hAnsi="Calibri" w:cs="Calibri"/>
                <w:sz w:val="18"/>
                <w:szCs w:val="18"/>
                <w:lang w:eastAsia="en-AU"/>
              </w:rPr>
              <w:t>P</w:t>
            </w:r>
            <w:r w:rsidRPr="00531F62">
              <w:rPr>
                <w:rFonts w:ascii="Calibri" w:eastAsia="Times New Roman" w:hAnsi="Calibri" w:cs="Calibri"/>
                <w:sz w:val="18"/>
                <w:szCs w:val="18"/>
                <w:lang w:eastAsia="en-AU"/>
              </w:rPr>
              <w:t>redictors of experienced household food insecurity are directly or indirectly related to low income.</w:t>
            </w:r>
          </w:p>
        </w:tc>
      </w:tr>
      <w:tr w:rsidR="008B1F72" w:rsidRPr="008B1F72" w14:paraId="01F4D3FA" w14:textId="77777777" w:rsidTr="00F11BA3">
        <w:trPr>
          <w:trHeight w:val="288"/>
        </w:trPr>
        <w:tc>
          <w:tcPr>
            <w:tcW w:w="1355" w:type="dxa"/>
            <w:shd w:val="clear" w:color="auto" w:fill="auto"/>
            <w:noWrap/>
            <w:vAlign w:val="bottom"/>
            <w:hideMark/>
          </w:tcPr>
          <w:p w14:paraId="341496E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Aguayo</w:t>
            </w:r>
          </w:p>
        </w:tc>
        <w:tc>
          <w:tcPr>
            <w:tcW w:w="581" w:type="dxa"/>
            <w:shd w:val="clear" w:color="auto" w:fill="auto"/>
            <w:noWrap/>
            <w:vAlign w:val="bottom"/>
            <w:hideMark/>
          </w:tcPr>
          <w:p w14:paraId="14EF2EF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2016</w:t>
            </w:r>
          </w:p>
        </w:tc>
        <w:tc>
          <w:tcPr>
            <w:tcW w:w="1193" w:type="dxa"/>
            <w:shd w:val="clear" w:color="auto" w:fill="auto"/>
            <w:noWrap/>
            <w:vAlign w:val="bottom"/>
            <w:hideMark/>
          </w:tcPr>
          <w:p w14:paraId="36E9489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Maharashtra</w:t>
            </w:r>
          </w:p>
        </w:tc>
        <w:tc>
          <w:tcPr>
            <w:tcW w:w="865" w:type="dxa"/>
            <w:shd w:val="clear" w:color="auto" w:fill="auto"/>
            <w:noWrap/>
            <w:vAlign w:val="bottom"/>
            <w:hideMark/>
          </w:tcPr>
          <w:p w14:paraId="2E91BB2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2630</w:t>
            </w:r>
          </w:p>
        </w:tc>
        <w:tc>
          <w:tcPr>
            <w:tcW w:w="1124" w:type="dxa"/>
            <w:shd w:val="clear" w:color="auto" w:fill="auto"/>
            <w:noWrap/>
            <w:vAlign w:val="bottom"/>
            <w:hideMark/>
          </w:tcPr>
          <w:p w14:paraId="27C627F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77F7927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03592DF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76E7E20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CNSM</w:t>
            </w:r>
          </w:p>
        </w:tc>
        <w:tc>
          <w:tcPr>
            <w:tcW w:w="989" w:type="dxa"/>
            <w:shd w:val="clear" w:color="auto" w:fill="auto"/>
            <w:noWrap/>
            <w:vAlign w:val="bottom"/>
            <w:hideMark/>
          </w:tcPr>
          <w:p w14:paraId="38D641E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43%</w:t>
            </w:r>
          </w:p>
        </w:tc>
        <w:tc>
          <w:tcPr>
            <w:tcW w:w="2756" w:type="dxa"/>
            <w:shd w:val="clear" w:color="auto" w:fill="auto"/>
            <w:noWrap/>
            <w:vAlign w:val="bottom"/>
            <w:hideMark/>
          </w:tcPr>
          <w:p w14:paraId="0EAB8A1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explore stunting in children and to identify policy, </w:t>
            </w:r>
            <w:proofErr w:type="gramStart"/>
            <w:r w:rsidRPr="00531F62">
              <w:rPr>
                <w:rFonts w:ascii="Calibri" w:eastAsia="Times New Roman" w:hAnsi="Calibri" w:cs="Calibri"/>
                <w:sz w:val="18"/>
                <w:szCs w:val="18"/>
                <w:lang w:eastAsia="en-AU"/>
              </w:rPr>
              <w:t>program</w:t>
            </w:r>
            <w:proofErr w:type="gramEnd"/>
            <w:r w:rsidRPr="00531F62">
              <w:rPr>
                <w:rFonts w:ascii="Calibri" w:eastAsia="Times New Roman" w:hAnsi="Calibri" w:cs="Calibri"/>
                <w:sz w:val="18"/>
                <w:szCs w:val="18"/>
                <w:lang w:eastAsia="en-AU"/>
              </w:rPr>
              <w:t xml:space="preserve"> and investment priorities</w:t>
            </w:r>
          </w:p>
        </w:tc>
        <w:tc>
          <w:tcPr>
            <w:tcW w:w="2756" w:type="dxa"/>
            <w:shd w:val="clear" w:color="auto" w:fill="auto"/>
            <w:noWrap/>
            <w:vAlign w:val="bottom"/>
            <w:hideMark/>
          </w:tcPr>
          <w:p w14:paraId="65DD9D9F" w14:textId="56E080B8" w:rsidR="00D35F89" w:rsidRPr="00531F62" w:rsidRDefault="004F350E"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 xml:space="preserve">Over half of households were </w:t>
            </w:r>
            <w:r w:rsidR="00D35F89" w:rsidRPr="00531F62">
              <w:rPr>
                <w:rFonts w:ascii="Calibri" w:eastAsia="Times New Roman" w:hAnsi="Calibri" w:cs="Calibri"/>
                <w:sz w:val="18"/>
                <w:szCs w:val="18"/>
                <w:lang w:eastAsia="en-AU"/>
              </w:rPr>
              <w:t>food secure</w:t>
            </w:r>
            <w:r>
              <w:rPr>
                <w:rFonts w:ascii="Calibri" w:eastAsia="Times New Roman" w:hAnsi="Calibri" w:cs="Calibri"/>
                <w:sz w:val="18"/>
                <w:szCs w:val="18"/>
                <w:lang w:eastAsia="en-AU"/>
              </w:rPr>
              <w:t>.</w:t>
            </w:r>
          </w:p>
        </w:tc>
      </w:tr>
      <w:tr w:rsidR="008B1F72" w:rsidRPr="008B1F72" w14:paraId="096839AE" w14:textId="77777777" w:rsidTr="00F11BA3">
        <w:trPr>
          <w:trHeight w:val="288"/>
        </w:trPr>
        <w:tc>
          <w:tcPr>
            <w:tcW w:w="1355" w:type="dxa"/>
            <w:shd w:val="clear" w:color="auto" w:fill="auto"/>
            <w:noWrap/>
            <w:vAlign w:val="bottom"/>
            <w:hideMark/>
          </w:tcPr>
          <w:p w14:paraId="2874D0E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Anand</w:t>
            </w:r>
          </w:p>
        </w:tc>
        <w:tc>
          <w:tcPr>
            <w:tcW w:w="581" w:type="dxa"/>
            <w:shd w:val="clear" w:color="auto" w:fill="auto"/>
            <w:noWrap/>
            <w:vAlign w:val="bottom"/>
            <w:hideMark/>
          </w:tcPr>
          <w:p w14:paraId="247FC2E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5466031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Bangalore</w:t>
            </w:r>
          </w:p>
        </w:tc>
        <w:tc>
          <w:tcPr>
            <w:tcW w:w="865" w:type="dxa"/>
            <w:shd w:val="clear" w:color="auto" w:fill="auto"/>
            <w:noWrap/>
            <w:vAlign w:val="bottom"/>
            <w:hideMark/>
          </w:tcPr>
          <w:p w14:paraId="6891995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1698</w:t>
            </w:r>
          </w:p>
        </w:tc>
        <w:tc>
          <w:tcPr>
            <w:tcW w:w="1124" w:type="dxa"/>
            <w:shd w:val="clear" w:color="auto" w:fill="auto"/>
            <w:noWrap/>
            <w:vAlign w:val="bottom"/>
            <w:hideMark/>
          </w:tcPr>
          <w:p w14:paraId="34B5895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362681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56FA84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7F3307C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63BF1DE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19%</w:t>
            </w:r>
          </w:p>
        </w:tc>
        <w:tc>
          <w:tcPr>
            <w:tcW w:w="2756" w:type="dxa"/>
            <w:shd w:val="clear" w:color="auto" w:fill="auto"/>
            <w:noWrap/>
            <w:vAlign w:val="bottom"/>
            <w:hideMark/>
          </w:tcPr>
          <w:p w14:paraId="35EB56C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explore food security status in Bangalore</w:t>
            </w:r>
          </w:p>
        </w:tc>
        <w:tc>
          <w:tcPr>
            <w:tcW w:w="2756" w:type="dxa"/>
            <w:shd w:val="clear" w:color="auto" w:fill="auto"/>
            <w:noWrap/>
            <w:vAlign w:val="bottom"/>
            <w:hideMark/>
          </w:tcPr>
          <w:p w14:paraId="206CCFAF" w14:textId="000FED3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The prevalence of food insecurity in </w:t>
            </w:r>
            <w:r w:rsidR="004F350E">
              <w:rPr>
                <w:rFonts w:ascii="Calibri" w:eastAsia="Times New Roman" w:hAnsi="Calibri" w:cs="Calibri"/>
                <w:sz w:val="18"/>
                <w:szCs w:val="18"/>
                <w:lang w:eastAsia="en-AU"/>
              </w:rPr>
              <w:t xml:space="preserve">this study </w:t>
            </w:r>
            <w:r w:rsidRPr="00531F62">
              <w:rPr>
                <w:rFonts w:ascii="Calibri" w:eastAsia="Times New Roman" w:hAnsi="Calibri" w:cs="Calibri"/>
                <w:sz w:val="18"/>
                <w:szCs w:val="18"/>
                <w:lang w:eastAsia="en-AU"/>
              </w:rPr>
              <w:t>is in line with other estimates</w:t>
            </w:r>
            <w:r w:rsidR="00A22A98">
              <w:rPr>
                <w:rFonts w:ascii="Calibri" w:eastAsia="Times New Roman" w:hAnsi="Calibri" w:cs="Calibri"/>
                <w:sz w:val="18"/>
                <w:szCs w:val="18"/>
                <w:lang w:eastAsia="en-AU"/>
              </w:rPr>
              <w:t xml:space="preserve">. </w:t>
            </w:r>
            <w:r w:rsidRPr="00531F62">
              <w:rPr>
                <w:rFonts w:ascii="Calibri" w:eastAsia="Times New Roman" w:hAnsi="Calibri" w:cs="Calibri"/>
                <w:sz w:val="18"/>
                <w:szCs w:val="18"/>
                <w:lang w:eastAsia="en-AU"/>
              </w:rPr>
              <w:t xml:space="preserve">Food insecurity is related to income and diet diversity. Female headed households are more </w:t>
            </w:r>
            <w:r w:rsidR="00A22A98" w:rsidRPr="00531F62">
              <w:rPr>
                <w:rFonts w:ascii="Calibri" w:eastAsia="Times New Roman" w:hAnsi="Calibri" w:cs="Calibri"/>
                <w:sz w:val="18"/>
                <w:szCs w:val="18"/>
                <w:lang w:eastAsia="en-AU"/>
              </w:rPr>
              <w:t>likely</w:t>
            </w:r>
            <w:r w:rsidRPr="00531F62">
              <w:rPr>
                <w:rFonts w:ascii="Calibri" w:eastAsia="Times New Roman" w:hAnsi="Calibri" w:cs="Calibri"/>
                <w:sz w:val="18"/>
                <w:szCs w:val="18"/>
                <w:lang w:eastAsia="en-AU"/>
              </w:rPr>
              <w:t xml:space="preserve"> to be food insecure. </w:t>
            </w:r>
          </w:p>
        </w:tc>
      </w:tr>
      <w:tr w:rsidR="008B1F72" w:rsidRPr="008B1F72" w14:paraId="0F774289" w14:textId="77777777" w:rsidTr="00F11BA3">
        <w:trPr>
          <w:trHeight w:val="288"/>
        </w:trPr>
        <w:tc>
          <w:tcPr>
            <w:tcW w:w="1355" w:type="dxa"/>
            <w:shd w:val="clear" w:color="auto" w:fill="auto"/>
            <w:noWrap/>
            <w:vAlign w:val="bottom"/>
            <w:hideMark/>
          </w:tcPr>
          <w:p w14:paraId="7E79782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Anjani</w:t>
            </w:r>
          </w:p>
        </w:tc>
        <w:tc>
          <w:tcPr>
            <w:tcW w:w="581" w:type="dxa"/>
            <w:shd w:val="clear" w:color="auto" w:fill="auto"/>
            <w:noWrap/>
            <w:vAlign w:val="bottom"/>
            <w:hideMark/>
          </w:tcPr>
          <w:p w14:paraId="1503C6B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2012</w:t>
            </w:r>
          </w:p>
        </w:tc>
        <w:tc>
          <w:tcPr>
            <w:tcW w:w="1193" w:type="dxa"/>
            <w:shd w:val="clear" w:color="auto" w:fill="auto"/>
            <w:noWrap/>
            <w:vAlign w:val="bottom"/>
            <w:hideMark/>
          </w:tcPr>
          <w:p w14:paraId="4CEA294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India</w:t>
            </w:r>
          </w:p>
        </w:tc>
        <w:tc>
          <w:tcPr>
            <w:tcW w:w="865" w:type="dxa"/>
            <w:shd w:val="clear" w:color="auto" w:fill="auto"/>
            <w:noWrap/>
            <w:vAlign w:val="bottom"/>
            <w:hideMark/>
          </w:tcPr>
          <w:p w14:paraId="4E3E4C6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100,000</w:t>
            </w:r>
          </w:p>
        </w:tc>
        <w:tc>
          <w:tcPr>
            <w:tcW w:w="1124" w:type="dxa"/>
            <w:shd w:val="clear" w:color="auto" w:fill="auto"/>
            <w:noWrap/>
            <w:vAlign w:val="bottom"/>
            <w:hideMark/>
          </w:tcPr>
          <w:p w14:paraId="4704F8E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Longitudinal</w:t>
            </w:r>
          </w:p>
        </w:tc>
        <w:tc>
          <w:tcPr>
            <w:tcW w:w="1337" w:type="dxa"/>
            <w:shd w:val="clear" w:color="auto" w:fill="auto"/>
            <w:noWrap/>
            <w:vAlign w:val="bottom"/>
            <w:hideMark/>
          </w:tcPr>
          <w:p w14:paraId="24CEBE8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3F98265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0B255C3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NSS</w:t>
            </w:r>
          </w:p>
        </w:tc>
        <w:tc>
          <w:tcPr>
            <w:tcW w:w="989" w:type="dxa"/>
            <w:shd w:val="clear" w:color="auto" w:fill="auto"/>
            <w:noWrap/>
            <w:vAlign w:val="bottom"/>
            <w:hideMark/>
          </w:tcPr>
          <w:p w14:paraId="334EA48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6B0AE25A" w14:textId="1E03E90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examine food supply, access to food and nutritional security, and policies to address food security</w:t>
            </w:r>
          </w:p>
        </w:tc>
        <w:tc>
          <w:tcPr>
            <w:tcW w:w="2756" w:type="dxa"/>
            <w:shd w:val="clear" w:color="auto" w:fill="auto"/>
            <w:noWrap/>
            <w:vAlign w:val="bottom"/>
            <w:hideMark/>
          </w:tcPr>
          <w:p w14:paraId="1B9A7495" w14:textId="7E0D1845"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Calorie and protein consumption have declined in rural areas but increased in urban areas over the study period. In poor households, calorie consumption increased marginally. Hunger over the study period declined.</w:t>
            </w:r>
          </w:p>
        </w:tc>
      </w:tr>
      <w:tr w:rsidR="008B1F72" w:rsidRPr="008B1F72" w14:paraId="48CBA5E7" w14:textId="77777777" w:rsidTr="00F11BA3">
        <w:trPr>
          <w:trHeight w:val="288"/>
        </w:trPr>
        <w:tc>
          <w:tcPr>
            <w:tcW w:w="1355" w:type="dxa"/>
            <w:shd w:val="clear" w:color="auto" w:fill="auto"/>
            <w:noWrap/>
            <w:vAlign w:val="bottom"/>
            <w:hideMark/>
          </w:tcPr>
          <w:p w14:paraId="6D40436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Aurino</w:t>
            </w:r>
          </w:p>
        </w:tc>
        <w:tc>
          <w:tcPr>
            <w:tcW w:w="581" w:type="dxa"/>
            <w:shd w:val="clear" w:color="auto" w:fill="auto"/>
            <w:noWrap/>
            <w:vAlign w:val="bottom"/>
            <w:hideMark/>
          </w:tcPr>
          <w:p w14:paraId="5566CB1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2018</w:t>
            </w:r>
          </w:p>
        </w:tc>
        <w:tc>
          <w:tcPr>
            <w:tcW w:w="1193" w:type="dxa"/>
            <w:shd w:val="clear" w:color="auto" w:fill="auto"/>
            <w:noWrap/>
            <w:vAlign w:val="bottom"/>
            <w:hideMark/>
          </w:tcPr>
          <w:p w14:paraId="638B0BB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Andhra Pradesh and Telangana</w:t>
            </w:r>
          </w:p>
        </w:tc>
        <w:tc>
          <w:tcPr>
            <w:tcW w:w="865" w:type="dxa"/>
            <w:shd w:val="clear" w:color="auto" w:fill="auto"/>
            <w:noWrap/>
            <w:vAlign w:val="bottom"/>
            <w:hideMark/>
          </w:tcPr>
          <w:p w14:paraId="684E940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3000</w:t>
            </w:r>
          </w:p>
        </w:tc>
        <w:tc>
          <w:tcPr>
            <w:tcW w:w="1124" w:type="dxa"/>
            <w:shd w:val="clear" w:color="auto" w:fill="auto"/>
            <w:noWrap/>
            <w:vAlign w:val="bottom"/>
            <w:hideMark/>
          </w:tcPr>
          <w:p w14:paraId="29918AC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Longitudinal</w:t>
            </w:r>
          </w:p>
        </w:tc>
        <w:tc>
          <w:tcPr>
            <w:tcW w:w="1337" w:type="dxa"/>
            <w:shd w:val="clear" w:color="auto" w:fill="auto"/>
            <w:noWrap/>
            <w:vAlign w:val="bottom"/>
            <w:hideMark/>
          </w:tcPr>
          <w:p w14:paraId="4F8539D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0A1BE9F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2A605F3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4E318AA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5DA057E5" w14:textId="1710887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investigate the relation between household food insecurity and child diet</w:t>
            </w:r>
          </w:p>
        </w:tc>
        <w:tc>
          <w:tcPr>
            <w:tcW w:w="2756" w:type="dxa"/>
            <w:shd w:val="clear" w:color="auto" w:fill="auto"/>
            <w:noWrap/>
            <w:vAlign w:val="bottom"/>
            <w:hideMark/>
          </w:tcPr>
          <w:p w14:paraId="6B58CD5F" w14:textId="6EF16ABF"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 identi</w:t>
            </w:r>
            <w:r w:rsidR="00A22A98">
              <w:rPr>
                <w:rFonts w:ascii="Calibri" w:eastAsia="Times New Roman" w:hAnsi="Calibri" w:cs="Calibri"/>
                <w:sz w:val="18"/>
                <w:szCs w:val="18"/>
                <w:lang w:eastAsia="en-AU"/>
              </w:rPr>
              <w:t xml:space="preserve">fied </w:t>
            </w:r>
            <w:r w:rsidRPr="00531F62">
              <w:rPr>
                <w:rFonts w:ascii="Calibri" w:eastAsia="Times New Roman" w:hAnsi="Calibri" w:cs="Calibri"/>
                <w:sz w:val="18"/>
                <w:szCs w:val="18"/>
                <w:lang w:eastAsia="en-AU"/>
              </w:rPr>
              <w:t>dietary quality as a critical dimension of their well-being. Children were able to describe and explain the food security challenges of their families and recognize the negative consequences of household food insecurity on their diets, health</w:t>
            </w:r>
            <w:r w:rsidR="00A22A98">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 and education. </w:t>
            </w:r>
          </w:p>
        </w:tc>
      </w:tr>
      <w:tr w:rsidR="008B1F72" w:rsidRPr="008B1F72" w14:paraId="40DB2FC7" w14:textId="77777777" w:rsidTr="00F11BA3">
        <w:trPr>
          <w:trHeight w:val="288"/>
        </w:trPr>
        <w:tc>
          <w:tcPr>
            <w:tcW w:w="1355" w:type="dxa"/>
            <w:shd w:val="clear" w:color="auto" w:fill="auto"/>
            <w:noWrap/>
            <w:vAlign w:val="bottom"/>
            <w:hideMark/>
          </w:tcPr>
          <w:p w14:paraId="47A87A7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Aurino</w:t>
            </w:r>
          </w:p>
        </w:tc>
        <w:tc>
          <w:tcPr>
            <w:tcW w:w="581" w:type="dxa"/>
            <w:shd w:val="clear" w:color="auto" w:fill="auto"/>
            <w:noWrap/>
            <w:vAlign w:val="bottom"/>
            <w:hideMark/>
          </w:tcPr>
          <w:p w14:paraId="256E0DA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0A0DA56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Andhra Pradesh </w:t>
            </w:r>
          </w:p>
        </w:tc>
        <w:tc>
          <w:tcPr>
            <w:tcW w:w="865" w:type="dxa"/>
            <w:shd w:val="clear" w:color="auto" w:fill="auto"/>
            <w:noWrap/>
            <w:vAlign w:val="bottom"/>
            <w:hideMark/>
          </w:tcPr>
          <w:p w14:paraId="488EC73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1911</w:t>
            </w:r>
          </w:p>
        </w:tc>
        <w:tc>
          <w:tcPr>
            <w:tcW w:w="1124" w:type="dxa"/>
            <w:shd w:val="clear" w:color="auto" w:fill="auto"/>
            <w:noWrap/>
            <w:vAlign w:val="bottom"/>
            <w:hideMark/>
          </w:tcPr>
          <w:p w14:paraId="287E6E2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Longitudinal</w:t>
            </w:r>
          </w:p>
        </w:tc>
        <w:tc>
          <w:tcPr>
            <w:tcW w:w="1337" w:type="dxa"/>
            <w:shd w:val="clear" w:color="auto" w:fill="auto"/>
            <w:noWrap/>
            <w:vAlign w:val="bottom"/>
            <w:hideMark/>
          </w:tcPr>
          <w:p w14:paraId="1555168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Secondary survey data analysis from the Young Lives - multi country study </w:t>
            </w:r>
          </w:p>
        </w:tc>
        <w:tc>
          <w:tcPr>
            <w:tcW w:w="1074" w:type="dxa"/>
            <w:shd w:val="clear" w:color="auto" w:fill="auto"/>
            <w:noWrap/>
            <w:vAlign w:val="bottom"/>
            <w:hideMark/>
          </w:tcPr>
          <w:p w14:paraId="58880D2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7C032B9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20AC760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45%</w:t>
            </w:r>
          </w:p>
        </w:tc>
        <w:tc>
          <w:tcPr>
            <w:tcW w:w="2756" w:type="dxa"/>
            <w:shd w:val="clear" w:color="auto" w:fill="auto"/>
            <w:noWrap/>
            <w:vAlign w:val="bottom"/>
            <w:hideMark/>
          </w:tcPr>
          <w:p w14:paraId="1337F416" w14:textId="723AC1F0"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w:t>
            </w:r>
            <w:r w:rsidR="00E740CA" w:rsidRPr="008B1F72">
              <w:rPr>
                <w:rFonts w:ascii="Calibri" w:eastAsia="Times New Roman" w:hAnsi="Calibri" w:cs="Calibri"/>
                <w:sz w:val="18"/>
                <w:szCs w:val="18"/>
                <w:lang w:eastAsia="en-AU"/>
              </w:rPr>
              <w:t>assess</w:t>
            </w:r>
            <w:r w:rsidRPr="00531F62">
              <w:rPr>
                <w:rFonts w:ascii="Calibri" w:eastAsia="Times New Roman" w:hAnsi="Calibri" w:cs="Calibri"/>
                <w:sz w:val="18"/>
                <w:szCs w:val="18"/>
                <w:lang w:eastAsia="en-AU"/>
              </w:rPr>
              <w:t xml:space="preserve"> inequalities in learning and household food security</w:t>
            </w:r>
          </w:p>
        </w:tc>
        <w:tc>
          <w:tcPr>
            <w:tcW w:w="2756" w:type="dxa"/>
            <w:shd w:val="clear" w:color="auto" w:fill="auto"/>
            <w:noWrap/>
            <w:vAlign w:val="bottom"/>
            <w:hideMark/>
          </w:tcPr>
          <w:p w14:paraId="649B9CCC" w14:textId="39ADF2E1"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Overall, household food security at any age predicted lower vocabulary, reading, maths and English scores in early adolescence. Adolescents form households with chronic food insecurity had the lowest scores across all learning </w:t>
            </w:r>
            <w:r w:rsidR="00FF226D" w:rsidRPr="00531F62">
              <w:rPr>
                <w:rFonts w:ascii="Calibri" w:eastAsia="Times New Roman" w:hAnsi="Calibri" w:cs="Calibri"/>
                <w:sz w:val="18"/>
                <w:szCs w:val="18"/>
                <w:lang w:eastAsia="en-AU"/>
              </w:rPr>
              <w:t>outcomes</w:t>
            </w:r>
            <w:r w:rsidRPr="00531F62">
              <w:rPr>
                <w:rFonts w:ascii="Calibri" w:eastAsia="Times New Roman" w:hAnsi="Calibri" w:cs="Calibri"/>
                <w:sz w:val="18"/>
                <w:szCs w:val="18"/>
                <w:lang w:eastAsia="en-AU"/>
              </w:rPr>
              <w:t xml:space="preserve">. </w:t>
            </w:r>
            <w:r w:rsidR="00FF226D" w:rsidRPr="00531F62">
              <w:rPr>
                <w:rFonts w:ascii="Calibri" w:eastAsia="Times New Roman" w:hAnsi="Calibri" w:cs="Calibri"/>
                <w:sz w:val="18"/>
                <w:szCs w:val="18"/>
                <w:lang w:eastAsia="en-AU"/>
              </w:rPr>
              <w:t>Identification</w:t>
            </w:r>
            <w:r w:rsidRPr="00531F62">
              <w:rPr>
                <w:rFonts w:ascii="Calibri" w:eastAsia="Times New Roman" w:hAnsi="Calibri" w:cs="Calibri"/>
                <w:sz w:val="18"/>
                <w:szCs w:val="18"/>
                <w:lang w:eastAsia="en-AU"/>
              </w:rPr>
              <w:t xml:space="preserve"> of necessary approaches needed to target food insecure households to optimise learning and cognitive ability. Wealth was also related to food insecurity as only 34% of households in the lowest wealth quartile </w:t>
            </w:r>
            <w:proofErr w:type="gramStart"/>
            <w:r w:rsidRPr="00531F62">
              <w:rPr>
                <w:rFonts w:ascii="Calibri" w:eastAsia="Times New Roman" w:hAnsi="Calibri" w:cs="Calibri"/>
                <w:sz w:val="18"/>
                <w:szCs w:val="18"/>
                <w:lang w:eastAsia="en-AU"/>
              </w:rPr>
              <w:t>were</w:t>
            </w:r>
            <w:proofErr w:type="gramEnd"/>
            <w:r w:rsidRPr="00531F62">
              <w:rPr>
                <w:rFonts w:ascii="Calibri" w:eastAsia="Times New Roman" w:hAnsi="Calibri" w:cs="Calibri"/>
                <w:sz w:val="18"/>
                <w:szCs w:val="18"/>
                <w:lang w:eastAsia="en-AU"/>
              </w:rPr>
              <w:t xml:space="preserve"> food secure at all three time points while 83% of top wealth quartile households were food secure at all three time points </w:t>
            </w:r>
          </w:p>
        </w:tc>
      </w:tr>
      <w:tr w:rsidR="008B1F72" w:rsidRPr="008B1F72" w14:paraId="16F7A789" w14:textId="77777777" w:rsidTr="00F11BA3">
        <w:trPr>
          <w:trHeight w:val="288"/>
        </w:trPr>
        <w:tc>
          <w:tcPr>
            <w:tcW w:w="1355" w:type="dxa"/>
            <w:shd w:val="clear" w:color="auto" w:fill="auto"/>
            <w:noWrap/>
            <w:vAlign w:val="bottom"/>
            <w:hideMark/>
          </w:tcPr>
          <w:p w14:paraId="33C4ADD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Ayiraveetil</w:t>
            </w:r>
          </w:p>
        </w:tc>
        <w:tc>
          <w:tcPr>
            <w:tcW w:w="581" w:type="dxa"/>
            <w:shd w:val="clear" w:color="auto" w:fill="auto"/>
            <w:noWrap/>
            <w:vAlign w:val="bottom"/>
            <w:hideMark/>
          </w:tcPr>
          <w:p w14:paraId="1B4D4AE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2020</w:t>
            </w:r>
          </w:p>
        </w:tc>
        <w:tc>
          <w:tcPr>
            <w:tcW w:w="1193" w:type="dxa"/>
            <w:shd w:val="clear" w:color="auto" w:fill="auto"/>
            <w:noWrap/>
            <w:vAlign w:val="bottom"/>
            <w:hideMark/>
          </w:tcPr>
          <w:p w14:paraId="7F3F2BD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South India </w:t>
            </w:r>
          </w:p>
        </w:tc>
        <w:tc>
          <w:tcPr>
            <w:tcW w:w="865" w:type="dxa"/>
            <w:shd w:val="clear" w:color="auto" w:fill="auto"/>
            <w:noWrap/>
            <w:vAlign w:val="bottom"/>
            <w:hideMark/>
          </w:tcPr>
          <w:p w14:paraId="3581286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765</w:t>
            </w:r>
          </w:p>
        </w:tc>
        <w:tc>
          <w:tcPr>
            <w:tcW w:w="1124" w:type="dxa"/>
            <w:shd w:val="clear" w:color="auto" w:fill="auto"/>
            <w:noWrap/>
            <w:vAlign w:val="bottom"/>
            <w:hideMark/>
          </w:tcPr>
          <w:p w14:paraId="36F8B14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7DB65FF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1B36A03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43F9034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42FEB5B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34.10%</w:t>
            </w:r>
          </w:p>
        </w:tc>
        <w:tc>
          <w:tcPr>
            <w:tcW w:w="2756" w:type="dxa"/>
            <w:shd w:val="clear" w:color="auto" w:fill="auto"/>
            <w:noWrap/>
            <w:vAlign w:val="bottom"/>
            <w:hideMark/>
          </w:tcPr>
          <w:p w14:paraId="408E3D4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determine level of household food insecurity and its associated factors in patients with pulmonary tuberculosis</w:t>
            </w:r>
          </w:p>
        </w:tc>
        <w:tc>
          <w:tcPr>
            <w:tcW w:w="2756" w:type="dxa"/>
            <w:shd w:val="clear" w:color="auto" w:fill="auto"/>
            <w:noWrap/>
            <w:vAlign w:val="bottom"/>
            <w:hideMark/>
          </w:tcPr>
          <w:p w14:paraId="2BD14959" w14:textId="3E2CD6AD"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Monthly household income less than 3000 rupees, and empl</w:t>
            </w:r>
            <w:r w:rsidR="00FF226D">
              <w:rPr>
                <w:rFonts w:ascii="Calibri" w:eastAsia="Times New Roman" w:hAnsi="Calibri" w:cs="Calibri"/>
                <w:sz w:val="18"/>
                <w:szCs w:val="18"/>
                <w:lang w:eastAsia="en-AU"/>
              </w:rPr>
              <w:t>o</w:t>
            </w:r>
            <w:r w:rsidRPr="00531F62">
              <w:rPr>
                <w:rFonts w:ascii="Calibri" w:eastAsia="Times New Roman" w:hAnsi="Calibri" w:cs="Calibri"/>
                <w:sz w:val="18"/>
                <w:szCs w:val="18"/>
                <w:lang w:eastAsia="en-AU"/>
              </w:rPr>
              <w:t>yment were independently associated with food insecurity</w:t>
            </w:r>
            <w:r w:rsidR="00FF226D">
              <w:rPr>
                <w:rFonts w:ascii="Calibri" w:eastAsia="Times New Roman" w:hAnsi="Calibri" w:cs="Calibri"/>
                <w:sz w:val="18"/>
                <w:szCs w:val="18"/>
                <w:lang w:eastAsia="en-AU"/>
              </w:rPr>
              <w:t>.</w:t>
            </w:r>
          </w:p>
        </w:tc>
      </w:tr>
      <w:tr w:rsidR="008B1F72" w:rsidRPr="008B1F72" w14:paraId="79BBD997" w14:textId="77777777" w:rsidTr="00F11BA3">
        <w:trPr>
          <w:trHeight w:val="288"/>
        </w:trPr>
        <w:tc>
          <w:tcPr>
            <w:tcW w:w="1355" w:type="dxa"/>
            <w:shd w:val="clear" w:color="auto" w:fill="auto"/>
            <w:noWrap/>
            <w:vAlign w:val="bottom"/>
            <w:hideMark/>
          </w:tcPr>
          <w:p w14:paraId="35E3023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Bagchi</w:t>
            </w:r>
          </w:p>
        </w:tc>
        <w:tc>
          <w:tcPr>
            <w:tcW w:w="581" w:type="dxa"/>
            <w:shd w:val="clear" w:color="auto" w:fill="auto"/>
            <w:noWrap/>
            <w:vAlign w:val="bottom"/>
            <w:hideMark/>
          </w:tcPr>
          <w:p w14:paraId="60D8005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2018</w:t>
            </w:r>
          </w:p>
        </w:tc>
        <w:tc>
          <w:tcPr>
            <w:tcW w:w="1193" w:type="dxa"/>
            <w:shd w:val="clear" w:color="auto" w:fill="auto"/>
            <w:noWrap/>
            <w:vAlign w:val="bottom"/>
            <w:hideMark/>
          </w:tcPr>
          <w:p w14:paraId="5991208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West Bengal </w:t>
            </w:r>
          </w:p>
        </w:tc>
        <w:tc>
          <w:tcPr>
            <w:tcW w:w="865" w:type="dxa"/>
            <w:shd w:val="clear" w:color="auto" w:fill="auto"/>
            <w:noWrap/>
            <w:vAlign w:val="bottom"/>
            <w:hideMark/>
          </w:tcPr>
          <w:p w14:paraId="2F9ACE7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257</w:t>
            </w:r>
          </w:p>
        </w:tc>
        <w:tc>
          <w:tcPr>
            <w:tcW w:w="1124" w:type="dxa"/>
            <w:shd w:val="clear" w:color="auto" w:fill="auto"/>
            <w:noWrap/>
            <w:vAlign w:val="bottom"/>
            <w:hideMark/>
          </w:tcPr>
          <w:p w14:paraId="60EF6DC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Cross sectional </w:t>
            </w:r>
          </w:p>
        </w:tc>
        <w:tc>
          <w:tcPr>
            <w:tcW w:w="1337" w:type="dxa"/>
            <w:shd w:val="clear" w:color="auto" w:fill="auto"/>
            <w:noWrap/>
            <w:vAlign w:val="bottom"/>
            <w:hideMark/>
          </w:tcPr>
          <w:p w14:paraId="5C52DD6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Survey </w:t>
            </w:r>
          </w:p>
        </w:tc>
        <w:tc>
          <w:tcPr>
            <w:tcW w:w="1074" w:type="dxa"/>
            <w:shd w:val="clear" w:color="auto" w:fill="auto"/>
            <w:noWrap/>
            <w:vAlign w:val="bottom"/>
            <w:hideMark/>
          </w:tcPr>
          <w:p w14:paraId="5EF175E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10D6F6A4" w14:textId="16C1CE41"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Proxy - Per capita consumption expenditure </w:t>
            </w:r>
          </w:p>
        </w:tc>
        <w:tc>
          <w:tcPr>
            <w:tcW w:w="989" w:type="dxa"/>
            <w:shd w:val="clear" w:color="auto" w:fill="auto"/>
            <w:noWrap/>
            <w:vAlign w:val="bottom"/>
            <w:hideMark/>
          </w:tcPr>
          <w:p w14:paraId="21C0A0D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15.30%</w:t>
            </w:r>
          </w:p>
        </w:tc>
        <w:tc>
          <w:tcPr>
            <w:tcW w:w="2756" w:type="dxa"/>
            <w:shd w:val="clear" w:color="auto" w:fill="auto"/>
            <w:noWrap/>
            <w:vAlign w:val="bottom"/>
            <w:hideMark/>
          </w:tcPr>
          <w:p w14:paraId="75E7E2FF" w14:textId="440413C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the incidence, depth</w:t>
            </w:r>
            <w:r w:rsidR="00BE057A" w:rsidRPr="008B1F72">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 and severity of food inaccessibility</w:t>
            </w:r>
          </w:p>
        </w:tc>
        <w:tc>
          <w:tcPr>
            <w:tcW w:w="2756" w:type="dxa"/>
            <w:shd w:val="clear" w:color="auto" w:fill="auto"/>
            <w:noWrap/>
            <w:vAlign w:val="bottom"/>
            <w:hideMark/>
          </w:tcPr>
          <w:p w14:paraId="5BFC50FD" w14:textId="7F34B40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Signif</w:t>
            </w:r>
            <w:r w:rsidR="0058366E">
              <w:rPr>
                <w:rFonts w:ascii="Calibri" w:eastAsia="Times New Roman" w:hAnsi="Calibri" w:cs="Calibri"/>
                <w:sz w:val="18"/>
                <w:szCs w:val="18"/>
                <w:lang w:eastAsia="en-AU"/>
              </w:rPr>
              <w:t>i</w:t>
            </w:r>
            <w:r w:rsidRPr="00531F62">
              <w:rPr>
                <w:rFonts w:ascii="Calibri" w:eastAsia="Times New Roman" w:hAnsi="Calibri" w:cs="Calibri"/>
                <w:sz w:val="18"/>
                <w:szCs w:val="18"/>
                <w:lang w:eastAsia="en-AU"/>
              </w:rPr>
              <w:t xml:space="preserve">cant proportion of households with zero operational land and marginal farmers do not have food accessibility. 15.33% of households in the three villages of Birbhum, West Bengal do not </w:t>
            </w:r>
            <w:proofErr w:type="gramStart"/>
            <w:r w:rsidRPr="00531F62">
              <w:rPr>
                <w:rFonts w:ascii="Calibri" w:eastAsia="Times New Roman" w:hAnsi="Calibri" w:cs="Calibri"/>
                <w:sz w:val="18"/>
                <w:szCs w:val="18"/>
                <w:lang w:eastAsia="en-AU"/>
              </w:rPr>
              <w:t>had</w:t>
            </w:r>
            <w:proofErr w:type="gramEnd"/>
            <w:r w:rsidRPr="00531F62">
              <w:rPr>
                <w:rFonts w:ascii="Calibri" w:eastAsia="Times New Roman" w:hAnsi="Calibri" w:cs="Calibri"/>
                <w:sz w:val="18"/>
                <w:szCs w:val="18"/>
                <w:lang w:eastAsia="en-AU"/>
              </w:rPr>
              <w:t xml:space="preserve"> food access.</w:t>
            </w:r>
          </w:p>
        </w:tc>
      </w:tr>
      <w:tr w:rsidR="008B1F72" w:rsidRPr="008B1F72" w14:paraId="3BDB8ADD" w14:textId="77777777" w:rsidTr="00F11BA3">
        <w:trPr>
          <w:trHeight w:val="288"/>
        </w:trPr>
        <w:tc>
          <w:tcPr>
            <w:tcW w:w="1355" w:type="dxa"/>
            <w:shd w:val="clear" w:color="auto" w:fill="auto"/>
            <w:noWrap/>
            <w:vAlign w:val="bottom"/>
            <w:hideMark/>
          </w:tcPr>
          <w:p w14:paraId="3697745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Carpena</w:t>
            </w:r>
          </w:p>
        </w:tc>
        <w:tc>
          <w:tcPr>
            <w:tcW w:w="581" w:type="dxa"/>
            <w:shd w:val="clear" w:color="auto" w:fill="auto"/>
            <w:noWrap/>
            <w:vAlign w:val="bottom"/>
            <w:hideMark/>
          </w:tcPr>
          <w:p w14:paraId="6B56D21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7CC6CE2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India</w:t>
            </w:r>
          </w:p>
        </w:tc>
        <w:tc>
          <w:tcPr>
            <w:tcW w:w="865" w:type="dxa"/>
            <w:shd w:val="clear" w:color="auto" w:fill="auto"/>
            <w:noWrap/>
            <w:vAlign w:val="bottom"/>
            <w:hideMark/>
          </w:tcPr>
          <w:p w14:paraId="71E00D6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1124" w:type="dxa"/>
            <w:shd w:val="clear" w:color="auto" w:fill="auto"/>
            <w:noWrap/>
            <w:vAlign w:val="bottom"/>
            <w:hideMark/>
          </w:tcPr>
          <w:p w14:paraId="3B6E204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0AD8F5C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Secondary data analysis</w:t>
            </w:r>
          </w:p>
        </w:tc>
        <w:tc>
          <w:tcPr>
            <w:tcW w:w="1074" w:type="dxa"/>
            <w:shd w:val="clear" w:color="auto" w:fill="auto"/>
            <w:noWrap/>
            <w:vAlign w:val="bottom"/>
            <w:hideMark/>
          </w:tcPr>
          <w:p w14:paraId="40B75D3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45821DA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NSS</w:t>
            </w:r>
          </w:p>
        </w:tc>
        <w:tc>
          <w:tcPr>
            <w:tcW w:w="989" w:type="dxa"/>
            <w:shd w:val="clear" w:color="auto" w:fill="auto"/>
            <w:noWrap/>
            <w:vAlign w:val="bottom"/>
            <w:hideMark/>
          </w:tcPr>
          <w:p w14:paraId="2BB851C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59253AE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investigate the impacts of droughts on food expenditure and macronutrient consumption among rural Indian households</w:t>
            </w:r>
          </w:p>
        </w:tc>
        <w:tc>
          <w:tcPr>
            <w:tcW w:w="2756" w:type="dxa"/>
            <w:shd w:val="clear" w:color="auto" w:fill="auto"/>
            <w:noWrap/>
            <w:vAlign w:val="bottom"/>
            <w:hideMark/>
          </w:tcPr>
          <w:p w14:paraId="04513E9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Droughts and low rainfall are positively related to food insecurity</w:t>
            </w:r>
          </w:p>
        </w:tc>
      </w:tr>
      <w:tr w:rsidR="008B1F72" w:rsidRPr="008B1F72" w14:paraId="4643AF45" w14:textId="77777777" w:rsidTr="00F11BA3">
        <w:trPr>
          <w:trHeight w:val="288"/>
        </w:trPr>
        <w:tc>
          <w:tcPr>
            <w:tcW w:w="1355" w:type="dxa"/>
            <w:shd w:val="clear" w:color="auto" w:fill="auto"/>
            <w:noWrap/>
            <w:vAlign w:val="bottom"/>
            <w:hideMark/>
          </w:tcPr>
          <w:p w14:paraId="706B0FD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Chandrasekhar</w:t>
            </w:r>
          </w:p>
        </w:tc>
        <w:tc>
          <w:tcPr>
            <w:tcW w:w="581" w:type="dxa"/>
            <w:shd w:val="clear" w:color="auto" w:fill="auto"/>
            <w:noWrap/>
            <w:vAlign w:val="bottom"/>
            <w:hideMark/>
          </w:tcPr>
          <w:p w14:paraId="564C410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2017</w:t>
            </w:r>
          </w:p>
        </w:tc>
        <w:tc>
          <w:tcPr>
            <w:tcW w:w="1193" w:type="dxa"/>
            <w:shd w:val="clear" w:color="auto" w:fill="auto"/>
            <w:noWrap/>
            <w:vAlign w:val="bottom"/>
            <w:hideMark/>
          </w:tcPr>
          <w:p w14:paraId="4667050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Maharashtra</w:t>
            </w:r>
          </w:p>
        </w:tc>
        <w:tc>
          <w:tcPr>
            <w:tcW w:w="865" w:type="dxa"/>
            <w:shd w:val="clear" w:color="auto" w:fill="auto"/>
            <w:noWrap/>
            <w:vAlign w:val="bottom"/>
            <w:hideMark/>
          </w:tcPr>
          <w:p w14:paraId="7939B25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2630</w:t>
            </w:r>
          </w:p>
        </w:tc>
        <w:tc>
          <w:tcPr>
            <w:tcW w:w="1124" w:type="dxa"/>
            <w:shd w:val="clear" w:color="auto" w:fill="auto"/>
            <w:noWrap/>
            <w:vAlign w:val="bottom"/>
            <w:hideMark/>
          </w:tcPr>
          <w:p w14:paraId="357AAB2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E0526B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Secondary data analysis</w:t>
            </w:r>
          </w:p>
        </w:tc>
        <w:tc>
          <w:tcPr>
            <w:tcW w:w="1074" w:type="dxa"/>
            <w:shd w:val="clear" w:color="auto" w:fill="auto"/>
            <w:noWrap/>
            <w:vAlign w:val="bottom"/>
            <w:hideMark/>
          </w:tcPr>
          <w:p w14:paraId="5B12545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225D2D7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CNSM</w:t>
            </w:r>
          </w:p>
        </w:tc>
        <w:tc>
          <w:tcPr>
            <w:tcW w:w="989" w:type="dxa"/>
            <w:shd w:val="clear" w:color="auto" w:fill="auto"/>
            <w:noWrap/>
            <w:vAlign w:val="bottom"/>
            <w:hideMark/>
          </w:tcPr>
          <w:p w14:paraId="6BA5E8D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44.1%</w:t>
            </w:r>
          </w:p>
        </w:tc>
        <w:tc>
          <w:tcPr>
            <w:tcW w:w="2756" w:type="dxa"/>
            <w:shd w:val="clear" w:color="auto" w:fill="auto"/>
            <w:noWrap/>
            <w:vAlign w:val="bottom"/>
            <w:hideMark/>
          </w:tcPr>
          <w:p w14:paraId="56E1C224" w14:textId="5A83B3D1"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investigate the </w:t>
            </w:r>
            <w:r w:rsidR="00BE057A" w:rsidRPr="008B1F72">
              <w:rPr>
                <w:rFonts w:ascii="Calibri" w:eastAsia="Times New Roman" w:hAnsi="Calibri" w:cs="Calibri"/>
                <w:sz w:val="18"/>
                <w:szCs w:val="18"/>
                <w:lang w:eastAsia="en-AU"/>
              </w:rPr>
              <w:t>relationship</w:t>
            </w:r>
            <w:r w:rsidRPr="00531F62">
              <w:rPr>
                <w:rFonts w:ascii="Calibri" w:eastAsia="Times New Roman" w:hAnsi="Calibri" w:cs="Calibri"/>
                <w:sz w:val="18"/>
                <w:szCs w:val="18"/>
                <w:lang w:eastAsia="en-AU"/>
              </w:rPr>
              <w:t xml:space="preserve"> between household food security and child's diet diversity and </w:t>
            </w:r>
            <w:r w:rsidR="00BE057A" w:rsidRPr="008B1F72">
              <w:rPr>
                <w:rFonts w:ascii="Calibri" w:eastAsia="Times New Roman" w:hAnsi="Calibri" w:cs="Calibri"/>
                <w:sz w:val="18"/>
                <w:szCs w:val="18"/>
                <w:lang w:eastAsia="en-AU"/>
              </w:rPr>
              <w:t>anthropometry</w:t>
            </w:r>
            <w:r w:rsidRPr="00531F62">
              <w:rPr>
                <w:rFonts w:ascii="Calibri" w:eastAsia="Times New Roman" w:hAnsi="Calibri" w:cs="Calibri"/>
                <w:sz w:val="18"/>
                <w:szCs w:val="18"/>
                <w:lang w:eastAsia="en-AU"/>
              </w:rPr>
              <w:t xml:space="preserve"> </w:t>
            </w:r>
          </w:p>
        </w:tc>
        <w:tc>
          <w:tcPr>
            <w:tcW w:w="2756" w:type="dxa"/>
            <w:shd w:val="clear" w:color="auto" w:fill="auto"/>
            <w:noWrap/>
            <w:vAlign w:val="bottom"/>
            <w:hideMark/>
          </w:tcPr>
          <w:p w14:paraId="2DE1B0AD" w14:textId="338E0EC9"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Children from </w:t>
            </w:r>
            <w:r w:rsidR="0058366E" w:rsidRPr="00531F62">
              <w:rPr>
                <w:rFonts w:ascii="Calibri" w:eastAsia="Times New Roman" w:hAnsi="Calibri" w:cs="Calibri"/>
                <w:sz w:val="18"/>
                <w:szCs w:val="18"/>
                <w:lang w:eastAsia="en-AU"/>
              </w:rPr>
              <w:t>moderately</w:t>
            </w:r>
            <w:r w:rsidRPr="00531F62">
              <w:rPr>
                <w:rFonts w:ascii="Calibri" w:eastAsia="Times New Roman" w:hAnsi="Calibri" w:cs="Calibri"/>
                <w:sz w:val="18"/>
                <w:szCs w:val="18"/>
                <w:lang w:eastAsia="en-AU"/>
              </w:rPr>
              <w:t xml:space="preserve"> food insecure households are </w:t>
            </w:r>
            <w:r w:rsidR="0058366E" w:rsidRPr="00531F62">
              <w:rPr>
                <w:rFonts w:ascii="Calibri" w:eastAsia="Times New Roman" w:hAnsi="Calibri" w:cs="Calibri"/>
                <w:sz w:val="18"/>
                <w:szCs w:val="18"/>
                <w:lang w:eastAsia="en-AU"/>
              </w:rPr>
              <w:t>likely</w:t>
            </w:r>
            <w:r w:rsidRPr="00531F62">
              <w:rPr>
                <w:rFonts w:ascii="Calibri" w:eastAsia="Times New Roman" w:hAnsi="Calibri" w:cs="Calibri"/>
                <w:sz w:val="18"/>
                <w:szCs w:val="18"/>
                <w:lang w:eastAsia="en-AU"/>
              </w:rPr>
              <w:t xml:space="preserve"> to have lower diet diversity</w:t>
            </w:r>
            <w:r w:rsidR="0058366E">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 Household food security is related with better infant feeding.</w:t>
            </w:r>
          </w:p>
        </w:tc>
      </w:tr>
      <w:tr w:rsidR="008B1F72" w:rsidRPr="008B1F72" w14:paraId="777A8F7E" w14:textId="77777777" w:rsidTr="00F11BA3">
        <w:trPr>
          <w:trHeight w:val="288"/>
        </w:trPr>
        <w:tc>
          <w:tcPr>
            <w:tcW w:w="1355" w:type="dxa"/>
            <w:shd w:val="clear" w:color="auto" w:fill="auto"/>
            <w:noWrap/>
            <w:vAlign w:val="bottom"/>
            <w:hideMark/>
          </w:tcPr>
          <w:p w14:paraId="2DA7BC6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Chatterjee</w:t>
            </w:r>
          </w:p>
        </w:tc>
        <w:tc>
          <w:tcPr>
            <w:tcW w:w="581" w:type="dxa"/>
            <w:shd w:val="clear" w:color="auto" w:fill="auto"/>
            <w:noWrap/>
            <w:vAlign w:val="bottom"/>
            <w:hideMark/>
          </w:tcPr>
          <w:p w14:paraId="16F3F9E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2012</w:t>
            </w:r>
          </w:p>
        </w:tc>
        <w:tc>
          <w:tcPr>
            <w:tcW w:w="1193" w:type="dxa"/>
            <w:shd w:val="clear" w:color="auto" w:fill="auto"/>
            <w:noWrap/>
            <w:vAlign w:val="bottom"/>
            <w:hideMark/>
          </w:tcPr>
          <w:p w14:paraId="28C648F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Mumbai</w:t>
            </w:r>
          </w:p>
        </w:tc>
        <w:tc>
          <w:tcPr>
            <w:tcW w:w="865" w:type="dxa"/>
            <w:shd w:val="clear" w:color="auto" w:fill="auto"/>
            <w:noWrap/>
            <w:vAlign w:val="bottom"/>
            <w:hideMark/>
          </w:tcPr>
          <w:p w14:paraId="59E9FAD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283</w:t>
            </w:r>
          </w:p>
        </w:tc>
        <w:tc>
          <w:tcPr>
            <w:tcW w:w="1124" w:type="dxa"/>
            <w:shd w:val="clear" w:color="auto" w:fill="auto"/>
            <w:noWrap/>
            <w:vAlign w:val="bottom"/>
            <w:hideMark/>
          </w:tcPr>
          <w:p w14:paraId="0049763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1D48902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Interviewer-administered survey</w:t>
            </w:r>
          </w:p>
        </w:tc>
        <w:tc>
          <w:tcPr>
            <w:tcW w:w="1074" w:type="dxa"/>
            <w:shd w:val="clear" w:color="auto" w:fill="auto"/>
            <w:noWrap/>
            <w:vAlign w:val="bottom"/>
            <w:hideMark/>
          </w:tcPr>
          <w:p w14:paraId="2808598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women</w:t>
            </w:r>
          </w:p>
        </w:tc>
        <w:tc>
          <w:tcPr>
            <w:tcW w:w="1422" w:type="dxa"/>
            <w:shd w:val="clear" w:color="auto" w:fill="auto"/>
            <w:noWrap/>
            <w:vAlign w:val="bottom"/>
            <w:hideMark/>
          </w:tcPr>
          <w:p w14:paraId="4946486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28553F5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76.3%</w:t>
            </w:r>
          </w:p>
        </w:tc>
        <w:tc>
          <w:tcPr>
            <w:tcW w:w="2756" w:type="dxa"/>
            <w:shd w:val="clear" w:color="auto" w:fill="auto"/>
            <w:noWrap/>
            <w:vAlign w:val="bottom"/>
            <w:hideMark/>
          </w:tcPr>
          <w:p w14:paraId="696A9F0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determine the extent of food insecurity in slum households, assess their experiences, and identify subgroups</w:t>
            </w:r>
          </w:p>
        </w:tc>
        <w:tc>
          <w:tcPr>
            <w:tcW w:w="2756" w:type="dxa"/>
            <w:shd w:val="clear" w:color="auto" w:fill="auto"/>
            <w:noWrap/>
            <w:vAlign w:val="bottom"/>
            <w:hideMark/>
          </w:tcPr>
          <w:p w14:paraId="3A62B305" w14:textId="1FB2C38C"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Food security was </w:t>
            </w:r>
            <w:r w:rsidR="0058366E" w:rsidRPr="00531F62">
              <w:rPr>
                <w:rFonts w:ascii="Calibri" w:eastAsia="Times New Roman" w:hAnsi="Calibri" w:cs="Calibri"/>
                <w:sz w:val="18"/>
                <w:szCs w:val="18"/>
                <w:lang w:eastAsia="en-AU"/>
              </w:rPr>
              <w:t>associated</w:t>
            </w:r>
            <w:r w:rsidRPr="00531F62">
              <w:rPr>
                <w:rFonts w:ascii="Calibri" w:eastAsia="Times New Roman" w:hAnsi="Calibri" w:cs="Calibri"/>
                <w:sz w:val="18"/>
                <w:szCs w:val="18"/>
                <w:lang w:eastAsia="en-AU"/>
              </w:rPr>
              <w:t xml:space="preserve"> with lower income.</w:t>
            </w:r>
          </w:p>
        </w:tc>
      </w:tr>
      <w:tr w:rsidR="008B1F72" w:rsidRPr="008B1F72" w14:paraId="1D6D8030" w14:textId="77777777" w:rsidTr="00F11BA3">
        <w:trPr>
          <w:trHeight w:val="288"/>
        </w:trPr>
        <w:tc>
          <w:tcPr>
            <w:tcW w:w="1355" w:type="dxa"/>
            <w:shd w:val="clear" w:color="auto" w:fill="auto"/>
            <w:noWrap/>
            <w:vAlign w:val="bottom"/>
            <w:hideMark/>
          </w:tcPr>
          <w:p w14:paraId="33DFDC5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Chinnakali</w:t>
            </w:r>
          </w:p>
        </w:tc>
        <w:tc>
          <w:tcPr>
            <w:tcW w:w="581" w:type="dxa"/>
            <w:shd w:val="clear" w:color="auto" w:fill="auto"/>
            <w:noWrap/>
            <w:vAlign w:val="bottom"/>
            <w:hideMark/>
          </w:tcPr>
          <w:p w14:paraId="2E13FFE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2014</w:t>
            </w:r>
          </w:p>
        </w:tc>
        <w:tc>
          <w:tcPr>
            <w:tcW w:w="1193" w:type="dxa"/>
            <w:shd w:val="clear" w:color="auto" w:fill="auto"/>
            <w:noWrap/>
            <w:vAlign w:val="bottom"/>
            <w:hideMark/>
          </w:tcPr>
          <w:p w14:paraId="504CC05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Delhi</w:t>
            </w:r>
          </w:p>
        </w:tc>
        <w:tc>
          <w:tcPr>
            <w:tcW w:w="865" w:type="dxa"/>
            <w:shd w:val="clear" w:color="auto" w:fill="auto"/>
            <w:noWrap/>
            <w:vAlign w:val="bottom"/>
            <w:hideMark/>
          </w:tcPr>
          <w:p w14:paraId="2B7AD23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250</w:t>
            </w:r>
          </w:p>
        </w:tc>
        <w:tc>
          <w:tcPr>
            <w:tcW w:w="1124" w:type="dxa"/>
            <w:shd w:val="clear" w:color="auto" w:fill="auto"/>
            <w:noWrap/>
            <w:vAlign w:val="bottom"/>
            <w:hideMark/>
          </w:tcPr>
          <w:p w14:paraId="21E0872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DAE2CA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Semi-structured questionnaire</w:t>
            </w:r>
          </w:p>
        </w:tc>
        <w:tc>
          <w:tcPr>
            <w:tcW w:w="1074" w:type="dxa"/>
            <w:shd w:val="clear" w:color="auto" w:fill="auto"/>
            <w:noWrap/>
            <w:vAlign w:val="bottom"/>
            <w:hideMark/>
          </w:tcPr>
          <w:p w14:paraId="6C1ABE8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women</w:t>
            </w:r>
          </w:p>
        </w:tc>
        <w:tc>
          <w:tcPr>
            <w:tcW w:w="1422" w:type="dxa"/>
            <w:shd w:val="clear" w:color="auto" w:fill="auto"/>
            <w:noWrap/>
            <w:vAlign w:val="bottom"/>
            <w:hideMark/>
          </w:tcPr>
          <w:p w14:paraId="479CEF4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6A94923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77.2%</w:t>
            </w:r>
          </w:p>
        </w:tc>
        <w:tc>
          <w:tcPr>
            <w:tcW w:w="2756" w:type="dxa"/>
            <w:shd w:val="clear" w:color="auto" w:fill="auto"/>
            <w:noWrap/>
            <w:vAlign w:val="bottom"/>
            <w:hideMark/>
          </w:tcPr>
          <w:p w14:paraId="60B9575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document the prevalence of food insecurity at the household level and the factors determining its existence in an urban slum population of northern India</w:t>
            </w:r>
          </w:p>
        </w:tc>
        <w:tc>
          <w:tcPr>
            <w:tcW w:w="2756" w:type="dxa"/>
            <w:shd w:val="clear" w:color="auto" w:fill="auto"/>
            <w:noWrap/>
            <w:vAlign w:val="bottom"/>
            <w:hideMark/>
          </w:tcPr>
          <w:p w14:paraId="41596466" w14:textId="569B5672" w:rsidR="00D35F89" w:rsidRPr="00531F62" w:rsidRDefault="00F06D87"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 xml:space="preserve">Most households had sufficient </w:t>
            </w:r>
            <w:r w:rsidR="00D35F89" w:rsidRPr="00531F62">
              <w:rPr>
                <w:rFonts w:ascii="Calibri" w:eastAsia="Times New Roman" w:hAnsi="Calibri" w:cs="Calibri"/>
                <w:sz w:val="18"/>
                <w:szCs w:val="18"/>
                <w:lang w:eastAsia="en-AU"/>
              </w:rPr>
              <w:t>cereals</w:t>
            </w:r>
            <w:r>
              <w:rPr>
                <w:rFonts w:ascii="Calibri" w:eastAsia="Times New Roman" w:hAnsi="Calibri" w:cs="Calibri"/>
                <w:sz w:val="18"/>
                <w:szCs w:val="18"/>
                <w:lang w:eastAsia="en-AU"/>
              </w:rPr>
              <w:t xml:space="preserve">, but </w:t>
            </w:r>
            <w:r w:rsidR="00D35F89" w:rsidRPr="00531F62">
              <w:rPr>
                <w:rFonts w:ascii="Calibri" w:eastAsia="Times New Roman" w:hAnsi="Calibri" w:cs="Calibri"/>
                <w:sz w:val="18"/>
                <w:szCs w:val="18"/>
                <w:lang w:eastAsia="en-AU"/>
              </w:rPr>
              <w:t>77.2% of the household were food insecurity. Low monthly per-capita income was a signif</w:t>
            </w:r>
            <w:r>
              <w:rPr>
                <w:rFonts w:ascii="Calibri" w:eastAsia="Times New Roman" w:hAnsi="Calibri" w:cs="Calibri"/>
                <w:sz w:val="18"/>
                <w:szCs w:val="18"/>
                <w:lang w:eastAsia="en-AU"/>
              </w:rPr>
              <w:t>i</w:t>
            </w:r>
            <w:r w:rsidR="00D35F89" w:rsidRPr="00531F62">
              <w:rPr>
                <w:rFonts w:ascii="Calibri" w:eastAsia="Times New Roman" w:hAnsi="Calibri" w:cs="Calibri"/>
                <w:sz w:val="18"/>
                <w:szCs w:val="18"/>
                <w:lang w:eastAsia="en-AU"/>
              </w:rPr>
              <w:t xml:space="preserve">cant independent predictor of food insecurity. The increase in </w:t>
            </w:r>
            <w:r>
              <w:rPr>
                <w:rFonts w:ascii="Calibri" w:eastAsia="Times New Roman" w:hAnsi="Calibri" w:cs="Calibri"/>
                <w:sz w:val="18"/>
                <w:szCs w:val="18"/>
                <w:lang w:eastAsia="en-AU"/>
              </w:rPr>
              <w:t>number</w:t>
            </w:r>
            <w:r w:rsidR="00D35F89" w:rsidRPr="00531F62">
              <w:rPr>
                <w:rFonts w:ascii="Calibri" w:eastAsia="Times New Roman" w:hAnsi="Calibri" w:cs="Calibri"/>
                <w:sz w:val="18"/>
                <w:szCs w:val="18"/>
                <w:lang w:eastAsia="en-AU"/>
              </w:rPr>
              <w:t xml:space="preserve"> of working members in household decreased levels of food insecurity in household.</w:t>
            </w:r>
          </w:p>
        </w:tc>
      </w:tr>
      <w:tr w:rsidR="008B1F72" w:rsidRPr="008B1F72" w14:paraId="0AEB31A2" w14:textId="77777777" w:rsidTr="00F11BA3">
        <w:trPr>
          <w:trHeight w:val="288"/>
        </w:trPr>
        <w:tc>
          <w:tcPr>
            <w:tcW w:w="1355" w:type="dxa"/>
            <w:shd w:val="clear" w:color="auto" w:fill="auto"/>
            <w:noWrap/>
            <w:vAlign w:val="bottom"/>
            <w:hideMark/>
          </w:tcPr>
          <w:p w14:paraId="0CDB70D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Chyne</w:t>
            </w:r>
          </w:p>
        </w:tc>
        <w:tc>
          <w:tcPr>
            <w:tcW w:w="581" w:type="dxa"/>
            <w:shd w:val="clear" w:color="auto" w:fill="auto"/>
            <w:noWrap/>
            <w:vAlign w:val="bottom"/>
            <w:hideMark/>
          </w:tcPr>
          <w:p w14:paraId="5984421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2017</w:t>
            </w:r>
          </w:p>
        </w:tc>
        <w:tc>
          <w:tcPr>
            <w:tcW w:w="1193" w:type="dxa"/>
            <w:shd w:val="clear" w:color="auto" w:fill="auto"/>
            <w:noWrap/>
            <w:vAlign w:val="bottom"/>
            <w:hideMark/>
          </w:tcPr>
          <w:p w14:paraId="41E94F3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Meghalaya</w:t>
            </w:r>
          </w:p>
        </w:tc>
        <w:tc>
          <w:tcPr>
            <w:tcW w:w="865" w:type="dxa"/>
            <w:shd w:val="clear" w:color="auto" w:fill="auto"/>
            <w:noWrap/>
            <w:vAlign w:val="bottom"/>
            <w:hideMark/>
          </w:tcPr>
          <w:p w14:paraId="2E90D46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510</w:t>
            </w:r>
          </w:p>
        </w:tc>
        <w:tc>
          <w:tcPr>
            <w:tcW w:w="1124" w:type="dxa"/>
            <w:shd w:val="clear" w:color="auto" w:fill="auto"/>
            <w:noWrap/>
            <w:vAlign w:val="bottom"/>
            <w:hideMark/>
          </w:tcPr>
          <w:p w14:paraId="05319B6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5B23C7C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Survey, </w:t>
            </w:r>
            <w:proofErr w:type="gramStart"/>
            <w:r w:rsidRPr="00531F62">
              <w:rPr>
                <w:rFonts w:ascii="Calibri" w:eastAsia="Times New Roman" w:hAnsi="Calibri" w:cs="Calibri"/>
                <w:sz w:val="18"/>
                <w:szCs w:val="18"/>
                <w:lang w:eastAsia="en-AU"/>
              </w:rPr>
              <w:t>24 hour</w:t>
            </w:r>
            <w:proofErr w:type="gramEnd"/>
            <w:r w:rsidRPr="00531F62">
              <w:rPr>
                <w:rFonts w:ascii="Calibri" w:eastAsia="Times New Roman" w:hAnsi="Calibri" w:cs="Calibri"/>
                <w:sz w:val="18"/>
                <w:szCs w:val="18"/>
                <w:lang w:eastAsia="en-AU"/>
              </w:rPr>
              <w:t xml:space="preserve"> diet recall</w:t>
            </w:r>
          </w:p>
        </w:tc>
        <w:tc>
          <w:tcPr>
            <w:tcW w:w="1074" w:type="dxa"/>
            <w:shd w:val="clear" w:color="auto" w:fill="auto"/>
            <w:noWrap/>
            <w:vAlign w:val="bottom"/>
            <w:hideMark/>
          </w:tcPr>
          <w:p w14:paraId="29D0116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women and children</w:t>
            </w:r>
          </w:p>
        </w:tc>
        <w:tc>
          <w:tcPr>
            <w:tcW w:w="1422" w:type="dxa"/>
            <w:shd w:val="clear" w:color="auto" w:fill="auto"/>
            <w:noWrap/>
            <w:vAlign w:val="bottom"/>
            <w:hideMark/>
          </w:tcPr>
          <w:p w14:paraId="1E3B8A8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FIES</w:t>
            </w:r>
          </w:p>
        </w:tc>
        <w:tc>
          <w:tcPr>
            <w:tcW w:w="989" w:type="dxa"/>
            <w:shd w:val="clear" w:color="auto" w:fill="auto"/>
            <w:noWrap/>
            <w:vAlign w:val="bottom"/>
            <w:hideMark/>
          </w:tcPr>
          <w:p w14:paraId="6D3E14C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67%</w:t>
            </w:r>
          </w:p>
        </w:tc>
        <w:tc>
          <w:tcPr>
            <w:tcW w:w="2756" w:type="dxa"/>
            <w:shd w:val="clear" w:color="auto" w:fill="auto"/>
            <w:noWrap/>
            <w:vAlign w:val="bottom"/>
            <w:hideMark/>
          </w:tcPr>
          <w:p w14:paraId="01B0689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investigate how gender roles and local food resources might contribute to improving the nutritional status of women and children</w:t>
            </w:r>
          </w:p>
        </w:tc>
        <w:tc>
          <w:tcPr>
            <w:tcW w:w="2756" w:type="dxa"/>
            <w:shd w:val="clear" w:color="auto" w:fill="auto"/>
            <w:noWrap/>
            <w:vAlign w:val="bottom"/>
            <w:hideMark/>
          </w:tcPr>
          <w:p w14:paraId="67AA4A24" w14:textId="663FBD04"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Despite rich biodiversity in area, undernutrition was high in population. Most of the agricultural produce is going to the market instead of being consumed. The prevalence in children of underweight</w:t>
            </w:r>
            <w:r w:rsidR="00395B8F">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 stunting</w:t>
            </w:r>
            <w:r w:rsidR="00395B8F">
              <w:rPr>
                <w:rFonts w:ascii="Calibri" w:eastAsia="Times New Roman" w:hAnsi="Calibri" w:cs="Calibri"/>
                <w:sz w:val="18"/>
                <w:szCs w:val="18"/>
                <w:lang w:eastAsia="en-AU"/>
              </w:rPr>
              <w:t xml:space="preserve">, and </w:t>
            </w:r>
            <w:r w:rsidRPr="00531F62">
              <w:rPr>
                <w:rFonts w:ascii="Calibri" w:eastAsia="Times New Roman" w:hAnsi="Calibri" w:cs="Calibri"/>
                <w:sz w:val="18"/>
                <w:szCs w:val="18"/>
                <w:lang w:eastAsia="en-AU"/>
              </w:rPr>
              <w:t xml:space="preserve">wasting was </w:t>
            </w:r>
            <w:r w:rsidR="00395B8F">
              <w:rPr>
                <w:rFonts w:ascii="Calibri" w:eastAsia="Times New Roman" w:hAnsi="Calibri" w:cs="Calibri"/>
                <w:sz w:val="18"/>
                <w:szCs w:val="18"/>
                <w:lang w:eastAsia="en-AU"/>
              </w:rPr>
              <w:t xml:space="preserve">high. </w:t>
            </w:r>
            <w:r w:rsidRPr="00531F62">
              <w:rPr>
                <w:rFonts w:ascii="Calibri" w:eastAsia="Times New Roman" w:hAnsi="Calibri" w:cs="Calibri"/>
                <w:sz w:val="18"/>
                <w:szCs w:val="18"/>
                <w:lang w:eastAsia="en-AU"/>
              </w:rPr>
              <w:t xml:space="preserve">Nutrient intakes were below recommended levels. </w:t>
            </w:r>
          </w:p>
        </w:tc>
      </w:tr>
      <w:tr w:rsidR="008B1F72" w:rsidRPr="008B1F72" w14:paraId="31B366A6" w14:textId="77777777" w:rsidTr="00F11BA3">
        <w:trPr>
          <w:trHeight w:val="288"/>
        </w:trPr>
        <w:tc>
          <w:tcPr>
            <w:tcW w:w="1355" w:type="dxa"/>
            <w:shd w:val="clear" w:color="auto" w:fill="auto"/>
            <w:noWrap/>
            <w:vAlign w:val="bottom"/>
            <w:hideMark/>
          </w:tcPr>
          <w:p w14:paraId="7BDBC33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Dame</w:t>
            </w:r>
          </w:p>
        </w:tc>
        <w:tc>
          <w:tcPr>
            <w:tcW w:w="581" w:type="dxa"/>
            <w:shd w:val="clear" w:color="auto" w:fill="auto"/>
            <w:noWrap/>
            <w:vAlign w:val="bottom"/>
            <w:hideMark/>
          </w:tcPr>
          <w:p w14:paraId="38DC9A4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2011</w:t>
            </w:r>
          </w:p>
        </w:tc>
        <w:tc>
          <w:tcPr>
            <w:tcW w:w="1193" w:type="dxa"/>
            <w:shd w:val="clear" w:color="auto" w:fill="auto"/>
            <w:noWrap/>
            <w:vAlign w:val="bottom"/>
            <w:hideMark/>
          </w:tcPr>
          <w:p w14:paraId="021851E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Ladakh</w:t>
            </w:r>
          </w:p>
        </w:tc>
        <w:tc>
          <w:tcPr>
            <w:tcW w:w="865" w:type="dxa"/>
            <w:shd w:val="clear" w:color="auto" w:fill="auto"/>
            <w:noWrap/>
            <w:vAlign w:val="bottom"/>
            <w:hideMark/>
          </w:tcPr>
          <w:p w14:paraId="7A0B64F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103</w:t>
            </w:r>
          </w:p>
        </w:tc>
        <w:tc>
          <w:tcPr>
            <w:tcW w:w="1124" w:type="dxa"/>
            <w:shd w:val="clear" w:color="auto" w:fill="auto"/>
            <w:noWrap/>
            <w:vAlign w:val="bottom"/>
            <w:hideMark/>
          </w:tcPr>
          <w:p w14:paraId="222CFAE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2A1351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Household survey, </w:t>
            </w:r>
            <w:proofErr w:type="gramStart"/>
            <w:r w:rsidRPr="00531F62">
              <w:rPr>
                <w:rFonts w:ascii="Calibri" w:eastAsia="Times New Roman" w:hAnsi="Calibri" w:cs="Calibri"/>
                <w:sz w:val="18"/>
                <w:szCs w:val="18"/>
                <w:lang w:eastAsia="en-AU"/>
              </w:rPr>
              <w:t>24 hour</w:t>
            </w:r>
            <w:proofErr w:type="gramEnd"/>
            <w:r w:rsidRPr="00531F62">
              <w:rPr>
                <w:rFonts w:ascii="Calibri" w:eastAsia="Times New Roman" w:hAnsi="Calibri" w:cs="Calibri"/>
                <w:sz w:val="18"/>
                <w:szCs w:val="18"/>
                <w:lang w:eastAsia="en-AU"/>
              </w:rPr>
              <w:t xml:space="preserve"> diet recall, interviews</w:t>
            </w:r>
          </w:p>
        </w:tc>
        <w:tc>
          <w:tcPr>
            <w:tcW w:w="1074" w:type="dxa"/>
            <w:shd w:val="clear" w:color="auto" w:fill="auto"/>
            <w:noWrap/>
            <w:vAlign w:val="bottom"/>
            <w:hideMark/>
          </w:tcPr>
          <w:p w14:paraId="59F38BD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74206D9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w:t>
            </w:r>
          </w:p>
        </w:tc>
        <w:tc>
          <w:tcPr>
            <w:tcW w:w="989" w:type="dxa"/>
            <w:shd w:val="clear" w:color="auto" w:fill="auto"/>
            <w:noWrap/>
            <w:vAlign w:val="bottom"/>
            <w:hideMark/>
          </w:tcPr>
          <w:p w14:paraId="1B1A34E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576CF23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describe the current food system and understand the use of land</w:t>
            </w:r>
          </w:p>
        </w:tc>
        <w:tc>
          <w:tcPr>
            <w:tcW w:w="2756" w:type="dxa"/>
            <w:shd w:val="clear" w:color="auto" w:fill="auto"/>
            <w:noWrap/>
            <w:vAlign w:val="bottom"/>
            <w:hideMark/>
          </w:tcPr>
          <w:p w14:paraId="0994EF7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Declining role of agricultural land-use and seasonality leads to periodic food insecurity. </w:t>
            </w:r>
          </w:p>
        </w:tc>
      </w:tr>
      <w:tr w:rsidR="008B1F72" w:rsidRPr="008B1F72" w14:paraId="05848BF9" w14:textId="77777777" w:rsidTr="00F11BA3">
        <w:trPr>
          <w:trHeight w:val="288"/>
        </w:trPr>
        <w:tc>
          <w:tcPr>
            <w:tcW w:w="1355" w:type="dxa"/>
            <w:shd w:val="clear" w:color="auto" w:fill="auto"/>
            <w:noWrap/>
            <w:vAlign w:val="bottom"/>
            <w:hideMark/>
          </w:tcPr>
          <w:p w14:paraId="4A75AD8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Das</w:t>
            </w:r>
          </w:p>
        </w:tc>
        <w:tc>
          <w:tcPr>
            <w:tcW w:w="581" w:type="dxa"/>
            <w:shd w:val="clear" w:color="auto" w:fill="auto"/>
            <w:noWrap/>
            <w:vAlign w:val="bottom"/>
            <w:hideMark/>
          </w:tcPr>
          <w:p w14:paraId="1F8F930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2018</w:t>
            </w:r>
          </w:p>
        </w:tc>
        <w:tc>
          <w:tcPr>
            <w:tcW w:w="1193" w:type="dxa"/>
            <w:shd w:val="clear" w:color="auto" w:fill="auto"/>
            <w:noWrap/>
            <w:vAlign w:val="bottom"/>
            <w:hideMark/>
          </w:tcPr>
          <w:p w14:paraId="62082BB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Karnataka</w:t>
            </w:r>
          </w:p>
        </w:tc>
        <w:tc>
          <w:tcPr>
            <w:tcW w:w="865" w:type="dxa"/>
            <w:shd w:val="clear" w:color="auto" w:fill="auto"/>
            <w:noWrap/>
            <w:vAlign w:val="bottom"/>
            <w:hideMark/>
          </w:tcPr>
          <w:p w14:paraId="6E82D45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200</w:t>
            </w:r>
          </w:p>
        </w:tc>
        <w:tc>
          <w:tcPr>
            <w:tcW w:w="1124" w:type="dxa"/>
            <w:shd w:val="clear" w:color="auto" w:fill="auto"/>
            <w:noWrap/>
            <w:vAlign w:val="bottom"/>
            <w:hideMark/>
          </w:tcPr>
          <w:p w14:paraId="2C18EFE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53B8A37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372037B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women and children</w:t>
            </w:r>
          </w:p>
        </w:tc>
        <w:tc>
          <w:tcPr>
            <w:tcW w:w="1422" w:type="dxa"/>
            <w:shd w:val="clear" w:color="auto" w:fill="auto"/>
            <w:noWrap/>
            <w:vAlign w:val="bottom"/>
            <w:hideMark/>
          </w:tcPr>
          <w:p w14:paraId="310459D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0EF77DB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33.5%</w:t>
            </w:r>
          </w:p>
        </w:tc>
        <w:tc>
          <w:tcPr>
            <w:tcW w:w="2756" w:type="dxa"/>
            <w:shd w:val="clear" w:color="auto" w:fill="auto"/>
            <w:noWrap/>
            <w:vAlign w:val="bottom"/>
            <w:hideMark/>
          </w:tcPr>
          <w:p w14:paraId="479EFC4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determine the prevalence of food insecurity at the household level and to assess the association between food insecurity and malnutrition of under 5 children</w:t>
            </w:r>
          </w:p>
        </w:tc>
        <w:tc>
          <w:tcPr>
            <w:tcW w:w="2756" w:type="dxa"/>
            <w:shd w:val="clear" w:color="auto" w:fill="auto"/>
            <w:noWrap/>
            <w:vAlign w:val="bottom"/>
            <w:hideMark/>
          </w:tcPr>
          <w:p w14:paraId="3940C9A5" w14:textId="35F07E1F" w:rsidR="00D35F89" w:rsidRPr="00531F62" w:rsidRDefault="00395B8F"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 xml:space="preserve">Findings </w:t>
            </w:r>
            <w:r w:rsidRPr="00531F62">
              <w:rPr>
                <w:rFonts w:ascii="Calibri" w:eastAsia="Times New Roman" w:hAnsi="Calibri" w:cs="Calibri"/>
                <w:sz w:val="18"/>
                <w:szCs w:val="18"/>
                <w:lang w:eastAsia="en-AU"/>
              </w:rPr>
              <w:t>indicate</w:t>
            </w:r>
            <w:r w:rsidR="00D35F89" w:rsidRPr="00531F62">
              <w:rPr>
                <w:rFonts w:ascii="Calibri" w:eastAsia="Times New Roman" w:hAnsi="Calibri" w:cs="Calibri"/>
                <w:sz w:val="18"/>
                <w:szCs w:val="18"/>
                <w:lang w:eastAsia="en-AU"/>
              </w:rPr>
              <w:t xml:space="preserve"> an association between food insecurity and age</w:t>
            </w:r>
            <w:r>
              <w:rPr>
                <w:rFonts w:ascii="Calibri" w:eastAsia="Times New Roman" w:hAnsi="Calibri" w:cs="Calibri"/>
                <w:sz w:val="18"/>
                <w:szCs w:val="18"/>
                <w:lang w:eastAsia="en-AU"/>
              </w:rPr>
              <w:t xml:space="preserve">, </w:t>
            </w:r>
            <w:r w:rsidR="00D35F89" w:rsidRPr="00531F62">
              <w:rPr>
                <w:rFonts w:ascii="Calibri" w:eastAsia="Times New Roman" w:hAnsi="Calibri" w:cs="Calibri"/>
                <w:sz w:val="18"/>
                <w:szCs w:val="18"/>
                <w:lang w:eastAsia="en-AU"/>
              </w:rPr>
              <w:t xml:space="preserve">under-weight, wasting, religion, type of house and education of mother. </w:t>
            </w:r>
          </w:p>
        </w:tc>
      </w:tr>
      <w:tr w:rsidR="008B1F72" w:rsidRPr="008B1F72" w14:paraId="5158EE58" w14:textId="77777777" w:rsidTr="00F11BA3">
        <w:trPr>
          <w:trHeight w:val="288"/>
        </w:trPr>
        <w:tc>
          <w:tcPr>
            <w:tcW w:w="1355" w:type="dxa"/>
            <w:shd w:val="clear" w:color="auto" w:fill="auto"/>
            <w:noWrap/>
            <w:vAlign w:val="bottom"/>
            <w:hideMark/>
          </w:tcPr>
          <w:p w14:paraId="48FA787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Dasgupta</w:t>
            </w:r>
          </w:p>
        </w:tc>
        <w:tc>
          <w:tcPr>
            <w:tcW w:w="581" w:type="dxa"/>
            <w:shd w:val="clear" w:color="auto" w:fill="auto"/>
            <w:noWrap/>
            <w:vAlign w:val="bottom"/>
            <w:hideMark/>
          </w:tcPr>
          <w:p w14:paraId="4BEB6E9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2016</w:t>
            </w:r>
          </w:p>
        </w:tc>
        <w:tc>
          <w:tcPr>
            <w:tcW w:w="1193" w:type="dxa"/>
            <w:shd w:val="clear" w:color="auto" w:fill="auto"/>
            <w:noWrap/>
            <w:vAlign w:val="bottom"/>
            <w:hideMark/>
          </w:tcPr>
          <w:p w14:paraId="21FEE4D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West Bengal</w:t>
            </w:r>
          </w:p>
        </w:tc>
        <w:tc>
          <w:tcPr>
            <w:tcW w:w="865" w:type="dxa"/>
            <w:shd w:val="clear" w:color="auto" w:fill="auto"/>
            <w:noWrap/>
            <w:vAlign w:val="bottom"/>
            <w:hideMark/>
          </w:tcPr>
          <w:p w14:paraId="4A9DA5E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173</w:t>
            </w:r>
          </w:p>
        </w:tc>
        <w:tc>
          <w:tcPr>
            <w:tcW w:w="1124" w:type="dxa"/>
            <w:shd w:val="clear" w:color="auto" w:fill="auto"/>
            <w:noWrap/>
            <w:vAlign w:val="bottom"/>
            <w:hideMark/>
          </w:tcPr>
          <w:p w14:paraId="1CF1952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7AF4195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Interviews</w:t>
            </w:r>
          </w:p>
        </w:tc>
        <w:tc>
          <w:tcPr>
            <w:tcW w:w="1074" w:type="dxa"/>
            <w:shd w:val="clear" w:color="auto" w:fill="auto"/>
            <w:noWrap/>
            <w:vAlign w:val="bottom"/>
            <w:hideMark/>
          </w:tcPr>
          <w:p w14:paraId="56D21AD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6AC5CE2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Food Security Survey</w:t>
            </w:r>
          </w:p>
        </w:tc>
        <w:tc>
          <w:tcPr>
            <w:tcW w:w="989" w:type="dxa"/>
            <w:shd w:val="clear" w:color="auto" w:fill="auto"/>
            <w:noWrap/>
            <w:vAlign w:val="bottom"/>
            <w:hideMark/>
          </w:tcPr>
          <w:p w14:paraId="41834B6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49.1%</w:t>
            </w:r>
          </w:p>
        </w:tc>
        <w:tc>
          <w:tcPr>
            <w:tcW w:w="2756" w:type="dxa"/>
            <w:shd w:val="clear" w:color="auto" w:fill="auto"/>
            <w:noWrap/>
            <w:vAlign w:val="bottom"/>
            <w:hideMark/>
          </w:tcPr>
          <w:p w14:paraId="64F1353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identify the prevalence of and factors relating to food security in households of people living with HIV</w:t>
            </w:r>
          </w:p>
        </w:tc>
        <w:tc>
          <w:tcPr>
            <w:tcW w:w="2756" w:type="dxa"/>
            <w:shd w:val="clear" w:color="auto" w:fill="auto"/>
            <w:noWrap/>
            <w:vAlign w:val="bottom"/>
            <w:hideMark/>
          </w:tcPr>
          <w:p w14:paraId="1492732B" w14:textId="5C39FEF1" w:rsidR="00D35F89" w:rsidRPr="00531F62" w:rsidRDefault="00E01655"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Over half of</w:t>
            </w:r>
            <w:r w:rsidR="00D35F89" w:rsidRPr="00531F62">
              <w:rPr>
                <w:rFonts w:ascii="Calibri" w:eastAsia="Times New Roman" w:hAnsi="Calibri" w:cs="Calibri"/>
                <w:sz w:val="18"/>
                <w:szCs w:val="18"/>
                <w:lang w:eastAsia="en-AU"/>
              </w:rPr>
              <w:t xml:space="preserve"> participants </w:t>
            </w:r>
            <w:r>
              <w:rPr>
                <w:rFonts w:ascii="Calibri" w:eastAsia="Times New Roman" w:hAnsi="Calibri" w:cs="Calibri"/>
                <w:sz w:val="18"/>
                <w:szCs w:val="18"/>
                <w:lang w:eastAsia="en-AU"/>
              </w:rPr>
              <w:t xml:space="preserve">ate the </w:t>
            </w:r>
            <w:r w:rsidR="00D35F89" w:rsidRPr="00531F62">
              <w:rPr>
                <w:rFonts w:ascii="Calibri" w:eastAsia="Times New Roman" w:hAnsi="Calibri" w:cs="Calibri"/>
                <w:sz w:val="18"/>
                <w:szCs w:val="18"/>
                <w:lang w:eastAsia="en-AU"/>
              </w:rPr>
              <w:t xml:space="preserve">same food daily and </w:t>
            </w:r>
            <w:r>
              <w:rPr>
                <w:rFonts w:ascii="Calibri" w:eastAsia="Times New Roman" w:hAnsi="Calibri" w:cs="Calibri"/>
                <w:sz w:val="18"/>
                <w:szCs w:val="18"/>
                <w:lang w:eastAsia="en-AU"/>
              </w:rPr>
              <w:t xml:space="preserve">many </w:t>
            </w:r>
            <w:r w:rsidRPr="00531F62">
              <w:rPr>
                <w:rFonts w:ascii="Calibri" w:eastAsia="Times New Roman" w:hAnsi="Calibri" w:cs="Calibri"/>
                <w:sz w:val="18"/>
                <w:szCs w:val="18"/>
                <w:lang w:eastAsia="en-AU"/>
              </w:rPr>
              <w:t>thoughts</w:t>
            </w:r>
            <w:r w:rsidR="00D35F89" w:rsidRPr="00531F62">
              <w:rPr>
                <w:rFonts w:ascii="Calibri" w:eastAsia="Times New Roman" w:hAnsi="Calibri" w:cs="Calibri"/>
                <w:sz w:val="18"/>
                <w:szCs w:val="18"/>
                <w:lang w:eastAsia="en-AU"/>
              </w:rPr>
              <w:t xml:space="preserve"> food quantity was not adequate. Hindus, members of joint families and those married couples were more likely to be food secure. Coping mechanisms include children being taken out of school or sent to ashrams to earn </w:t>
            </w:r>
            <w:proofErr w:type="gramStart"/>
            <w:r w:rsidR="00D35F89" w:rsidRPr="00531F62">
              <w:rPr>
                <w:rFonts w:ascii="Calibri" w:eastAsia="Times New Roman" w:hAnsi="Calibri" w:cs="Calibri"/>
                <w:sz w:val="18"/>
                <w:szCs w:val="18"/>
                <w:lang w:eastAsia="en-AU"/>
              </w:rPr>
              <w:t>money;</w:t>
            </w:r>
            <w:proofErr w:type="gramEnd"/>
            <w:r w:rsidR="00D35F89" w:rsidRPr="00531F62">
              <w:rPr>
                <w:rFonts w:ascii="Calibri" w:eastAsia="Times New Roman" w:hAnsi="Calibri" w:cs="Calibri"/>
                <w:sz w:val="18"/>
                <w:szCs w:val="18"/>
                <w:lang w:eastAsia="en-AU"/>
              </w:rPr>
              <w:t xml:space="preserve"> getting loans, or borrowing money from family, friends or neighbours. </w:t>
            </w:r>
          </w:p>
        </w:tc>
      </w:tr>
      <w:tr w:rsidR="008B1F72" w:rsidRPr="008B1F72" w14:paraId="1EBFB07B" w14:textId="77777777" w:rsidTr="00F11BA3">
        <w:trPr>
          <w:trHeight w:val="288"/>
        </w:trPr>
        <w:tc>
          <w:tcPr>
            <w:tcW w:w="1355" w:type="dxa"/>
            <w:shd w:val="clear" w:color="auto" w:fill="auto"/>
            <w:noWrap/>
            <w:vAlign w:val="bottom"/>
            <w:hideMark/>
          </w:tcPr>
          <w:p w14:paraId="5BBC88D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Dharmaraju</w:t>
            </w:r>
          </w:p>
        </w:tc>
        <w:tc>
          <w:tcPr>
            <w:tcW w:w="581" w:type="dxa"/>
            <w:shd w:val="clear" w:color="auto" w:fill="auto"/>
            <w:noWrap/>
            <w:vAlign w:val="bottom"/>
            <w:hideMark/>
          </w:tcPr>
          <w:p w14:paraId="6ADBCA3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2018</w:t>
            </w:r>
          </w:p>
        </w:tc>
        <w:tc>
          <w:tcPr>
            <w:tcW w:w="1193" w:type="dxa"/>
            <w:shd w:val="clear" w:color="auto" w:fill="auto"/>
            <w:noWrap/>
            <w:vAlign w:val="bottom"/>
            <w:hideMark/>
          </w:tcPr>
          <w:p w14:paraId="0CE9C62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Vellore</w:t>
            </w:r>
          </w:p>
        </w:tc>
        <w:tc>
          <w:tcPr>
            <w:tcW w:w="865" w:type="dxa"/>
            <w:shd w:val="clear" w:color="auto" w:fill="auto"/>
            <w:noWrap/>
            <w:vAlign w:val="bottom"/>
            <w:hideMark/>
          </w:tcPr>
          <w:p w14:paraId="7F645B5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150</w:t>
            </w:r>
          </w:p>
        </w:tc>
        <w:tc>
          <w:tcPr>
            <w:tcW w:w="1124" w:type="dxa"/>
            <w:shd w:val="clear" w:color="auto" w:fill="auto"/>
            <w:noWrap/>
            <w:vAlign w:val="bottom"/>
            <w:hideMark/>
          </w:tcPr>
          <w:p w14:paraId="48107B1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B4EBF4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7E8EC89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4B7F795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w:t>
            </w:r>
          </w:p>
        </w:tc>
        <w:tc>
          <w:tcPr>
            <w:tcW w:w="989" w:type="dxa"/>
            <w:shd w:val="clear" w:color="auto" w:fill="auto"/>
            <w:noWrap/>
            <w:vAlign w:val="bottom"/>
            <w:hideMark/>
          </w:tcPr>
          <w:p w14:paraId="745E252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57.3%</w:t>
            </w:r>
          </w:p>
        </w:tc>
        <w:tc>
          <w:tcPr>
            <w:tcW w:w="2756" w:type="dxa"/>
            <w:shd w:val="clear" w:color="auto" w:fill="auto"/>
            <w:noWrap/>
            <w:vAlign w:val="bottom"/>
            <w:hideMark/>
          </w:tcPr>
          <w:p w14:paraId="5AC3B49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re-assess the burden of food insecurity in urban slums</w:t>
            </w:r>
          </w:p>
        </w:tc>
        <w:tc>
          <w:tcPr>
            <w:tcW w:w="2756" w:type="dxa"/>
            <w:shd w:val="clear" w:color="auto" w:fill="auto"/>
            <w:noWrap/>
            <w:vAlign w:val="bottom"/>
            <w:hideMark/>
          </w:tcPr>
          <w:p w14:paraId="20F2D41A" w14:textId="4DD58118" w:rsidR="00D35F89" w:rsidRPr="00531F62" w:rsidRDefault="00E01655"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 xml:space="preserve">Significant </w:t>
            </w:r>
            <w:r w:rsidR="00D35F89" w:rsidRPr="00531F62">
              <w:rPr>
                <w:rFonts w:ascii="Calibri" w:eastAsia="Times New Roman" w:hAnsi="Calibri" w:cs="Calibri"/>
                <w:sz w:val="18"/>
                <w:szCs w:val="18"/>
                <w:lang w:eastAsia="en-AU"/>
              </w:rPr>
              <w:t>association between household debt and food insecurity. Those households with debts were at higher risk of household food insecurity when compared to household with no debts.</w:t>
            </w:r>
          </w:p>
        </w:tc>
      </w:tr>
      <w:tr w:rsidR="008B1F72" w:rsidRPr="008B1F72" w14:paraId="1CDD8310" w14:textId="77777777" w:rsidTr="00F11BA3">
        <w:trPr>
          <w:trHeight w:val="288"/>
        </w:trPr>
        <w:tc>
          <w:tcPr>
            <w:tcW w:w="1355" w:type="dxa"/>
            <w:shd w:val="clear" w:color="auto" w:fill="auto"/>
            <w:noWrap/>
            <w:vAlign w:val="bottom"/>
            <w:hideMark/>
          </w:tcPr>
          <w:p w14:paraId="3AE219A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Diehl</w:t>
            </w:r>
          </w:p>
        </w:tc>
        <w:tc>
          <w:tcPr>
            <w:tcW w:w="581" w:type="dxa"/>
            <w:shd w:val="clear" w:color="auto" w:fill="auto"/>
            <w:noWrap/>
            <w:vAlign w:val="bottom"/>
            <w:hideMark/>
          </w:tcPr>
          <w:p w14:paraId="0EFEF3A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65D5712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Delhi</w:t>
            </w:r>
          </w:p>
        </w:tc>
        <w:tc>
          <w:tcPr>
            <w:tcW w:w="865" w:type="dxa"/>
            <w:shd w:val="clear" w:color="auto" w:fill="auto"/>
            <w:noWrap/>
            <w:vAlign w:val="bottom"/>
            <w:hideMark/>
          </w:tcPr>
          <w:p w14:paraId="4861F2A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10</w:t>
            </w:r>
          </w:p>
        </w:tc>
        <w:tc>
          <w:tcPr>
            <w:tcW w:w="1124" w:type="dxa"/>
            <w:shd w:val="clear" w:color="auto" w:fill="auto"/>
            <w:noWrap/>
            <w:vAlign w:val="bottom"/>
            <w:hideMark/>
          </w:tcPr>
          <w:p w14:paraId="70A7C21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6ECD039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Interview</w:t>
            </w:r>
          </w:p>
        </w:tc>
        <w:tc>
          <w:tcPr>
            <w:tcW w:w="1074" w:type="dxa"/>
            <w:shd w:val="clear" w:color="auto" w:fill="auto"/>
            <w:noWrap/>
            <w:vAlign w:val="bottom"/>
            <w:hideMark/>
          </w:tcPr>
          <w:p w14:paraId="69BB9DE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2787748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w:t>
            </w:r>
          </w:p>
        </w:tc>
        <w:tc>
          <w:tcPr>
            <w:tcW w:w="989" w:type="dxa"/>
            <w:shd w:val="clear" w:color="auto" w:fill="auto"/>
            <w:noWrap/>
            <w:vAlign w:val="bottom"/>
            <w:hideMark/>
          </w:tcPr>
          <w:p w14:paraId="128E6C3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7CDA0F2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understand livelihood and migrant status, household food consumption patterns, and food security </w:t>
            </w:r>
          </w:p>
        </w:tc>
        <w:tc>
          <w:tcPr>
            <w:tcW w:w="2756" w:type="dxa"/>
            <w:shd w:val="clear" w:color="auto" w:fill="auto"/>
            <w:noWrap/>
            <w:vAlign w:val="bottom"/>
            <w:hideMark/>
          </w:tcPr>
          <w:p w14:paraId="5485676C" w14:textId="5E00A5F2"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Urban residents who grow their own food may be more food secure because they have greater access and availability of a range of foods</w:t>
            </w:r>
            <w:r w:rsidR="00E01655">
              <w:rPr>
                <w:rFonts w:ascii="Calibri" w:eastAsia="Times New Roman" w:hAnsi="Calibri" w:cs="Calibri"/>
                <w:sz w:val="18"/>
                <w:szCs w:val="18"/>
                <w:lang w:eastAsia="en-AU"/>
              </w:rPr>
              <w:t>.</w:t>
            </w:r>
          </w:p>
        </w:tc>
      </w:tr>
      <w:tr w:rsidR="008B1F72" w:rsidRPr="008B1F72" w14:paraId="06C9F66A" w14:textId="77777777" w:rsidTr="00F11BA3">
        <w:trPr>
          <w:trHeight w:val="288"/>
        </w:trPr>
        <w:tc>
          <w:tcPr>
            <w:tcW w:w="1355" w:type="dxa"/>
            <w:shd w:val="clear" w:color="auto" w:fill="auto"/>
            <w:noWrap/>
            <w:vAlign w:val="bottom"/>
            <w:hideMark/>
          </w:tcPr>
          <w:p w14:paraId="78F9B4B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Elsland</w:t>
            </w:r>
          </w:p>
        </w:tc>
        <w:tc>
          <w:tcPr>
            <w:tcW w:w="581" w:type="dxa"/>
            <w:shd w:val="clear" w:color="auto" w:fill="auto"/>
            <w:noWrap/>
            <w:vAlign w:val="bottom"/>
            <w:hideMark/>
          </w:tcPr>
          <w:p w14:paraId="1E9670E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2012</w:t>
            </w:r>
          </w:p>
        </w:tc>
        <w:tc>
          <w:tcPr>
            <w:tcW w:w="1193" w:type="dxa"/>
            <w:shd w:val="clear" w:color="auto" w:fill="auto"/>
            <w:noWrap/>
            <w:vAlign w:val="bottom"/>
            <w:hideMark/>
          </w:tcPr>
          <w:p w14:paraId="0C77009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Aurangabad</w:t>
            </w:r>
          </w:p>
        </w:tc>
        <w:tc>
          <w:tcPr>
            <w:tcW w:w="865" w:type="dxa"/>
            <w:shd w:val="clear" w:color="auto" w:fill="auto"/>
            <w:noWrap/>
            <w:vAlign w:val="bottom"/>
            <w:hideMark/>
          </w:tcPr>
          <w:p w14:paraId="4C5ED8E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133</w:t>
            </w:r>
          </w:p>
        </w:tc>
        <w:tc>
          <w:tcPr>
            <w:tcW w:w="1124" w:type="dxa"/>
            <w:shd w:val="clear" w:color="auto" w:fill="auto"/>
            <w:noWrap/>
            <w:vAlign w:val="bottom"/>
            <w:hideMark/>
          </w:tcPr>
          <w:p w14:paraId="6DB30DC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09243D3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7DB569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5AB3C62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w:t>
            </w:r>
          </w:p>
        </w:tc>
        <w:tc>
          <w:tcPr>
            <w:tcW w:w="989" w:type="dxa"/>
            <w:shd w:val="clear" w:color="auto" w:fill="auto"/>
            <w:noWrap/>
            <w:vAlign w:val="bottom"/>
            <w:hideMark/>
          </w:tcPr>
          <w:p w14:paraId="3DC6EF1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99%</w:t>
            </w:r>
          </w:p>
        </w:tc>
        <w:tc>
          <w:tcPr>
            <w:tcW w:w="2756" w:type="dxa"/>
            <w:shd w:val="clear" w:color="auto" w:fill="auto"/>
            <w:noWrap/>
            <w:vAlign w:val="bottom"/>
            <w:hideMark/>
          </w:tcPr>
          <w:p w14:paraId="13CEFC0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explore associations between household food security and home gardening, use of soya and pressure cooker ownership in low-income households affected by HIV/AIDS</w:t>
            </w:r>
          </w:p>
        </w:tc>
        <w:tc>
          <w:tcPr>
            <w:tcW w:w="2756" w:type="dxa"/>
            <w:shd w:val="clear" w:color="auto" w:fill="auto"/>
            <w:noWrap/>
            <w:vAlign w:val="bottom"/>
            <w:hideMark/>
          </w:tcPr>
          <w:p w14:paraId="06A86F7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Home gardening and soya intake were associated with better food security.</w:t>
            </w:r>
          </w:p>
        </w:tc>
      </w:tr>
      <w:tr w:rsidR="008B1F72" w:rsidRPr="008B1F72" w14:paraId="4919A10E" w14:textId="77777777" w:rsidTr="00F11BA3">
        <w:trPr>
          <w:trHeight w:val="288"/>
        </w:trPr>
        <w:tc>
          <w:tcPr>
            <w:tcW w:w="1355" w:type="dxa"/>
            <w:shd w:val="clear" w:color="auto" w:fill="auto"/>
            <w:noWrap/>
            <w:vAlign w:val="bottom"/>
            <w:hideMark/>
          </w:tcPr>
          <w:p w14:paraId="0CFEF87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George</w:t>
            </w:r>
          </w:p>
        </w:tc>
        <w:tc>
          <w:tcPr>
            <w:tcW w:w="581" w:type="dxa"/>
            <w:shd w:val="clear" w:color="auto" w:fill="auto"/>
            <w:noWrap/>
            <w:vAlign w:val="bottom"/>
            <w:hideMark/>
          </w:tcPr>
          <w:p w14:paraId="2C8F547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2000</w:t>
            </w:r>
          </w:p>
        </w:tc>
        <w:tc>
          <w:tcPr>
            <w:tcW w:w="1193" w:type="dxa"/>
            <w:shd w:val="clear" w:color="auto" w:fill="auto"/>
            <w:noWrap/>
            <w:vAlign w:val="bottom"/>
            <w:hideMark/>
          </w:tcPr>
          <w:p w14:paraId="11A7FB2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Mumbai</w:t>
            </w:r>
          </w:p>
        </w:tc>
        <w:tc>
          <w:tcPr>
            <w:tcW w:w="865" w:type="dxa"/>
            <w:shd w:val="clear" w:color="auto" w:fill="auto"/>
            <w:noWrap/>
            <w:vAlign w:val="bottom"/>
            <w:hideMark/>
          </w:tcPr>
          <w:p w14:paraId="745BABA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405</w:t>
            </w:r>
          </w:p>
        </w:tc>
        <w:tc>
          <w:tcPr>
            <w:tcW w:w="1124" w:type="dxa"/>
            <w:shd w:val="clear" w:color="auto" w:fill="auto"/>
            <w:noWrap/>
            <w:vAlign w:val="bottom"/>
            <w:hideMark/>
          </w:tcPr>
          <w:p w14:paraId="7BD65D9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69D093C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Survey, </w:t>
            </w:r>
            <w:proofErr w:type="gramStart"/>
            <w:r w:rsidRPr="00531F62">
              <w:rPr>
                <w:rFonts w:ascii="Calibri" w:eastAsia="Times New Roman" w:hAnsi="Calibri" w:cs="Calibri"/>
                <w:sz w:val="18"/>
                <w:szCs w:val="18"/>
                <w:lang w:eastAsia="en-AU"/>
              </w:rPr>
              <w:t>24 hour</w:t>
            </w:r>
            <w:proofErr w:type="gramEnd"/>
            <w:r w:rsidRPr="00531F62">
              <w:rPr>
                <w:rFonts w:ascii="Calibri" w:eastAsia="Times New Roman" w:hAnsi="Calibri" w:cs="Calibri"/>
                <w:sz w:val="18"/>
                <w:szCs w:val="18"/>
                <w:lang w:eastAsia="en-AU"/>
              </w:rPr>
              <w:t xml:space="preserve"> diet recall</w:t>
            </w:r>
          </w:p>
        </w:tc>
        <w:tc>
          <w:tcPr>
            <w:tcW w:w="1074" w:type="dxa"/>
            <w:shd w:val="clear" w:color="auto" w:fill="auto"/>
            <w:noWrap/>
            <w:vAlign w:val="bottom"/>
            <w:hideMark/>
          </w:tcPr>
          <w:p w14:paraId="781AC63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6DBE41D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ratio of calories consumed vs caloires recommended</w:t>
            </w:r>
          </w:p>
        </w:tc>
        <w:tc>
          <w:tcPr>
            <w:tcW w:w="989" w:type="dxa"/>
            <w:shd w:val="clear" w:color="auto" w:fill="auto"/>
            <w:noWrap/>
            <w:vAlign w:val="bottom"/>
            <w:hideMark/>
          </w:tcPr>
          <w:p w14:paraId="36F0002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57.40%</w:t>
            </w:r>
          </w:p>
        </w:tc>
        <w:tc>
          <w:tcPr>
            <w:tcW w:w="2756" w:type="dxa"/>
            <w:shd w:val="clear" w:color="auto" w:fill="auto"/>
            <w:noWrap/>
            <w:vAlign w:val="bottom"/>
            <w:hideMark/>
          </w:tcPr>
          <w:p w14:paraId="3042197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estimate food security among preschool children and to evaluate socio-economic, </w:t>
            </w:r>
            <w:proofErr w:type="gramStart"/>
            <w:r w:rsidRPr="00531F62">
              <w:rPr>
                <w:rFonts w:ascii="Calibri" w:eastAsia="Times New Roman" w:hAnsi="Calibri" w:cs="Calibri"/>
                <w:sz w:val="18"/>
                <w:szCs w:val="18"/>
                <w:lang w:eastAsia="en-AU"/>
              </w:rPr>
              <w:t>demographic</w:t>
            </w:r>
            <w:proofErr w:type="gramEnd"/>
            <w:r w:rsidRPr="00531F62">
              <w:rPr>
                <w:rFonts w:ascii="Calibri" w:eastAsia="Times New Roman" w:hAnsi="Calibri" w:cs="Calibri"/>
                <w:sz w:val="18"/>
                <w:szCs w:val="18"/>
                <w:lang w:eastAsia="en-AU"/>
              </w:rPr>
              <w:t xml:space="preserve"> and anthropometric variables associated with food security</w:t>
            </w:r>
          </w:p>
        </w:tc>
        <w:tc>
          <w:tcPr>
            <w:tcW w:w="2756" w:type="dxa"/>
            <w:shd w:val="clear" w:color="auto" w:fill="auto"/>
            <w:noWrap/>
            <w:vAlign w:val="bottom"/>
            <w:hideMark/>
          </w:tcPr>
          <w:p w14:paraId="72D74FB4" w14:textId="2DFFC5FC"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Increase in education levels of mothers increased food security. Consumption of 4 or less meals per day by a child was associated with insecurity. Increasing number o</w:t>
            </w:r>
            <w:r w:rsidR="00110142">
              <w:rPr>
                <w:rFonts w:ascii="Calibri" w:eastAsia="Times New Roman" w:hAnsi="Calibri" w:cs="Calibri"/>
                <w:sz w:val="18"/>
                <w:szCs w:val="18"/>
                <w:lang w:eastAsia="en-AU"/>
              </w:rPr>
              <w:t>f</w:t>
            </w:r>
            <w:r w:rsidRPr="00531F62">
              <w:rPr>
                <w:rFonts w:ascii="Calibri" w:eastAsia="Times New Roman" w:hAnsi="Calibri" w:cs="Calibri"/>
                <w:sz w:val="18"/>
                <w:szCs w:val="18"/>
                <w:lang w:eastAsia="en-AU"/>
              </w:rPr>
              <w:t xml:space="preserve"> children was associated with increased food insecurity</w:t>
            </w:r>
          </w:p>
        </w:tc>
      </w:tr>
      <w:tr w:rsidR="008B1F72" w:rsidRPr="008B1F72" w14:paraId="721A64FF" w14:textId="77777777" w:rsidTr="00F11BA3">
        <w:trPr>
          <w:trHeight w:val="288"/>
        </w:trPr>
        <w:tc>
          <w:tcPr>
            <w:tcW w:w="1355" w:type="dxa"/>
            <w:shd w:val="clear" w:color="auto" w:fill="auto"/>
            <w:noWrap/>
            <w:vAlign w:val="bottom"/>
            <w:hideMark/>
          </w:tcPr>
          <w:p w14:paraId="774468E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Gopichandran</w:t>
            </w:r>
          </w:p>
        </w:tc>
        <w:tc>
          <w:tcPr>
            <w:tcW w:w="581" w:type="dxa"/>
            <w:shd w:val="clear" w:color="auto" w:fill="auto"/>
            <w:noWrap/>
            <w:vAlign w:val="bottom"/>
            <w:hideMark/>
          </w:tcPr>
          <w:p w14:paraId="167874E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2010</w:t>
            </w:r>
          </w:p>
        </w:tc>
        <w:tc>
          <w:tcPr>
            <w:tcW w:w="1193" w:type="dxa"/>
            <w:shd w:val="clear" w:color="auto" w:fill="auto"/>
            <w:noWrap/>
            <w:vAlign w:val="bottom"/>
            <w:hideMark/>
          </w:tcPr>
          <w:p w14:paraId="262A853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Vellore</w:t>
            </w:r>
          </w:p>
        </w:tc>
        <w:tc>
          <w:tcPr>
            <w:tcW w:w="865" w:type="dxa"/>
            <w:shd w:val="clear" w:color="auto" w:fill="auto"/>
            <w:noWrap/>
            <w:vAlign w:val="bottom"/>
            <w:hideMark/>
          </w:tcPr>
          <w:p w14:paraId="4846202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130</w:t>
            </w:r>
          </w:p>
        </w:tc>
        <w:tc>
          <w:tcPr>
            <w:tcW w:w="1124" w:type="dxa"/>
            <w:shd w:val="clear" w:color="auto" w:fill="auto"/>
            <w:noWrap/>
            <w:vAlign w:val="bottom"/>
            <w:hideMark/>
          </w:tcPr>
          <w:p w14:paraId="454CF58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4730E3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1CD6001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68379EB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 18 item</w:t>
            </w:r>
          </w:p>
        </w:tc>
        <w:tc>
          <w:tcPr>
            <w:tcW w:w="989" w:type="dxa"/>
            <w:shd w:val="clear" w:color="auto" w:fill="auto"/>
            <w:noWrap/>
            <w:vAlign w:val="bottom"/>
            <w:hideMark/>
          </w:tcPr>
          <w:p w14:paraId="38D07B7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74.60%</w:t>
            </w:r>
          </w:p>
        </w:tc>
        <w:tc>
          <w:tcPr>
            <w:tcW w:w="2756" w:type="dxa"/>
            <w:shd w:val="clear" w:color="auto" w:fill="auto"/>
            <w:noWrap/>
            <w:vAlign w:val="bottom"/>
            <w:hideMark/>
          </w:tcPr>
          <w:p w14:paraId="311D6BC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study the level of food security in a densely populated urban area in southern India.</w:t>
            </w:r>
          </w:p>
        </w:tc>
        <w:tc>
          <w:tcPr>
            <w:tcW w:w="2756" w:type="dxa"/>
            <w:shd w:val="clear" w:color="auto" w:fill="auto"/>
            <w:noWrap/>
            <w:vAlign w:val="bottom"/>
            <w:hideMark/>
          </w:tcPr>
          <w:p w14:paraId="50BCB28B" w14:textId="70AC8D7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Food insecurity is higher in this area than in other areas of India. Food insecurity is associated with </w:t>
            </w:r>
            <w:r w:rsidR="00110142">
              <w:rPr>
                <w:rFonts w:ascii="Calibri" w:eastAsia="Times New Roman" w:hAnsi="Calibri" w:cs="Calibri"/>
                <w:sz w:val="18"/>
                <w:szCs w:val="18"/>
                <w:lang w:eastAsia="en-AU"/>
              </w:rPr>
              <w:t>low income</w:t>
            </w:r>
            <w:r w:rsidRPr="00531F62">
              <w:rPr>
                <w:rFonts w:ascii="Calibri" w:eastAsia="Times New Roman" w:hAnsi="Calibri" w:cs="Calibri"/>
                <w:sz w:val="18"/>
                <w:szCs w:val="18"/>
                <w:lang w:eastAsia="en-AU"/>
              </w:rPr>
              <w:t xml:space="preserve">. </w:t>
            </w:r>
          </w:p>
        </w:tc>
      </w:tr>
      <w:tr w:rsidR="008B1F72" w:rsidRPr="008B1F72" w14:paraId="0057B6B8" w14:textId="77777777" w:rsidTr="00F11BA3">
        <w:trPr>
          <w:trHeight w:val="288"/>
        </w:trPr>
        <w:tc>
          <w:tcPr>
            <w:tcW w:w="1355" w:type="dxa"/>
            <w:shd w:val="clear" w:color="auto" w:fill="auto"/>
            <w:noWrap/>
            <w:vAlign w:val="bottom"/>
            <w:hideMark/>
          </w:tcPr>
          <w:p w14:paraId="79A1770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Heylen</w:t>
            </w:r>
          </w:p>
        </w:tc>
        <w:tc>
          <w:tcPr>
            <w:tcW w:w="581" w:type="dxa"/>
            <w:shd w:val="clear" w:color="auto" w:fill="auto"/>
            <w:noWrap/>
            <w:vAlign w:val="bottom"/>
            <w:hideMark/>
          </w:tcPr>
          <w:p w14:paraId="42614DF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2015</w:t>
            </w:r>
          </w:p>
        </w:tc>
        <w:tc>
          <w:tcPr>
            <w:tcW w:w="1193" w:type="dxa"/>
            <w:shd w:val="clear" w:color="auto" w:fill="auto"/>
            <w:noWrap/>
            <w:vAlign w:val="bottom"/>
            <w:hideMark/>
          </w:tcPr>
          <w:p w14:paraId="29F9F77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Bangalore</w:t>
            </w:r>
          </w:p>
        </w:tc>
        <w:tc>
          <w:tcPr>
            <w:tcW w:w="865" w:type="dxa"/>
            <w:shd w:val="clear" w:color="auto" w:fill="auto"/>
            <w:noWrap/>
            <w:vAlign w:val="bottom"/>
            <w:hideMark/>
          </w:tcPr>
          <w:p w14:paraId="75987E0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372</w:t>
            </w:r>
          </w:p>
        </w:tc>
        <w:tc>
          <w:tcPr>
            <w:tcW w:w="1124" w:type="dxa"/>
            <w:shd w:val="clear" w:color="auto" w:fill="auto"/>
            <w:noWrap/>
            <w:vAlign w:val="bottom"/>
            <w:hideMark/>
          </w:tcPr>
          <w:p w14:paraId="7627C9E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6F798A6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Interview</w:t>
            </w:r>
          </w:p>
        </w:tc>
        <w:tc>
          <w:tcPr>
            <w:tcW w:w="1074" w:type="dxa"/>
            <w:shd w:val="clear" w:color="auto" w:fill="auto"/>
            <w:noWrap/>
            <w:vAlign w:val="bottom"/>
            <w:hideMark/>
          </w:tcPr>
          <w:p w14:paraId="5222E33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Adults</w:t>
            </w:r>
          </w:p>
        </w:tc>
        <w:tc>
          <w:tcPr>
            <w:tcW w:w="1422" w:type="dxa"/>
            <w:shd w:val="clear" w:color="auto" w:fill="auto"/>
            <w:noWrap/>
            <w:vAlign w:val="bottom"/>
            <w:hideMark/>
          </w:tcPr>
          <w:p w14:paraId="54E10E5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58EFA52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16%</w:t>
            </w:r>
          </w:p>
        </w:tc>
        <w:tc>
          <w:tcPr>
            <w:tcW w:w="2756" w:type="dxa"/>
            <w:shd w:val="clear" w:color="auto" w:fill="auto"/>
            <w:noWrap/>
            <w:vAlign w:val="bottom"/>
            <w:hideMark/>
          </w:tcPr>
          <w:p w14:paraId="7C9F8D93" w14:textId="6DF5DA38"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understand the </w:t>
            </w:r>
            <w:r w:rsidR="00BE057A" w:rsidRPr="008B1F72">
              <w:rPr>
                <w:rFonts w:ascii="Calibri" w:eastAsia="Times New Roman" w:hAnsi="Calibri" w:cs="Calibri"/>
                <w:sz w:val="18"/>
                <w:szCs w:val="18"/>
                <w:lang w:eastAsia="en-AU"/>
              </w:rPr>
              <w:t>experiences</w:t>
            </w:r>
            <w:r w:rsidRPr="00531F62">
              <w:rPr>
                <w:rFonts w:ascii="Calibri" w:eastAsia="Times New Roman" w:hAnsi="Calibri" w:cs="Calibri"/>
                <w:sz w:val="18"/>
                <w:szCs w:val="18"/>
                <w:lang w:eastAsia="en-AU"/>
              </w:rPr>
              <w:t xml:space="preserve"> of people living with HIV and food insecurity, and to </w:t>
            </w:r>
            <w:r w:rsidR="00BE057A" w:rsidRPr="008B1F72">
              <w:rPr>
                <w:rFonts w:ascii="Calibri" w:eastAsia="Times New Roman" w:hAnsi="Calibri" w:cs="Calibri"/>
                <w:sz w:val="18"/>
                <w:szCs w:val="18"/>
                <w:lang w:eastAsia="en-AU"/>
              </w:rPr>
              <w:t>examine</w:t>
            </w:r>
            <w:r w:rsidRPr="00531F62">
              <w:rPr>
                <w:rFonts w:ascii="Calibri" w:eastAsia="Times New Roman" w:hAnsi="Calibri" w:cs="Calibri"/>
                <w:sz w:val="18"/>
                <w:szCs w:val="18"/>
                <w:lang w:eastAsia="en-AU"/>
              </w:rPr>
              <w:t xml:space="preserve"> the link between food insecurity and mental health</w:t>
            </w:r>
          </w:p>
        </w:tc>
        <w:tc>
          <w:tcPr>
            <w:tcW w:w="2756" w:type="dxa"/>
            <w:shd w:val="clear" w:color="auto" w:fill="auto"/>
            <w:noWrap/>
            <w:vAlign w:val="bottom"/>
            <w:hideMark/>
          </w:tcPr>
          <w:p w14:paraId="10073A64" w14:textId="466DCE18"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Food insecurity was linked to reduced psychological well-being, especially among men. Food insecurity among </w:t>
            </w:r>
            <w:r w:rsidR="00110142">
              <w:rPr>
                <w:rFonts w:ascii="Calibri" w:eastAsia="Times New Roman" w:hAnsi="Calibri" w:cs="Calibri"/>
                <w:sz w:val="18"/>
                <w:szCs w:val="18"/>
                <w:lang w:eastAsia="en-AU"/>
              </w:rPr>
              <w:t xml:space="preserve">people living with HIV/AIDS </w:t>
            </w:r>
            <w:r w:rsidRPr="00531F62">
              <w:rPr>
                <w:rFonts w:ascii="Calibri" w:eastAsia="Times New Roman" w:hAnsi="Calibri" w:cs="Calibri"/>
                <w:sz w:val="18"/>
                <w:szCs w:val="18"/>
                <w:lang w:eastAsia="en-AU"/>
              </w:rPr>
              <w:t>was lower than other groups</w:t>
            </w:r>
          </w:p>
        </w:tc>
      </w:tr>
      <w:tr w:rsidR="008B1F72" w:rsidRPr="008B1F72" w14:paraId="4EF8AFD8" w14:textId="77777777" w:rsidTr="00F11BA3">
        <w:trPr>
          <w:trHeight w:val="288"/>
        </w:trPr>
        <w:tc>
          <w:tcPr>
            <w:tcW w:w="1355" w:type="dxa"/>
            <w:shd w:val="clear" w:color="auto" w:fill="auto"/>
            <w:noWrap/>
            <w:vAlign w:val="bottom"/>
            <w:hideMark/>
          </w:tcPr>
          <w:p w14:paraId="400960A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Houghton</w:t>
            </w:r>
          </w:p>
        </w:tc>
        <w:tc>
          <w:tcPr>
            <w:tcW w:w="581" w:type="dxa"/>
            <w:shd w:val="clear" w:color="auto" w:fill="auto"/>
            <w:noWrap/>
            <w:vAlign w:val="bottom"/>
            <w:hideMark/>
          </w:tcPr>
          <w:p w14:paraId="42CD95C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2020</w:t>
            </w:r>
          </w:p>
        </w:tc>
        <w:tc>
          <w:tcPr>
            <w:tcW w:w="1193" w:type="dxa"/>
            <w:shd w:val="clear" w:color="auto" w:fill="auto"/>
            <w:noWrap/>
            <w:vAlign w:val="bottom"/>
            <w:hideMark/>
          </w:tcPr>
          <w:p w14:paraId="63F8A50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Delhi</w:t>
            </w:r>
          </w:p>
        </w:tc>
        <w:tc>
          <w:tcPr>
            <w:tcW w:w="865" w:type="dxa"/>
            <w:shd w:val="clear" w:color="auto" w:fill="auto"/>
            <w:noWrap/>
            <w:vAlign w:val="bottom"/>
            <w:hideMark/>
          </w:tcPr>
          <w:p w14:paraId="54DECE6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120</w:t>
            </w:r>
          </w:p>
        </w:tc>
        <w:tc>
          <w:tcPr>
            <w:tcW w:w="1124" w:type="dxa"/>
            <w:shd w:val="clear" w:color="auto" w:fill="auto"/>
            <w:noWrap/>
            <w:vAlign w:val="bottom"/>
            <w:hideMark/>
          </w:tcPr>
          <w:p w14:paraId="02A2659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2B1F657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3A5CE1F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02714AD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4F50986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12%</w:t>
            </w:r>
          </w:p>
        </w:tc>
        <w:tc>
          <w:tcPr>
            <w:tcW w:w="2756" w:type="dxa"/>
            <w:shd w:val="clear" w:color="auto" w:fill="auto"/>
            <w:noWrap/>
            <w:vAlign w:val="bottom"/>
            <w:hideMark/>
          </w:tcPr>
          <w:p w14:paraId="61F2BA9F" w14:textId="19F34A7A"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characterise the feeding and caring practices of disadvantaged urban Indian children 12 to 24 month of age in relation to the WHO </w:t>
            </w:r>
            <w:r w:rsidR="00BE057A" w:rsidRPr="008B1F72">
              <w:rPr>
                <w:rFonts w:ascii="Calibri" w:eastAsia="Times New Roman" w:hAnsi="Calibri" w:cs="Calibri"/>
                <w:sz w:val="18"/>
                <w:szCs w:val="18"/>
                <w:lang w:eastAsia="en-AU"/>
              </w:rPr>
              <w:t>recommendations</w:t>
            </w:r>
          </w:p>
        </w:tc>
        <w:tc>
          <w:tcPr>
            <w:tcW w:w="2756" w:type="dxa"/>
            <w:shd w:val="clear" w:color="auto" w:fill="auto"/>
            <w:noWrap/>
            <w:vAlign w:val="bottom"/>
            <w:hideMark/>
          </w:tcPr>
          <w:p w14:paraId="37EE607F" w14:textId="2708A70C" w:rsidR="00D35F89" w:rsidRPr="00531F62" w:rsidRDefault="00110142"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 xml:space="preserve">Stunting, </w:t>
            </w:r>
            <w:r w:rsidR="00D35F89" w:rsidRPr="00531F62">
              <w:rPr>
                <w:rFonts w:ascii="Calibri" w:eastAsia="Times New Roman" w:hAnsi="Calibri" w:cs="Calibri"/>
                <w:sz w:val="18"/>
                <w:szCs w:val="18"/>
                <w:lang w:eastAsia="en-AU"/>
              </w:rPr>
              <w:t xml:space="preserve">underweight, </w:t>
            </w:r>
            <w:r>
              <w:rPr>
                <w:rFonts w:ascii="Calibri" w:eastAsia="Times New Roman" w:hAnsi="Calibri" w:cs="Calibri"/>
                <w:sz w:val="18"/>
                <w:szCs w:val="18"/>
                <w:lang w:eastAsia="en-AU"/>
              </w:rPr>
              <w:t xml:space="preserve">and wasting was high. Complementary </w:t>
            </w:r>
            <w:r w:rsidR="00D35F89" w:rsidRPr="00531F62">
              <w:rPr>
                <w:rFonts w:ascii="Calibri" w:eastAsia="Times New Roman" w:hAnsi="Calibri" w:cs="Calibri"/>
                <w:sz w:val="18"/>
                <w:szCs w:val="18"/>
                <w:lang w:eastAsia="en-AU"/>
              </w:rPr>
              <w:t>feeding and caregiving practices were sub-</w:t>
            </w:r>
            <w:r w:rsidRPr="00531F62">
              <w:rPr>
                <w:rFonts w:ascii="Calibri" w:eastAsia="Times New Roman" w:hAnsi="Calibri" w:cs="Calibri"/>
                <w:sz w:val="18"/>
                <w:szCs w:val="18"/>
                <w:lang w:eastAsia="en-AU"/>
              </w:rPr>
              <w:t>optimal</w:t>
            </w:r>
          </w:p>
        </w:tc>
      </w:tr>
      <w:tr w:rsidR="008B1F72" w:rsidRPr="008B1F72" w14:paraId="793CFBDC" w14:textId="77777777" w:rsidTr="00F11BA3">
        <w:trPr>
          <w:trHeight w:val="288"/>
        </w:trPr>
        <w:tc>
          <w:tcPr>
            <w:tcW w:w="1355" w:type="dxa"/>
            <w:shd w:val="clear" w:color="auto" w:fill="auto"/>
            <w:noWrap/>
            <w:vAlign w:val="bottom"/>
            <w:hideMark/>
          </w:tcPr>
          <w:p w14:paraId="357EC4C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Humphries</w:t>
            </w:r>
          </w:p>
        </w:tc>
        <w:tc>
          <w:tcPr>
            <w:tcW w:w="581" w:type="dxa"/>
            <w:shd w:val="clear" w:color="auto" w:fill="auto"/>
            <w:noWrap/>
            <w:vAlign w:val="bottom"/>
            <w:hideMark/>
          </w:tcPr>
          <w:p w14:paraId="5B50529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2015</w:t>
            </w:r>
          </w:p>
        </w:tc>
        <w:tc>
          <w:tcPr>
            <w:tcW w:w="1193" w:type="dxa"/>
            <w:shd w:val="clear" w:color="auto" w:fill="auto"/>
            <w:noWrap/>
            <w:vAlign w:val="bottom"/>
            <w:hideMark/>
          </w:tcPr>
          <w:p w14:paraId="337E846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India</w:t>
            </w:r>
          </w:p>
        </w:tc>
        <w:tc>
          <w:tcPr>
            <w:tcW w:w="865" w:type="dxa"/>
            <w:shd w:val="clear" w:color="auto" w:fill="auto"/>
            <w:noWrap/>
            <w:vAlign w:val="bottom"/>
            <w:hideMark/>
          </w:tcPr>
          <w:p w14:paraId="17AAAA8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1825</w:t>
            </w:r>
          </w:p>
        </w:tc>
        <w:tc>
          <w:tcPr>
            <w:tcW w:w="1124" w:type="dxa"/>
            <w:shd w:val="clear" w:color="auto" w:fill="auto"/>
            <w:noWrap/>
            <w:vAlign w:val="bottom"/>
            <w:hideMark/>
          </w:tcPr>
          <w:p w14:paraId="095BE21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Cohort Study </w:t>
            </w:r>
          </w:p>
        </w:tc>
        <w:tc>
          <w:tcPr>
            <w:tcW w:w="1337" w:type="dxa"/>
            <w:shd w:val="clear" w:color="auto" w:fill="auto"/>
            <w:noWrap/>
            <w:vAlign w:val="bottom"/>
            <w:hideMark/>
          </w:tcPr>
          <w:p w14:paraId="24FD744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 anthropometry</w:t>
            </w:r>
          </w:p>
        </w:tc>
        <w:tc>
          <w:tcPr>
            <w:tcW w:w="1074" w:type="dxa"/>
            <w:shd w:val="clear" w:color="auto" w:fill="auto"/>
            <w:noWrap/>
            <w:vAlign w:val="bottom"/>
            <w:hideMark/>
          </w:tcPr>
          <w:p w14:paraId="2A40779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34B104E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06156BB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8.70%</w:t>
            </w:r>
          </w:p>
        </w:tc>
        <w:tc>
          <w:tcPr>
            <w:tcW w:w="2756" w:type="dxa"/>
            <w:shd w:val="clear" w:color="auto" w:fill="auto"/>
            <w:noWrap/>
            <w:vAlign w:val="bottom"/>
            <w:hideMark/>
          </w:tcPr>
          <w:p w14:paraId="7ED1C02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associations between food insecurity and stunting and wasting and dietary diversity</w:t>
            </w:r>
          </w:p>
        </w:tc>
        <w:tc>
          <w:tcPr>
            <w:tcW w:w="2756" w:type="dxa"/>
            <w:shd w:val="clear" w:color="auto" w:fill="auto"/>
            <w:noWrap/>
            <w:vAlign w:val="bottom"/>
            <w:hideMark/>
          </w:tcPr>
          <w:p w14:paraId="4FC5FB0D" w14:textId="3C414B6C"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Chronically food-insecure households had </w:t>
            </w:r>
            <w:r w:rsidR="00A86CF8">
              <w:rPr>
                <w:rFonts w:ascii="Calibri" w:eastAsia="Times New Roman" w:hAnsi="Calibri" w:cs="Calibri"/>
                <w:sz w:val="18"/>
                <w:szCs w:val="18"/>
                <w:lang w:eastAsia="en-AU"/>
              </w:rPr>
              <w:t xml:space="preserve">significantly </w:t>
            </w:r>
            <w:r w:rsidR="00BD5FAB">
              <w:rPr>
                <w:rFonts w:ascii="Calibri" w:eastAsia="Times New Roman" w:hAnsi="Calibri" w:cs="Calibri"/>
                <w:sz w:val="18"/>
                <w:szCs w:val="18"/>
                <w:lang w:eastAsia="en-AU"/>
              </w:rPr>
              <w:t>stunting</w:t>
            </w:r>
            <w:r w:rsidRPr="00531F62">
              <w:rPr>
                <w:rFonts w:ascii="Calibri" w:eastAsia="Times New Roman" w:hAnsi="Calibri" w:cs="Calibri"/>
                <w:sz w:val="18"/>
                <w:szCs w:val="18"/>
                <w:lang w:eastAsia="en-AU"/>
              </w:rPr>
              <w:t>, although BMI-Zs did not differ by chronic food-insecurity status.</w:t>
            </w:r>
          </w:p>
        </w:tc>
      </w:tr>
      <w:tr w:rsidR="008B1F72" w:rsidRPr="008B1F72" w14:paraId="31E831A9" w14:textId="77777777" w:rsidTr="00F11BA3">
        <w:trPr>
          <w:trHeight w:val="288"/>
        </w:trPr>
        <w:tc>
          <w:tcPr>
            <w:tcW w:w="1355" w:type="dxa"/>
            <w:shd w:val="clear" w:color="auto" w:fill="auto"/>
            <w:noWrap/>
            <w:vAlign w:val="bottom"/>
            <w:hideMark/>
          </w:tcPr>
          <w:p w14:paraId="3397147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Joshi</w:t>
            </w:r>
          </w:p>
        </w:tc>
        <w:tc>
          <w:tcPr>
            <w:tcW w:w="581" w:type="dxa"/>
            <w:shd w:val="clear" w:color="auto" w:fill="auto"/>
            <w:noWrap/>
            <w:vAlign w:val="bottom"/>
            <w:hideMark/>
          </w:tcPr>
          <w:p w14:paraId="45F908A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7DCDA5F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Delhi</w:t>
            </w:r>
          </w:p>
        </w:tc>
        <w:tc>
          <w:tcPr>
            <w:tcW w:w="865" w:type="dxa"/>
            <w:shd w:val="clear" w:color="auto" w:fill="auto"/>
            <w:noWrap/>
            <w:vAlign w:val="bottom"/>
            <w:hideMark/>
          </w:tcPr>
          <w:p w14:paraId="5564D08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907</w:t>
            </w:r>
          </w:p>
        </w:tc>
        <w:tc>
          <w:tcPr>
            <w:tcW w:w="1124" w:type="dxa"/>
            <w:shd w:val="clear" w:color="auto" w:fill="auto"/>
            <w:noWrap/>
            <w:vAlign w:val="bottom"/>
            <w:hideMark/>
          </w:tcPr>
          <w:p w14:paraId="17A0456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7A94288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19FE1C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4B24055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3FECCDB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45%</w:t>
            </w:r>
          </w:p>
        </w:tc>
        <w:tc>
          <w:tcPr>
            <w:tcW w:w="2756" w:type="dxa"/>
            <w:shd w:val="clear" w:color="auto" w:fill="auto"/>
            <w:noWrap/>
            <w:vAlign w:val="bottom"/>
            <w:hideMark/>
          </w:tcPr>
          <w:p w14:paraId="7A9DB94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examine food insecurity in slums</w:t>
            </w:r>
          </w:p>
        </w:tc>
        <w:tc>
          <w:tcPr>
            <w:tcW w:w="2756" w:type="dxa"/>
            <w:shd w:val="clear" w:color="auto" w:fill="auto"/>
            <w:noWrap/>
            <w:vAlign w:val="bottom"/>
            <w:hideMark/>
          </w:tcPr>
          <w:p w14:paraId="0FD9CF0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Predictors of food security included household educational level, presence of physically disabled household members, number of household members, coverage of health service needs, electricity needs. Failure to meet employment needs associated with higher food insecurity.</w:t>
            </w:r>
          </w:p>
        </w:tc>
      </w:tr>
      <w:tr w:rsidR="008B1F72" w:rsidRPr="008B1F72" w14:paraId="38A9A963" w14:textId="77777777" w:rsidTr="00F11BA3">
        <w:trPr>
          <w:trHeight w:val="288"/>
        </w:trPr>
        <w:tc>
          <w:tcPr>
            <w:tcW w:w="1355" w:type="dxa"/>
            <w:shd w:val="clear" w:color="auto" w:fill="auto"/>
            <w:noWrap/>
            <w:vAlign w:val="bottom"/>
            <w:hideMark/>
          </w:tcPr>
          <w:p w14:paraId="33C5EC5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Kalyani</w:t>
            </w:r>
          </w:p>
        </w:tc>
        <w:tc>
          <w:tcPr>
            <w:tcW w:w="581" w:type="dxa"/>
            <w:shd w:val="clear" w:color="auto" w:fill="auto"/>
            <w:noWrap/>
            <w:vAlign w:val="bottom"/>
            <w:hideMark/>
          </w:tcPr>
          <w:p w14:paraId="4B09D96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2017</w:t>
            </w:r>
          </w:p>
        </w:tc>
        <w:tc>
          <w:tcPr>
            <w:tcW w:w="1193" w:type="dxa"/>
            <w:shd w:val="clear" w:color="auto" w:fill="auto"/>
            <w:noWrap/>
            <w:vAlign w:val="bottom"/>
            <w:hideMark/>
          </w:tcPr>
          <w:p w14:paraId="53E5CC3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Odisha</w:t>
            </w:r>
          </w:p>
        </w:tc>
        <w:tc>
          <w:tcPr>
            <w:tcW w:w="865" w:type="dxa"/>
            <w:shd w:val="clear" w:color="auto" w:fill="auto"/>
            <w:noWrap/>
            <w:vAlign w:val="bottom"/>
            <w:hideMark/>
          </w:tcPr>
          <w:p w14:paraId="31D8094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1161</w:t>
            </w:r>
          </w:p>
        </w:tc>
        <w:tc>
          <w:tcPr>
            <w:tcW w:w="1124" w:type="dxa"/>
            <w:shd w:val="clear" w:color="auto" w:fill="auto"/>
            <w:noWrap/>
            <w:vAlign w:val="bottom"/>
            <w:hideMark/>
          </w:tcPr>
          <w:p w14:paraId="47E81A6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2E4A54D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2D12418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621D3FE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1728F93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19ECFE8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examine the effects of receiving money on household food security</w:t>
            </w:r>
          </w:p>
        </w:tc>
        <w:tc>
          <w:tcPr>
            <w:tcW w:w="2756" w:type="dxa"/>
            <w:shd w:val="clear" w:color="auto" w:fill="auto"/>
            <w:noWrap/>
            <w:vAlign w:val="bottom"/>
            <w:hideMark/>
          </w:tcPr>
          <w:p w14:paraId="33ED7B8D" w14:textId="78617898" w:rsidR="00D35F89" w:rsidRPr="00531F62" w:rsidRDefault="00BD5FAB"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A h</w:t>
            </w:r>
            <w:r w:rsidR="00D35F89" w:rsidRPr="00531F62">
              <w:rPr>
                <w:rFonts w:ascii="Calibri" w:eastAsia="Times New Roman" w:hAnsi="Calibri" w:cs="Calibri"/>
                <w:sz w:val="18"/>
                <w:szCs w:val="18"/>
                <w:lang w:eastAsia="en-AU"/>
              </w:rPr>
              <w:t xml:space="preserve">igher proportion of women food insecure for each condition and domain in women not receiving Mamata vs </w:t>
            </w:r>
            <w:r w:rsidRPr="00531F62">
              <w:rPr>
                <w:rFonts w:ascii="Calibri" w:eastAsia="Times New Roman" w:hAnsi="Calibri" w:cs="Calibri"/>
                <w:sz w:val="18"/>
                <w:szCs w:val="18"/>
                <w:lang w:eastAsia="en-AU"/>
              </w:rPr>
              <w:t>receiving</w:t>
            </w:r>
            <w:r w:rsidR="00D35F89" w:rsidRPr="00531F62">
              <w:rPr>
                <w:rFonts w:ascii="Calibri" w:eastAsia="Times New Roman" w:hAnsi="Calibri" w:cs="Calibri"/>
                <w:sz w:val="18"/>
                <w:szCs w:val="18"/>
                <w:lang w:eastAsia="en-AU"/>
              </w:rPr>
              <w:t xml:space="preserve"> Mamata </w:t>
            </w:r>
          </w:p>
        </w:tc>
      </w:tr>
      <w:tr w:rsidR="008B1F72" w:rsidRPr="008B1F72" w14:paraId="46CB3603" w14:textId="77777777" w:rsidTr="00F11BA3">
        <w:trPr>
          <w:trHeight w:val="288"/>
        </w:trPr>
        <w:tc>
          <w:tcPr>
            <w:tcW w:w="1355" w:type="dxa"/>
            <w:shd w:val="clear" w:color="auto" w:fill="auto"/>
            <w:noWrap/>
            <w:vAlign w:val="bottom"/>
            <w:hideMark/>
          </w:tcPr>
          <w:p w14:paraId="5FD41AA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Mahajan</w:t>
            </w:r>
          </w:p>
        </w:tc>
        <w:tc>
          <w:tcPr>
            <w:tcW w:w="581" w:type="dxa"/>
            <w:shd w:val="clear" w:color="auto" w:fill="auto"/>
            <w:noWrap/>
            <w:vAlign w:val="bottom"/>
            <w:hideMark/>
          </w:tcPr>
          <w:p w14:paraId="670F2A6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2015</w:t>
            </w:r>
          </w:p>
        </w:tc>
        <w:tc>
          <w:tcPr>
            <w:tcW w:w="1193" w:type="dxa"/>
            <w:shd w:val="clear" w:color="auto" w:fill="auto"/>
            <w:noWrap/>
            <w:vAlign w:val="bottom"/>
            <w:hideMark/>
          </w:tcPr>
          <w:p w14:paraId="4BDB3C1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India</w:t>
            </w:r>
          </w:p>
        </w:tc>
        <w:tc>
          <w:tcPr>
            <w:tcW w:w="865" w:type="dxa"/>
            <w:shd w:val="clear" w:color="auto" w:fill="auto"/>
            <w:noWrap/>
            <w:vAlign w:val="bottom"/>
            <w:hideMark/>
          </w:tcPr>
          <w:p w14:paraId="349D037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100,794</w:t>
            </w:r>
          </w:p>
        </w:tc>
        <w:tc>
          <w:tcPr>
            <w:tcW w:w="1124" w:type="dxa"/>
            <w:shd w:val="clear" w:color="auto" w:fill="auto"/>
            <w:noWrap/>
            <w:vAlign w:val="bottom"/>
            <w:hideMark/>
          </w:tcPr>
          <w:p w14:paraId="0699CBA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5526E26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C88244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2F591A6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NSS</w:t>
            </w:r>
          </w:p>
        </w:tc>
        <w:tc>
          <w:tcPr>
            <w:tcW w:w="989" w:type="dxa"/>
            <w:shd w:val="clear" w:color="auto" w:fill="auto"/>
            <w:noWrap/>
            <w:vAlign w:val="bottom"/>
            <w:hideMark/>
          </w:tcPr>
          <w:p w14:paraId="08575BA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1A64EFC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analyse the effects that food price rises have on calorie and protein intake in India</w:t>
            </w:r>
          </w:p>
        </w:tc>
        <w:tc>
          <w:tcPr>
            <w:tcW w:w="2756" w:type="dxa"/>
            <w:shd w:val="clear" w:color="auto" w:fill="auto"/>
            <w:noWrap/>
            <w:vAlign w:val="bottom"/>
            <w:hideMark/>
          </w:tcPr>
          <w:p w14:paraId="2D4EE59B" w14:textId="0A91E60A"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High income groups are buffered from changes in food prices, but </w:t>
            </w:r>
            <w:r w:rsidR="00BD5FAB" w:rsidRPr="00531F62">
              <w:rPr>
                <w:rFonts w:ascii="Calibri" w:eastAsia="Times New Roman" w:hAnsi="Calibri" w:cs="Calibri"/>
                <w:sz w:val="18"/>
                <w:szCs w:val="18"/>
                <w:lang w:eastAsia="en-AU"/>
              </w:rPr>
              <w:t>low-income</w:t>
            </w:r>
            <w:r w:rsidRPr="00531F62">
              <w:rPr>
                <w:rFonts w:ascii="Calibri" w:eastAsia="Times New Roman" w:hAnsi="Calibri" w:cs="Calibri"/>
                <w:sz w:val="18"/>
                <w:szCs w:val="18"/>
                <w:lang w:eastAsia="en-AU"/>
              </w:rPr>
              <w:t xml:space="preserve"> groups who are already malnourished are unable to reduce calorie intake when prices increase. Many low</w:t>
            </w:r>
            <w:r w:rsidR="00BD5FAB">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income households do not have access to the PDS and therefore are at greater risk of malnutrition</w:t>
            </w:r>
          </w:p>
        </w:tc>
      </w:tr>
      <w:tr w:rsidR="008B1F72" w:rsidRPr="008B1F72" w14:paraId="61BF9EF1" w14:textId="77777777" w:rsidTr="00F11BA3">
        <w:trPr>
          <w:trHeight w:val="288"/>
        </w:trPr>
        <w:tc>
          <w:tcPr>
            <w:tcW w:w="1355" w:type="dxa"/>
            <w:shd w:val="clear" w:color="auto" w:fill="auto"/>
            <w:noWrap/>
            <w:vAlign w:val="bottom"/>
            <w:hideMark/>
          </w:tcPr>
          <w:p w14:paraId="7CE3EE9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Maitra</w:t>
            </w:r>
          </w:p>
        </w:tc>
        <w:tc>
          <w:tcPr>
            <w:tcW w:w="581" w:type="dxa"/>
            <w:shd w:val="clear" w:color="auto" w:fill="auto"/>
            <w:noWrap/>
            <w:vAlign w:val="bottom"/>
            <w:hideMark/>
          </w:tcPr>
          <w:p w14:paraId="4F4557C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2015</w:t>
            </w:r>
          </w:p>
        </w:tc>
        <w:tc>
          <w:tcPr>
            <w:tcW w:w="1193" w:type="dxa"/>
            <w:shd w:val="clear" w:color="auto" w:fill="auto"/>
            <w:noWrap/>
            <w:vAlign w:val="bottom"/>
            <w:hideMark/>
          </w:tcPr>
          <w:p w14:paraId="3245FC7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Kolkata</w:t>
            </w:r>
          </w:p>
        </w:tc>
        <w:tc>
          <w:tcPr>
            <w:tcW w:w="865" w:type="dxa"/>
            <w:shd w:val="clear" w:color="auto" w:fill="auto"/>
            <w:noWrap/>
            <w:vAlign w:val="bottom"/>
            <w:hideMark/>
          </w:tcPr>
          <w:p w14:paraId="41F2FC0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500</w:t>
            </w:r>
          </w:p>
        </w:tc>
        <w:tc>
          <w:tcPr>
            <w:tcW w:w="1124" w:type="dxa"/>
            <w:shd w:val="clear" w:color="auto" w:fill="auto"/>
            <w:noWrap/>
            <w:vAlign w:val="bottom"/>
            <w:hideMark/>
          </w:tcPr>
          <w:p w14:paraId="21BC7FF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578659F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2988411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6DC12B1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 &amp; Kolkata FSS</w:t>
            </w:r>
          </w:p>
        </w:tc>
        <w:tc>
          <w:tcPr>
            <w:tcW w:w="989" w:type="dxa"/>
            <w:shd w:val="clear" w:color="auto" w:fill="auto"/>
            <w:noWrap/>
            <w:vAlign w:val="bottom"/>
            <w:hideMark/>
          </w:tcPr>
          <w:p w14:paraId="269F7F8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15.4%</w:t>
            </w:r>
          </w:p>
        </w:tc>
        <w:tc>
          <w:tcPr>
            <w:tcW w:w="2756" w:type="dxa"/>
            <w:shd w:val="clear" w:color="auto" w:fill="auto"/>
            <w:noWrap/>
            <w:vAlign w:val="bottom"/>
            <w:hideMark/>
          </w:tcPr>
          <w:p w14:paraId="4FED2ED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explore the poverty-food security nexus</w:t>
            </w:r>
          </w:p>
        </w:tc>
        <w:tc>
          <w:tcPr>
            <w:tcW w:w="2756" w:type="dxa"/>
            <w:shd w:val="clear" w:color="auto" w:fill="auto"/>
            <w:noWrap/>
            <w:vAlign w:val="bottom"/>
            <w:hideMark/>
          </w:tcPr>
          <w:p w14:paraId="592B0084" w14:textId="2691CFA8"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Poverty is related to food </w:t>
            </w:r>
            <w:r w:rsidR="00DC5647" w:rsidRPr="00531F62">
              <w:rPr>
                <w:rFonts w:ascii="Calibri" w:eastAsia="Times New Roman" w:hAnsi="Calibri" w:cs="Calibri"/>
                <w:sz w:val="18"/>
                <w:szCs w:val="18"/>
                <w:lang w:eastAsia="en-AU"/>
              </w:rPr>
              <w:t>insecurity</w:t>
            </w:r>
            <w:r w:rsidRPr="00531F62">
              <w:rPr>
                <w:rFonts w:ascii="Calibri" w:eastAsia="Times New Roman" w:hAnsi="Calibri" w:cs="Calibri"/>
                <w:sz w:val="18"/>
                <w:szCs w:val="18"/>
                <w:lang w:eastAsia="en-AU"/>
              </w:rPr>
              <w:t xml:space="preserve"> with low</w:t>
            </w:r>
            <w:r w:rsidR="00DC5647">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income households more </w:t>
            </w:r>
            <w:r w:rsidR="00DC5647" w:rsidRPr="00531F62">
              <w:rPr>
                <w:rFonts w:ascii="Calibri" w:eastAsia="Times New Roman" w:hAnsi="Calibri" w:cs="Calibri"/>
                <w:sz w:val="18"/>
                <w:szCs w:val="18"/>
                <w:lang w:eastAsia="en-AU"/>
              </w:rPr>
              <w:t>likely</w:t>
            </w:r>
            <w:r w:rsidRPr="00531F62">
              <w:rPr>
                <w:rFonts w:ascii="Calibri" w:eastAsia="Times New Roman" w:hAnsi="Calibri" w:cs="Calibri"/>
                <w:sz w:val="18"/>
                <w:szCs w:val="18"/>
                <w:lang w:eastAsia="en-AU"/>
              </w:rPr>
              <w:t xml:space="preserve"> to experience food insecurity. Anti-poverty policies are needed to address food insecurity in India.</w:t>
            </w:r>
          </w:p>
        </w:tc>
      </w:tr>
      <w:tr w:rsidR="008B1F72" w:rsidRPr="008B1F72" w14:paraId="34983F61" w14:textId="77777777" w:rsidTr="00F11BA3">
        <w:trPr>
          <w:trHeight w:val="288"/>
        </w:trPr>
        <w:tc>
          <w:tcPr>
            <w:tcW w:w="1355" w:type="dxa"/>
            <w:shd w:val="clear" w:color="auto" w:fill="auto"/>
            <w:noWrap/>
            <w:vAlign w:val="bottom"/>
            <w:hideMark/>
          </w:tcPr>
          <w:p w14:paraId="0F417F5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Maitra</w:t>
            </w:r>
          </w:p>
        </w:tc>
        <w:tc>
          <w:tcPr>
            <w:tcW w:w="581" w:type="dxa"/>
            <w:shd w:val="clear" w:color="auto" w:fill="auto"/>
            <w:noWrap/>
            <w:vAlign w:val="bottom"/>
            <w:hideMark/>
          </w:tcPr>
          <w:p w14:paraId="5EBEBC6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2017</w:t>
            </w:r>
          </w:p>
        </w:tc>
        <w:tc>
          <w:tcPr>
            <w:tcW w:w="1193" w:type="dxa"/>
            <w:shd w:val="clear" w:color="auto" w:fill="auto"/>
            <w:noWrap/>
            <w:vAlign w:val="bottom"/>
            <w:hideMark/>
          </w:tcPr>
          <w:p w14:paraId="564F14D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Kolkata</w:t>
            </w:r>
          </w:p>
        </w:tc>
        <w:tc>
          <w:tcPr>
            <w:tcW w:w="865" w:type="dxa"/>
            <w:shd w:val="clear" w:color="auto" w:fill="auto"/>
            <w:noWrap/>
            <w:vAlign w:val="bottom"/>
            <w:hideMark/>
          </w:tcPr>
          <w:p w14:paraId="32E01A6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500</w:t>
            </w:r>
          </w:p>
        </w:tc>
        <w:tc>
          <w:tcPr>
            <w:tcW w:w="1124" w:type="dxa"/>
            <w:shd w:val="clear" w:color="auto" w:fill="auto"/>
            <w:noWrap/>
            <w:vAlign w:val="bottom"/>
            <w:hideMark/>
          </w:tcPr>
          <w:p w14:paraId="5A61E37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78613F3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4EDBB0E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1345F5A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 &amp; Kolkata FSS</w:t>
            </w:r>
          </w:p>
        </w:tc>
        <w:tc>
          <w:tcPr>
            <w:tcW w:w="989" w:type="dxa"/>
            <w:shd w:val="clear" w:color="auto" w:fill="auto"/>
            <w:noWrap/>
            <w:vAlign w:val="bottom"/>
            <w:hideMark/>
          </w:tcPr>
          <w:p w14:paraId="7DEDA50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15.4%</w:t>
            </w:r>
          </w:p>
        </w:tc>
        <w:tc>
          <w:tcPr>
            <w:tcW w:w="2756" w:type="dxa"/>
            <w:shd w:val="clear" w:color="auto" w:fill="auto"/>
            <w:noWrap/>
            <w:vAlign w:val="bottom"/>
            <w:hideMark/>
          </w:tcPr>
          <w:p w14:paraId="20E15244" w14:textId="7BE3552C"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measures experiential food insecurity in </w:t>
            </w:r>
            <w:r w:rsidR="00DC5647" w:rsidRPr="00531F62">
              <w:rPr>
                <w:rFonts w:ascii="Calibri" w:eastAsia="Times New Roman" w:hAnsi="Calibri" w:cs="Calibri"/>
                <w:sz w:val="18"/>
                <w:szCs w:val="18"/>
                <w:lang w:eastAsia="en-AU"/>
              </w:rPr>
              <w:t>low-income</w:t>
            </w:r>
            <w:r w:rsidRPr="00531F62">
              <w:rPr>
                <w:rFonts w:ascii="Calibri" w:eastAsia="Times New Roman" w:hAnsi="Calibri" w:cs="Calibri"/>
                <w:sz w:val="18"/>
                <w:szCs w:val="18"/>
                <w:lang w:eastAsia="en-AU"/>
              </w:rPr>
              <w:t xml:space="preserve"> urban households of India</w:t>
            </w:r>
          </w:p>
        </w:tc>
        <w:tc>
          <w:tcPr>
            <w:tcW w:w="2756" w:type="dxa"/>
            <w:shd w:val="clear" w:color="auto" w:fill="auto"/>
            <w:noWrap/>
            <w:vAlign w:val="bottom"/>
            <w:hideMark/>
          </w:tcPr>
          <w:p w14:paraId="7F1DC840" w14:textId="58A32F83" w:rsidR="00D35F89" w:rsidRPr="00531F62" w:rsidRDefault="00DC5647"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Multisectoral</w:t>
            </w:r>
            <w:r w:rsidR="00D35F89" w:rsidRPr="00531F62">
              <w:rPr>
                <w:rFonts w:ascii="Calibri" w:eastAsia="Times New Roman" w:hAnsi="Calibri" w:cs="Calibri"/>
                <w:sz w:val="18"/>
                <w:szCs w:val="18"/>
                <w:lang w:eastAsia="en-AU"/>
              </w:rPr>
              <w:t xml:space="preserve"> interventions are required to address food insecurity, this includes </w:t>
            </w:r>
            <w:r w:rsidRPr="00531F62">
              <w:rPr>
                <w:rFonts w:ascii="Calibri" w:eastAsia="Times New Roman" w:hAnsi="Calibri" w:cs="Calibri"/>
                <w:sz w:val="18"/>
                <w:szCs w:val="18"/>
                <w:lang w:eastAsia="en-AU"/>
              </w:rPr>
              <w:t>nutrition</w:t>
            </w:r>
            <w:r>
              <w:rPr>
                <w:rFonts w:ascii="Calibri" w:eastAsia="Times New Roman" w:hAnsi="Calibri" w:cs="Calibri"/>
                <w:sz w:val="18"/>
                <w:szCs w:val="18"/>
                <w:lang w:eastAsia="en-AU"/>
              </w:rPr>
              <w:t>al</w:t>
            </w:r>
            <w:r w:rsidR="00D35F89" w:rsidRPr="00531F62">
              <w:rPr>
                <w:rFonts w:ascii="Calibri" w:eastAsia="Times New Roman" w:hAnsi="Calibri" w:cs="Calibri"/>
                <w:sz w:val="18"/>
                <w:szCs w:val="18"/>
                <w:lang w:eastAsia="en-AU"/>
              </w:rPr>
              <w:t>, education, and poverty reduction interventions.</w:t>
            </w:r>
          </w:p>
        </w:tc>
      </w:tr>
      <w:tr w:rsidR="008B1F72" w:rsidRPr="008B1F72" w14:paraId="1D2B3020" w14:textId="77777777" w:rsidTr="00F11BA3">
        <w:trPr>
          <w:trHeight w:val="288"/>
        </w:trPr>
        <w:tc>
          <w:tcPr>
            <w:tcW w:w="1355" w:type="dxa"/>
            <w:shd w:val="clear" w:color="auto" w:fill="auto"/>
            <w:noWrap/>
            <w:vAlign w:val="bottom"/>
            <w:hideMark/>
          </w:tcPr>
          <w:p w14:paraId="4FC4371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Maitra</w:t>
            </w:r>
          </w:p>
        </w:tc>
        <w:tc>
          <w:tcPr>
            <w:tcW w:w="581" w:type="dxa"/>
            <w:shd w:val="clear" w:color="auto" w:fill="auto"/>
            <w:noWrap/>
            <w:vAlign w:val="bottom"/>
            <w:hideMark/>
          </w:tcPr>
          <w:p w14:paraId="358258C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2018</w:t>
            </w:r>
          </w:p>
        </w:tc>
        <w:tc>
          <w:tcPr>
            <w:tcW w:w="1193" w:type="dxa"/>
            <w:shd w:val="clear" w:color="auto" w:fill="auto"/>
            <w:noWrap/>
            <w:vAlign w:val="bottom"/>
            <w:hideMark/>
          </w:tcPr>
          <w:p w14:paraId="64959C7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Kolkata</w:t>
            </w:r>
          </w:p>
        </w:tc>
        <w:tc>
          <w:tcPr>
            <w:tcW w:w="865" w:type="dxa"/>
            <w:shd w:val="clear" w:color="auto" w:fill="auto"/>
            <w:noWrap/>
            <w:vAlign w:val="bottom"/>
            <w:hideMark/>
          </w:tcPr>
          <w:p w14:paraId="5A9F917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500</w:t>
            </w:r>
          </w:p>
        </w:tc>
        <w:tc>
          <w:tcPr>
            <w:tcW w:w="1124" w:type="dxa"/>
            <w:shd w:val="clear" w:color="auto" w:fill="auto"/>
            <w:noWrap/>
            <w:vAlign w:val="bottom"/>
            <w:hideMark/>
          </w:tcPr>
          <w:p w14:paraId="369B4F3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7F3B403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106B008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1AFB174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 &amp; Kolkata FSS</w:t>
            </w:r>
          </w:p>
        </w:tc>
        <w:tc>
          <w:tcPr>
            <w:tcW w:w="989" w:type="dxa"/>
            <w:shd w:val="clear" w:color="auto" w:fill="auto"/>
            <w:noWrap/>
            <w:vAlign w:val="bottom"/>
            <w:hideMark/>
          </w:tcPr>
          <w:p w14:paraId="2DB7CC1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15.4%</w:t>
            </w:r>
          </w:p>
        </w:tc>
        <w:tc>
          <w:tcPr>
            <w:tcW w:w="2756" w:type="dxa"/>
            <w:shd w:val="clear" w:color="auto" w:fill="auto"/>
            <w:noWrap/>
            <w:vAlign w:val="bottom"/>
            <w:hideMark/>
          </w:tcPr>
          <w:p w14:paraId="7F1D6006" w14:textId="5E4F7653"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examine the association between </w:t>
            </w:r>
            <w:r w:rsidR="00366450" w:rsidRPr="00531F62">
              <w:rPr>
                <w:rFonts w:ascii="Calibri" w:eastAsia="Times New Roman" w:hAnsi="Calibri" w:cs="Calibri"/>
                <w:sz w:val="18"/>
                <w:szCs w:val="18"/>
                <w:lang w:eastAsia="en-AU"/>
              </w:rPr>
              <w:t>calorie-based</w:t>
            </w:r>
            <w:r w:rsidRPr="00531F62">
              <w:rPr>
                <w:rFonts w:ascii="Calibri" w:eastAsia="Times New Roman" w:hAnsi="Calibri" w:cs="Calibri"/>
                <w:sz w:val="18"/>
                <w:szCs w:val="18"/>
                <w:lang w:eastAsia="en-AU"/>
              </w:rPr>
              <w:t xml:space="preserve"> indicators and experiential indicators of food insecurity</w:t>
            </w:r>
          </w:p>
        </w:tc>
        <w:tc>
          <w:tcPr>
            <w:tcW w:w="2756" w:type="dxa"/>
            <w:shd w:val="clear" w:color="auto" w:fill="auto"/>
            <w:noWrap/>
            <w:vAlign w:val="bottom"/>
            <w:hideMark/>
          </w:tcPr>
          <w:p w14:paraId="24F9C5EF" w14:textId="71D0C223"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Increase in age of household head increases the threat of calorie shortfall possibly because with old age income generation capacity declines. Among the FS household more than 50% are reported to be calorie deprived for different </w:t>
            </w:r>
            <w:r w:rsidR="00DC5647">
              <w:rPr>
                <w:rFonts w:ascii="Calibri" w:eastAsia="Times New Roman" w:hAnsi="Calibri" w:cs="Calibri"/>
                <w:sz w:val="18"/>
                <w:szCs w:val="18"/>
                <w:lang w:eastAsia="en-AU"/>
              </w:rPr>
              <w:t>specifications</w:t>
            </w:r>
            <w:r w:rsidRPr="00531F62">
              <w:rPr>
                <w:rFonts w:ascii="Calibri" w:eastAsia="Times New Roman" w:hAnsi="Calibri" w:cs="Calibri"/>
                <w:sz w:val="18"/>
                <w:szCs w:val="18"/>
                <w:lang w:eastAsia="en-AU"/>
              </w:rPr>
              <w:t xml:space="preserve"> of calorie norm. </w:t>
            </w:r>
            <w:r w:rsidR="00366450">
              <w:rPr>
                <w:rFonts w:ascii="Calibri" w:eastAsia="Times New Roman" w:hAnsi="Calibri" w:cs="Calibri"/>
                <w:sz w:val="18"/>
                <w:szCs w:val="18"/>
                <w:lang w:eastAsia="en-AU"/>
              </w:rPr>
              <w:t>H</w:t>
            </w:r>
            <w:r w:rsidRPr="00531F62">
              <w:rPr>
                <w:rFonts w:ascii="Calibri" w:eastAsia="Times New Roman" w:hAnsi="Calibri" w:cs="Calibri"/>
                <w:sz w:val="18"/>
                <w:szCs w:val="18"/>
                <w:lang w:eastAsia="en-AU"/>
              </w:rPr>
              <w:t>ousehold size and age and gender of household head turn out to be strong predictors of both calorie deprivation as well as experiential food insecurity. However, in the former case, household size increases the risk of calorie gap and female head decreases it while, in the previous study, the effects are completely opposite.</w:t>
            </w:r>
          </w:p>
        </w:tc>
      </w:tr>
      <w:tr w:rsidR="008B1F72" w:rsidRPr="008B1F72" w14:paraId="1B9295CD" w14:textId="77777777" w:rsidTr="00F11BA3">
        <w:trPr>
          <w:trHeight w:val="288"/>
        </w:trPr>
        <w:tc>
          <w:tcPr>
            <w:tcW w:w="1355" w:type="dxa"/>
            <w:shd w:val="clear" w:color="auto" w:fill="auto"/>
            <w:noWrap/>
            <w:vAlign w:val="bottom"/>
            <w:hideMark/>
          </w:tcPr>
          <w:p w14:paraId="1CE20E5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Manimunda</w:t>
            </w:r>
          </w:p>
        </w:tc>
        <w:tc>
          <w:tcPr>
            <w:tcW w:w="581" w:type="dxa"/>
            <w:shd w:val="clear" w:color="auto" w:fill="auto"/>
            <w:noWrap/>
            <w:vAlign w:val="bottom"/>
            <w:hideMark/>
          </w:tcPr>
          <w:p w14:paraId="274D343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2017</w:t>
            </w:r>
          </w:p>
        </w:tc>
        <w:tc>
          <w:tcPr>
            <w:tcW w:w="1193" w:type="dxa"/>
            <w:shd w:val="clear" w:color="auto" w:fill="auto"/>
            <w:noWrap/>
            <w:vAlign w:val="bottom"/>
            <w:hideMark/>
          </w:tcPr>
          <w:p w14:paraId="57D7F6B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Andaman and Nicobar Isalnds</w:t>
            </w:r>
          </w:p>
        </w:tc>
        <w:tc>
          <w:tcPr>
            <w:tcW w:w="865" w:type="dxa"/>
            <w:shd w:val="clear" w:color="auto" w:fill="auto"/>
            <w:noWrap/>
            <w:vAlign w:val="bottom"/>
            <w:hideMark/>
          </w:tcPr>
          <w:p w14:paraId="131FDBA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1982</w:t>
            </w:r>
          </w:p>
        </w:tc>
        <w:tc>
          <w:tcPr>
            <w:tcW w:w="1124" w:type="dxa"/>
            <w:shd w:val="clear" w:color="auto" w:fill="auto"/>
            <w:noWrap/>
            <w:vAlign w:val="bottom"/>
            <w:hideMark/>
          </w:tcPr>
          <w:p w14:paraId="483AC9C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125C641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CCA7D7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3B10769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01A14FD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32.60%</w:t>
            </w:r>
          </w:p>
        </w:tc>
        <w:tc>
          <w:tcPr>
            <w:tcW w:w="2756" w:type="dxa"/>
            <w:shd w:val="clear" w:color="auto" w:fill="auto"/>
            <w:noWrap/>
            <w:vAlign w:val="bottom"/>
            <w:hideMark/>
          </w:tcPr>
          <w:p w14:paraId="24801F81" w14:textId="36BE7D46"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assess prevalence of food insecurity, food </w:t>
            </w:r>
            <w:proofErr w:type="gramStart"/>
            <w:r w:rsidRPr="00531F62">
              <w:rPr>
                <w:rFonts w:ascii="Calibri" w:eastAsia="Times New Roman" w:hAnsi="Calibri" w:cs="Calibri"/>
                <w:sz w:val="18"/>
                <w:szCs w:val="18"/>
                <w:lang w:eastAsia="en-AU"/>
              </w:rPr>
              <w:t>and  nutrient</w:t>
            </w:r>
            <w:proofErr w:type="gramEnd"/>
            <w:r w:rsidRPr="00531F62">
              <w:rPr>
                <w:rFonts w:ascii="Calibri" w:eastAsia="Times New Roman" w:hAnsi="Calibri" w:cs="Calibri"/>
                <w:sz w:val="18"/>
                <w:szCs w:val="18"/>
                <w:lang w:eastAsia="en-AU"/>
              </w:rPr>
              <w:t xml:space="preserve"> intake, undernutrition and </w:t>
            </w:r>
            <w:r w:rsidR="00BE057A" w:rsidRPr="008B1F72">
              <w:rPr>
                <w:rFonts w:ascii="Calibri" w:eastAsia="Times New Roman" w:hAnsi="Calibri" w:cs="Calibri"/>
                <w:sz w:val="18"/>
                <w:szCs w:val="18"/>
                <w:lang w:eastAsia="en-AU"/>
              </w:rPr>
              <w:t>micronutrient</w:t>
            </w:r>
            <w:r w:rsidRPr="00531F62">
              <w:rPr>
                <w:rFonts w:ascii="Calibri" w:eastAsia="Times New Roman" w:hAnsi="Calibri" w:cs="Calibri"/>
                <w:sz w:val="18"/>
                <w:szCs w:val="18"/>
                <w:lang w:eastAsia="en-AU"/>
              </w:rPr>
              <w:t xml:space="preserve"> food </w:t>
            </w:r>
            <w:r w:rsidR="008B1F72" w:rsidRPr="008B1F72">
              <w:rPr>
                <w:rFonts w:ascii="Calibri" w:eastAsia="Times New Roman" w:hAnsi="Calibri" w:cs="Calibri"/>
                <w:sz w:val="18"/>
                <w:szCs w:val="18"/>
                <w:lang w:eastAsia="en-AU"/>
              </w:rPr>
              <w:t xml:space="preserve">insecurity </w:t>
            </w:r>
            <w:r w:rsidRPr="00531F62">
              <w:rPr>
                <w:rFonts w:ascii="Calibri" w:eastAsia="Times New Roman" w:hAnsi="Calibri" w:cs="Calibri"/>
                <w:sz w:val="18"/>
                <w:szCs w:val="18"/>
                <w:lang w:eastAsia="en-AU"/>
              </w:rPr>
              <w:t>in preschool children</w:t>
            </w:r>
          </w:p>
        </w:tc>
        <w:tc>
          <w:tcPr>
            <w:tcW w:w="2756" w:type="dxa"/>
            <w:shd w:val="clear" w:color="auto" w:fill="auto"/>
            <w:noWrap/>
            <w:vAlign w:val="bottom"/>
            <w:hideMark/>
          </w:tcPr>
          <w:p w14:paraId="62456723" w14:textId="4004EF6C" w:rsidR="00D35F89" w:rsidRPr="00531F62" w:rsidRDefault="00366450"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H</w:t>
            </w:r>
            <w:r w:rsidR="00D35F89" w:rsidRPr="00531F62">
              <w:rPr>
                <w:rFonts w:ascii="Calibri" w:eastAsia="Times New Roman" w:hAnsi="Calibri" w:cs="Calibri"/>
                <w:sz w:val="18"/>
                <w:szCs w:val="18"/>
                <w:lang w:eastAsia="en-AU"/>
              </w:rPr>
              <w:t xml:space="preserve">ouseholds below poverty line, living in Nicobar region, Christian religion, Nicoabrese tribe, separate kitchen at home, petroleum for cooking, receiving government funding all had protective influence on undernutrition / no sanitary latrine, family income BPL and &gt;6 family members all increased </w:t>
            </w:r>
            <w:r w:rsidR="008D120A" w:rsidRPr="00531F62">
              <w:rPr>
                <w:rFonts w:ascii="Calibri" w:eastAsia="Times New Roman" w:hAnsi="Calibri" w:cs="Calibri"/>
                <w:sz w:val="18"/>
                <w:szCs w:val="18"/>
                <w:lang w:eastAsia="en-AU"/>
              </w:rPr>
              <w:t>undernutrition</w:t>
            </w:r>
            <w:r w:rsidR="00D35F89" w:rsidRPr="00531F62">
              <w:rPr>
                <w:rFonts w:ascii="Calibri" w:eastAsia="Times New Roman" w:hAnsi="Calibri" w:cs="Calibri"/>
                <w:sz w:val="18"/>
                <w:szCs w:val="18"/>
                <w:lang w:eastAsia="en-AU"/>
              </w:rPr>
              <w:t>.</w:t>
            </w:r>
          </w:p>
        </w:tc>
      </w:tr>
      <w:tr w:rsidR="008B1F72" w:rsidRPr="008B1F72" w14:paraId="0D8A43E8" w14:textId="77777777" w:rsidTr="00F11BA3">
        <w:trPr>
          <w:trHeight w:val="288"/>
        </w:trPr>
        <w:tc>
          <w:tcPr>
            <w:tcW w:w="1355" w:type="dxa"/>
            <w:shd w:val="clear" w:color="auto" w:fill="auto"/>
            <w:noWrap/>
            <w:vAlign w:val="bottom"/>
            <w:hideMark/>
          </w:tcPr>
          <w:p w14:paraId="6189A0C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Mastiholi</w:t>
            </w:r>
          </w:p>
        </w:tc>
        <w:tc>
          <w:tcPr>
            <w:tcW w:w="581" w:type="dxa"/>
            <w:shd w:val="clear" w:color="auto" w:fill="auto"/>
            <w:noWrap/>
            <w:vAlign w:val="bottom"/>
            <w:hideMark/>
          </w:tcPr>
          <w:p w14:paraId="77EAD5A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2010</w:t>
            </w:r>
          </w:p>
        </w:tc>
        <w:tc>
          <w:tcPr>
            <w:tcW w:w="1193" w:type="dxa"/>
            <w:shd w:val="clear" w:color="auto" w:fill="auto"/>
            <w:noWrap/>
            <w:vAlign w:val="bottom"/>
            <w:hideMark/>
          </w:tcPr>
          <w:p w14:paraId="07143BB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North Karnataka</w:t>
            </w:r>
          </w:p>
        </w:tc>
        <w:tc>
          <w:tcPr>
            <w:tcW w:w="865" w:type="dxa"/>
            <w:shd w:val="clear" w:color="auto" w:fill="auto"/>
            <w:noWrap/>
            <w:vAlign w:val="bottom"/>
            <w:hideMark/>
          </w:tcPr>
          <w:p w14:paraId="2E42DA3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700</w:t>
            </w:r>
          </w:p>
        </w:tc>
        <w:tc>
          <w:tcPr>
            <w:tcW w:w="1124" w:type="dxa"/>
            <w:shd w:val="clear" w:color="auto" w:fill="auto"/>
            <w:noWrap/>
            <w:vAlign w:val="bottom"/>
            <w:hideMark/>
          </w:tcPr>
          <w:p w14:paraId="55BAD69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Cross sectional </w:t>
            </w:r>
          </w:p>
        </w:tc>
        <w:tc>
          <w:tcPr>
            <w:tcW w:w="1337" w:type="dxa"/>
            <w:shd w:val="clear" w:color="auto" w:fill="auto"/>
            <w:noWrap/>
            <w:vAlign w:val="bottom"/>
            <w:hideMark/>
          </w:tcPr>
          <w:p w14:paraId="7BC7FBF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Survey </w:t>
            </w:r>
            <w:proofErr w:type="gramStart"/>
            <w:r w:rsidRPr="00531F62">
              <w:rPr>
                <w:rFonts w:ascii="Calibri" w:eastAsia="Times New Roman" w:hAnsi="Calibri" w:cs="Calibri"/>
                <w:sz w:val="18"/>
                <w:szCs w:val="18"/>
                <w:lang w:eastAsia="en-AU"/>
              </w:rPr>
              <w:t>24 hour</w:t>
            </w:r>
            <w:proofErr w:type="gramEnd"/>
            <w:r w:rsidRPr="00531F62">
              <w:rPr>
                <w:rFonts w:ascii="Calibri" w:eastAsia="Times New Roman" w:hAnsi="Calibri" w:cs="Calibri"/>
                <w:sz w:val="18"/>
                <w:szCs w:val="18"/>
                <w:lang w:eastAsia="en-AU"/>
              </w:rPr>
              <w:t xml:space="preserve"> diet recalls for half of the sample, blood samples and anthropometry</w:t>
            </w:r>
          </w:p>
        </w:tc>
        <w:tc>
          <w:tcPr>
            <w:tcW w:w="1074" w:type="dxa"/>
            <w:shd w:val="clear" w:color="auto" w:fill="auto"/>
            <w:noWrap/>
            <w:vAlign w:val="bottom"/>
            <w:hideMark/>
          </w:tcPr>
          <w:p w14:paraId="71B369B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women</w:t>
            </w:r>
          </w:p>
        </w:tc>
        <w:tc>
          <w:tcPr>
            <w:tcW w:w="1422" w:type="dxa"/>
            <w:shd w:val="clear" w:color="auto" w:fill="auto"/>
            <w:noWrap/>
            <w:vAlign w:val="bottom"/>
            <w:hideMark/>
          </w:tcPr>
          <w:p w14:paraId="6E5999C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7E6CFFB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32%</w:t>
            </w:r>
          </w:p>
        </w:tc>
        <w:tc>
          <w:tcPr>
            <w:tcW w:w="2756" w:type="dxa"/>
            <w:shd w:val="clear" w:color="auto" w:fill="auto"/>
            <w:noWrap/>
            <w:vAlign w:val="bottom"/>
            <w:hideMark/>
          </w:tcPr>
          <w:p w14:paraId="369B181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food insecurity and nutritional status in pre-conception women</w:t>
            </w:r>
          </w:p>
        </w:tc>
        <w:tc>
          <w:tcPr>
            <w:tcW w:w="2756" w:type="dxa"/>
            <w:shd w:val="clear" w:color="auto" w:fill="auto"/>
            <w:noWrap/>
            <w:vAlign w:val="bottom"/>
            <w:hideMark/>
          </w:tcPr>
          <w:p w14:paraId="76F76FD5" w14:textId="40C308EB"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Food insecurity </w:t>
            </w:r>
            <w:r w:rsidR="008D120A">
              <w:rPr>
                <w:rFonts w:ascii="Calibri" w:eastAsia="Times New Roman" w:hAnsi="Calibri" w:cs="Calibri"/>
                <w:sz w:val="18"/>
                <w:szCs w:val="18"/>
                <w:lang w:eastAsia="en-AU"/>
              </w:rPr>
              <w:t xml:space="preserve">was found </w:t>
            </w:r>
            <w:r w:rsidRPr="00531F62">
              <w:rPr>
                <w:rFonts w:ascii="Calibri" w:eastAsia="Times New Roman" w:hAnsi="Calibri" w:cs="Calibri"/>
                <w:sz w:val="18"/>
                <w:szCs w:val="18"/>
                <w:lang w:eastAsia="en-AU"/>
              </w:rPr>
              <w:t xml:space="preserve">across all </w:t>
            </w:r>
            <w:r w:rsidR="008D120A">
              <w:rPr>
                <w:rFonts w:ascii="Calibri" w:eastAsia="Times New Roman" w:hAnsi="Calibri" w:cs="Calibri"/>
                <w:sz w:val="18"/>
                <w:szCs w:val="18"/>
                <w:lang w:eastAsia="en-AU"/>
              </w:rPr>
              <w:t xml:space="preserve">low-income </w:t>
            </w:r>
            <w:r w:rsidRPr="00531F62">
              <w:rPr>
                <w:rFonts w:ascii="Calibri" w:eastAsia="Times New Roman" w:hAnsi="Calibri" w:cs="Calibri"/>
                <w:sz w:val="18"/>
                <w:szCs w:val="18"/>
                <w:lang w:eastAsia="en-AU"/>
              </w:rPr>
              <w:t>groups</w:t>
            </w:r>
            <w:r w:rsidR="008D120A">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 </w:t>
            </w:r>
            <w:r w:rsidR="008D120A">
              <w:rPr>
                <w:rFonts w:ascii="Calibri" w:eastAsia="Times New Roman" w:hAnsi="Calibri" w:cs="Calibri"/>
                <w:sz w:val="18"/>
                <w:szCs w:val="18"/>
                <w:lang w:eastAsia="en-AU"/>
              </w:rPr>
              <w:t xml:space="preserve">Anaemia was high in </w:t>
            </w:r>
            <w:r w:rsidRPr="00531F62">
              <w:rPr>
                <w:rFonts w:ascii="Calibri" w:eastAsia="Times New Roman" w:hAnsi="Calibri" w:cs="Calibri"/>
                <w:sz w:val="18"/>
                <w:szCs w:val="18"/>
                <w:lang w:eastAsia="en-AU"/>
              </w:rPr>
              <w:t>women</w:t>
            </w:r>
            <w:r w:rsidR="008D120A">
              <w:rPr>
                <w:rFonts w:ascii="Calibri" w:eastAsia="Times New Roman" w:hAnsi="Calibri" w:cs="Calibri"/>
                <w:sz w:val="18"/>
                <w:szCs w:val="18"/>
                <w:lang w:eastAsia="en-AU"/>
              </w:rPr>
              <w:t xml:space="preserve">. There was a significant </w:t>
            </w:r>
            <w:r w:rsidRPr="00531F62">
              <w:rPr>
                <w:rFonts w:ascii="Calibri" w:eastAsia="Times New Roman" w:hAnsi="Calibri" w:cs="Calibri"/>
                <w:sz w:val="18"/>
                <w:szCs w:val="18"/>
                <w:lang w:eastAsia="en-AU"/>
              </w:rPr>
              <w:t xml:space="preserve">association between food insecurity and anaemia. </w:t>
            </w:r>
          </w:p>
        </w:tc>
      </w:tr>
      <w:tr w:rsidR="008B1F72" w:rsidRPr="008B1F72" w14:paraId="419509C5" w14:textId="77777777" w:rsidTr="00F11BA3">
        <w:trPr>
          <w:trHeight w:val="288"/>
        </w:trPr>
        <w:tc>
          <w:tcPr>
            <w:tcW w:w="1355" w:type="dxa"/>
            <w:shd w:val="clear" w:color="auto" w:fill="auto"/>
            <w:noWrap/>
            <w:vAlign w:val="bottom"/>
            <w:hideMark/>
          </w:tcPr>
          <w:p w14:paraId="0C5BC2C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Maxfield</w:t>
            </w:r>
          </w:p>
        </w:tc>
        <w:tc>
          <w:tcPr>
            <w:tcW w:w="581" w:type="dxa"/>
            <w:shd w:val="clear" w:color="auto" w:fill="auto"/>
            <w:noWrap/>
            <w:vAlign w:val="bottom"/>
            <w:hideMark/>
          </w:tcPr>
          <w:p w14:paraId="374BCED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2020</w:t>
            </w:r>
          </w:p>
        </w:tc>
        <w:tc>
          <w:tcPr>
            <w:tcW w:w="1193" w:type="dxa"/>
            <w:shd w:val="clear" w:color="auto" w:fill="auto"/>
            <w:noWrap/>
            <w:vAlign w:val="bottom"/>
            <w:hideMark/>
          </w:tcPr>
          <w:p w14:paraId="724AEEA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Jaipur</w:t>
            </w:r>
          </w:p>
        </w:tc>
        <w:tc>
          <w:tcPr>
            <w:tcW w:w="865" w:type="dxa"/>
            <w:shd w:val="clear" w:color="auto" w:fill="auto"/>
            <w:noWrap/>
            <w:vAlign w:val="bottom"/>
            <w:hideMark/>
          </w:tcPr>
          <w:p w14:paraId="3FB3B4F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650</w:t>
            </w:r>
          </w:p>
        </w:tc>
        <w:tc>
          <w:tcPr>
            <w:tcW w:w="1124" w:type="dxa"/>
            <w:shd w:val="clear" w:color="auto" w:fill="auto"/>
            <w:noWrap/>
            <w:vAlign w:val="bottom"/>
            <w:hideMark/>
          </w:tcPr>
          <w:p w14:paraId="6C318E0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4423059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3B7FAD5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7CC44DB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FIES</w:t>
            </w:r>
          </w:p>
        </w:tc>
        <w:tc>
          <w:tcPr>
            <w:tcW w:w="989" w:type="dxa"/>
            <w:shd w:val="clear" w:color="auto" w:fill="auto"/>
            <w:noWrap/>
            <w:vAlign w:val="bottom"/>
            <w:hideMark/>
          </w:tcPr>
          <w:p w14:paraId="11E74C2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66.00%</w:t>
            </w:r>
          </w:p>
        </w:tc>
        <w:tc>
          <w:tcPr>
            <w:tcW w:w="2756" w:type="dxa"/>
            <w:shd w:val="clear" w:color="auto" w:fill="auto"/>
            <w:noWrap/>
            <w:vAlign w:val="bottom"/>
            <w:hideMark/>
          </w:tcPr>
          <w:p w14:paraId="7161AE8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assess food and water security in households and assess the relationship between resource insecurity with mental wellbeing </w:t>
            </w:r>
          </w:p>
        </w:tc>
        <w:tc>
          <w:tcPr>
            <w:tcW w:w="2756" w:type="dxa"/>
            <w:shd w:val="clear" w:color="auto" w:fill="auto"/>
            <w:noWrap/>
            <w:vAlign w:val="bottom"/>
            <w:hideMark/>
          </w:tcPr>
          <w:p w14:paraId="4B70CDD4" w14:textId="0DED9CA8"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Parents reported more severe overall resource scarcity than children</w:t>
            </w:r>
            <w:r w:rsidR="00AC46FE">
              <w:rPr>
                <w:rFonts w:ascii="Calibri" w:eastAsia="Times New Roman" w:hAnsi="Calibri" w:cs="Calibri"/>
                <w:sz w:val="18"/>
                <w:szCs w:val="18"/>
                <w:lang w:eastAsia="en-AU"/>
              </w:rPr>
              <w:t xml:space="preserve">. </w:t>
            </w:r>
            <w:r w:rsidRPr="00531F62">
              <w:rPr>
                <w:rFonts w:ascii="Calibri" w:eastAsia="Times New Roman" w:hAnsi="Calibri" w:cs="Calibri"/>
                <w:sz w:val="18"/>
                <w:szCs w:val="18"/>
                <w:lang w:eastAsia="en-AU"/>
              </w:rPr>
              <w:t xml:space="preserve">A larger proportion or parents reported food insecurity and severe water insecurity compared to adolescents. Adults buffer adolescents against resource insecurity, boys more cushioned than girls and mothers more </w:t>
            </w:r>
            <w:r w:rsidR="00AC46FE" w:rsidRPr="00531F62">
              <w:rPr>
                <w:rFonts w:ascii="Calibri" w:eastAsia="Times New Roman" w:hAnsi="Calibri" w:cs="Calibri"/>
                <w:sz w:val="18"/>
                <w:szCs w:val="18"/>
                <w:lang w:eastAsia="en-AU"/>
              </w:rPr>
              <w:t>likely</w:t>
            </w:r>
            <w:r w:rsidRPr="00531F62">
              <w:rPr>
                <w:rFonts w:ascii="Calibri" w:eastAsia="Times New Roman" w:hAnsi="Calibri" w:cs="Calibri"/>
                <w:sz w:val="18"/>
                <w:szCs w:val="18"/>
                <w:lang w:eastAsia="en-AU"/>
              </w:rPr>
              <w:t xml:space="preserve"> to report resource shortages than fathers </w:t>
            </w:r>
          </w:p>
        </w:tc>
      </w:tr>
      <w:tr w:rsidR="008B1F72" w:rsidRPr="008B1F72" w14:paraId="509A96B7" w14:textId="77777777" w:rsidTr="00F11BA3">
        <w:trPr>
          <w:trHeight w:val="288"/>
        </w:trPr>
        <w:tc>
          <w:tcPr>
            <w:tcW w:w="1355" w:type="dxa"/>
            <w:shd w:val="clear" w:color="auto" w:fill="auto"/>
            <w:noWrap/>
            <w:vAlign w:val="bottom"/>
            <w:hideMark/>
          </w:tcPr>
          <w:p w14:paraId="0DA4968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Mukhopadhyay</w:t>
            </w:r>
          </w:p>
        </w:tc>
        <w:tc>
          <w:tcPr>
            <w:tcW w:w="581" w:type="dxa"/>
            <w:shd w:val="clear" w:color="auto" w:fill="auto"/>
            <w:noWrap/>
            <w:vAlign w:val="bottom"/>
            <w:hideMark/>
          </w:tcPr>
          <w:p w14:paraId="7E30336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2011</w:t>
            </w:r>
          </w:p>
        </w:tc>
        <w:tc>
          <w:tcPr>
            <w:tcW w:w="1193" w:type="dxa"/>
            <w:shd w:val="clear" w:color="auto" w:fill="auto"/>
            <w:noWrap/>
            <w:vAlign w:val="bottom"/>
            <w:hideMark/>
          </w:tcPr>
          <w:p w14:paraId="1A2FE4C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West Bengal</w:t>
            </w:r>
          </w:p>
        </w:tc>
        <w:tc>
          <w:tcPr>
            <w:tcW w:w="865" w:type="dxa"/>
            <w:shd w:val="clear" w:color="auto" w:fill="auto"/>
            <w:noWrap/>
            <w:vAlign w:val="bottom"/>
            <w:hideMark/>
          </w:tcPr>
          <w:p w14:paraId="3A67BC1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15</w:t>
            </w:r>
          </w:p>
        </w:tc>
        <w:tc>
          <w:tcPr>
            <w:tcW w:w="1124" w:type="dxa"/>
            <w:shd w:val="clear" w:color="auto" w:fill="auto"/>
            <w:noWrap/>
            <w:vAlign w:val="bottom"/>
            <w:hideMark/>
          </w:tcPr>
          <w:p w14:paraId="38A8BC5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C4E2F9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4D9CB2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35C1978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w:t>
            </w:r>
          </w:p>
        </w:tc>
        <w:tc>
          <w:tcPr>
            <w:tcW w:w="989" w:type="dxa"/>
            <w:shd w:val="clear" w:color="auto" w:fill="auto"/>
            <w:noWrap/>
            <w:vAlign w:val="bottom"/>
            <w:hideMark/>
          </w:tcPr>
          <w:p w14:paraId="5EDE1F5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53.20%</w:t>
            </w:r>
          </w:p>
        </w:tc>
        <w:tc>
          <w:tcPr>
            <w:tcW w:w="2756" w:type="dxa"/>
            <w:shd w:val="clear" w:color="auto" w:fill="auto"/>
            <w:noWrap/>
            <w:vAlign w:val="bottom"/>
            <w:hideMark/>
          </w:tcPr>
          <w:p w14:paraId="0A65CAB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nutritional status and its relation to household food security</w:t>
            </w:r>
          </w:p>
        </w:tc>
        <w:tc>
          <w:tcPr>
            <w:tcW w:w="2756" w:type="dxa"/>
            <w:shd w:val="clear" w:color="auto" w:fill="auto"/>
            <w:noWrap/>
            <w:vAlign w:val="bottom"/>
            <w:hideMark/>
          </w:tcPr>
          <w:p w14:paraId="7E1D999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Around 2/3 of children were undernourished, increased undernourishment was related to increased food insecurity</w:t>
            </w:r>
          </w:p>
        </w:tc>
      </w:tr>
      <w:tr w:rsidR="008B1F72" w:rsidRPr="008B1F72" w14:paraId="5C2CC4BC" w14:textId="77777777" w:rsidTr="00F11BA3">
        <w:trPr>
          <w:trHeight w:val="288"/>
        </w:trPr>
        <w:tc>
          <w:tcPr>
            <w:tcW w:w="1355" w:type="dxa"/>
            <w:shd w:val="clear" w:color="auto" w:fill="auto"/>
            <w:noWrap/>
            <w:vAlign w:val="bottom"/>
            <w:hideMark/>
          </w:tcPr>
          <w:p w14:paraId="5594C85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Mukhopadhyay</w:t>
            </w:r>
          </w:p>
        </w:tc>
        <w:tc>
          <w:tcPr>
            <w:tcW w:w="581" w:type="dxa"/>
            <w:shd w:val="clear" w:color="auto" w:fill="auto"/>
            <w:noWrap/>
            <w:vAlign w:val="bottom"/>
            <w:hideMark/>
          </w:tcPr>
          <w:p w14:paraId="47D7887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2013</w:t>
            </w:r>
          </w:p>
        </w:tc>
        <w:tc>
          <w:tcPr>
            <w:tcW w:w="1193" w:type="dxa"/>
            <w:shd w:val="clear" w:color="auto" w:fill="auto"/>
            <w:noWrap/>
            <w:vAlign w:val="bottom"/>
            <w:hideMark/>
          </w:tcPr>
          <w:p w14:paraId="329B915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West Bengal </w:t>
            </w:r>
          </w:p>
        </w:tc>
        <w:tc>
          <w:tcPr>
            <w:tcW w:w="865" w:type="dxa"/>
            <w:shd w:val="clear" w:color="auto" w:fill="auto"/>
            <w:noWrap/>
            <w:vAlign w:val="bottom"/>
            <w:hideMark/>
          </w:tcPr>
          <w:p w14:paraId="15240C2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245</w:t>
            </w:r>
          </w:p>
        </w:tc>
        <w:tc>
          <w:tcPr>
            <w:tcW w:w="1124" w:type="dxa"/>
            <w:shd w:val="clear" w:color="auto" w:fill="auto"/>
            <w:noWrap/>
            <w:vAlign w:val="bottom"/>
            <w:hideMark/>
          </w:tcPr>
          <w:p w14:paraId="22F3019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5F9009D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Interview </w:t>
            </w:r>
          </w:p>
        </w:tc>
        <w:tc>
          <w:tcPr>
            <w:tcW w:w="1074" w:type="dxa"/>
            <w:shd w:val="clear" w:color="auto" w:fill="auto"/>
            <w:noWrap/>
            <w:vAlign w:val="bottom"/>
            <w:hideMark/>
          </w:tcPr>
          <w:p w14:paraId="68080FF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4BB6026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w:t>
            </w:r>
          </w:p>
        </w:tc>
        <w:tc>
          <w:tcPr>
            <w:tcW w:w="989" w:type="dxa"/>
            <w:shd w:val="clear" w:color="auto" w:fill="auto"/>
            <w:noWrap/>
            <w:vAlign w:val="bottom"/>
            <w:hideMark/>
          </w:tcPr>
          <w:p w14:paraId="20866CC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80.30%</w:t>
            </w:r>
          </w:p>
        </w:tc>
        <w:tc>
          <w:tcPr>
            <w:tcW w:w="2756" w:type="dxa"/>
            <w:shd w:val="clear" w:color="auto" w:fill="auto"/>
            <w:noWrap/>
            <w:vAlign w:val="bottom"/>
            <w:hideMark/>
          </w:tcPr>
          <w:p w14:paraId="6008D05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feeding practices and the association with nutritional status of slum children</w:t>
            </w:r>
          </w:p>
        </w:tc>
        <w:tc>
          <w:tcPr>
            <w:tcW w:w="2756" w:type="dxa"/>
            <w:shd w:val="clear" w:color="auto" w:fill="auto"/>
            <w:noWrap/>
            <w:vAlign w:val="bottom"/>
            <w:hideMark/>
          </w:tcPr>
          <w:p w14:paraId="4D2D413E" w14:textId="5298523D"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Underweight and stunting and wasting were </w:t>
            </w:r>
            <w:r w:rsidR="00DD4D0B">
              <w:rPr>
                <w:rFonts w:ascii="Calibri" w:eastAsia="Times New Roman" w:hAnsi="Calibri" w:cs="Calibri"/>
                <w:sz w:val="18"/>
                <w:szCs w:val="18"/>
                <w:lang w:eastAsia="en-AU"/>
              </w:rPr>
              <w:t xml:space="preserve">significantly </w:t>
            </w:r>
            <w:r w:rsidRPr="00531F62">
              <w:rPr>
                <w:rFonts w:ascii="Calibri" w:eastAsia="Times New Roman" w:hAnsi="Calibri" w:cs="Calibri"/>
                <w:sz w:val="18"/>
                <w:szCs w:val="18"/>
                <w:lang w:eastAsia="en-AU"/>
              </w:rPr>
              <w:t xml:space="preserve">associated with low/very low </w:t>
            </w:r>
            <w:r w:rsidR="00DD4D0B">
              <w:rPr>
                <w:rFonts w:ascii="Calibri" w:eastAsia="Times New Roman" w:hAnsi="Calibri" w:cs="Calibri"/>
                <w:sz w:val="18"/>
                <w:szCs w:val="18"/>
                <w:lang w:eastAsia="en-AU"/>
              </w:rPr>
              <w:t>household food insecurity</w:t>
            </w:r>
            <w:r w:rsidRPr="00531F62">
              <w:rPr>
                <w:rFonts w:ascii="Calibri" w:eastAsia="Times New Roman" w:hAnsi="Calibri" w:cs="Calibri"/>
                <w:sz w:val="18"/>
                <w:szCs w:val="18"/>
                <w:lang w:eastAsia="en-AU"/>
              </w:rPr>
              <w:t xml:space="preserve">. </w:t>
            </w:r>
          </w:p>
        </w:tc>
      </w:tr>
      <w:tr w:rsidR="008B1F72" w:rsidRPr="008B1F72" w14:paraId="6885CBE9" w14:textId="77777777" w:rsidTr="00F11BA3">
        <w:trPr>
          <w:trHeight w:val="288"/>
        </w:trPr>
        <w:tc>
          <w:tcPr>
            <w:tcW w:w="1355" w:type="dxa"/>
            <w:shd w:val="clear" w:color="auto" w:fill="auto"/>
            <w:noWrap/>
            <w:vAlign w:val="bottom"/>
            <w:hideMark/>
          </w:tcPr>
          <w:p w14:paraId="3C8438A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Mukhopadhyay</w:t>
            </w:r>
          </w:p>
        </w:tc>
        <w:tc>
          <w:tcPr>
            <w:tcW w:w="581" w:type="dxa"/>
            <w:shd w:val="clear" w:color="auto" w:fill="auto"/>
            <w:noWrap/>
            <w:vAlign w:val="bottom"/>
            <w:hideMark/>
          </w:tcPr>
          <w:p w14:paraId="377DA4F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2010</w:t>
            </w:r>
          </w:p>
        </w:tc>
        <w:tc>
          <w:tcPr>
            <w:tcW w:w="1193" w:type="dxa"/>
            <w:shd w:val="clear" w:color="auto" w:fill="auto"/>
            <w:noWrap/>
            <w:vAlign w:val="bottom"/>
            <w:hideMark/>
          </w:tcPr>
          <w:p w14:paraId="6A2EC38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West Bengal</w:t>
            </w:r>
          </w:p>
        </w:tc>
        <w:tc>
          <w:tcPr>
            <w:tcW w:w="865" w:type="dxa"/>
            <w:shd w:val="clear" w:color="auto" w:fill="auto"/>
            <w:noWrap/>
            <w:vAlign w:val="bottom"/>
            <w:hideMark/>
          </w:tcPr>
          <w:p w14:paraId="1F10723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267</w:t>
            </w:r>
          </w:p>
        </w:tc>
        <w:tc>
          <w:tcPr>
            <w:tcW w:w="1124" w:type="dxa"/>
            <w:shd w:val="clear" w:color="auto" w:fill="auto"/>
            <w:noWrap/>
            <w:vAlign w:val="bottom"/>
            <w:hideMark/>
          </w:tcPr>
          <w:p w14:paraId="54FB06E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D44414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E003CD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54C8865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HFSSM-Short form</w:t>
            </w:r>
          </w:p>
        </w:tc>
        <w:tc>
          <w:tcPr>
            <w:tcW w:w="989" w:type="dxa"/>
            <w:shd w:val="clear" w:color="auto" w:fill="auto"/>
            <w:noWrap/>
            <w:vAlign w:val="bottom"/>
            <w:hideMark/>
          </w:tcPr>
          <w:p w14:paraId="2BD647F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52.80%</w:t>
            </w:r>
          </w:p>
        </w:tc>
        <w:tc>
          <w:tcPr>
            <w:tcW w:w="2756" w:type="dxa"/>
            <w:shd w:val="clear" w:color="auto" w:fill="auto"/>
            <w:noWrap/>
            <w:vAlign w:val="bottom"/>
            <w:hideMark/>
          </w:tcPr>
          <w:p w14:paraId="5692B2F4" w14:textId="4B437E01"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assess the </w:t>
            </w:r>
            <w:r w:rsidR="008B1F72" w:rsidRPr="008B1F72">
              <w:rPr>
                <w:rFonts w:ascii="Calibri" w:eastAsia="Times New Roman" w:hAnsi="Calibri" w:cs="Calibri"/>
                <w:sz w:val="18"/>
                <w:szCs w:val="18"/>
                <w:lang w:eastAsia="en-AU"/>
              </w:rPr>
              <w:t>prevalence</w:t>
            </w:r>
            <w:r w:rsidRPr="00531F62">
              <w:rPr>
                <w:rFonts w:ascii="Calibri" w:eastAsia="Times New Roman" w:hAnsi="Calibri" w:cs="Calibri"/>
                <w:sz w:val="18"/>
                <w:szCs w:val="18"/>
                <w:lang w:eastAsia="en-AU"/>
              </w:rPr>
              <w:t xml:space="preserve"> of household food insecurity of tribal population</w:t>
            </w:r>
          </w:p>
        </w:tc>
        <w:tc>
          <w:tcPr>
            <w:tcW w:w="2756" w:type="dxa"/>
            <w:shd w:val="clear" w:color="auto" w:fill="auto"/>
            <w:noWrap/>
            <w:vAlign w:val="bottom"/>
            <w:hideMark/>
          </w:tcPr>
          <w:p w14:paraId="54E822A4" w14:textId="2CA9BE2D"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The prevalence of low and very low food security was higher among households having under-5 children</w:t>
            </w:r>
            <w:r w:rsidR="00DD4D0B">
              <w:rPr>
                <w:rFonts w:ascii="Calibri" w:eastAsia="Times New Roman" w:hAnsi="Calibri" w:cs="Calibri"/>
                <w:sz w:val="18"/>
                <w:szCs w:val="18"/>
                <w:lang w:eastAsia="en-AU"/>
              </w:rPr>
              <w:t>.</w:t>
            </w:r>
          </w:p>
        </w:tc>
      </w:tr>
      <w:tr w:rsidR="008B1F72" w:rsidRPr="008B1F72" w14:paraId="4FCE558A" w14:textId="77777777" w:rsidTr="00F11BA3">
        <w:trPr>
          <w:trHeight w:val="315"/>
        </w:trPr>
        <w:tc>
          <w:tcPr>
            <w:tcW w:w="1355" w:type="dxa"/>
            <w:shd w:val="clear" w:color="auto" w:fill="auto"/>
            <w:noWrap/>
            <w:vAlign w:val="bottom"/>
            <w:hideMark/>
          </w:tcPr>
          <w:p w14:paraId="6FEC9DC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Nishanth Krishna</w:t>
            </w:r>
          </w:p>
        </w:tc>
        <w:tc>
          <w:tcPr>
            <w:tcW w:w="581" w:type="dxa"/>
            <w:shd w:val="clear" w:color="auto" w:fill="auto"/>
            <w:noWrap/>
            <w:vAlign w:val="bottom"/>
            <w:hideMark/>
          </w:tcPr>
          <w:p w14:paraId="636DF05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2015</w:t>
            </w:r>
          </w:p>
        </w:tc>
        <w:tc>
          <w:tcPr>
            <w:tcW w:w="1193" w:type="dxa"/>
            <w:shd w:val="clear" w:color="auto" w:fill="auto"/>
            <w:noWrap/>
            <w:vAlign w:val="bottom"/>
            <w:hideMark/>
          </w:tcPr>
          <w:p w14:paraId="0BA984E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Karnataka </w:t>
            </w:r>
          </w:p>
        </w:tc>
        <w:tc>
          <w:tcPr>
            <w:tcW w:w="865" w:type="dxa"/>
            <w:shd w:val="clear" w:color="auto" w:fill="auto"/>
            <w:noWrap/>
            <w:vAlign w:val="bottom"/>
            <w:hideMark/>
          </w:tcPr>
          <w:p w14:paraId="015D841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35</w:t>
            </w:r>
          </w:p>
        </w:tc>
        <w:tc>
          <w:tcPr>
            <w:tcW w:w="1124" w:type="dxa"/>
            <w:shd w:val="clear" w:color="auto" w:fill="auto"/>
            <w:noWrap/>
            <w:vAlign w:val="bottom"/>
            <w:hideMark/>
          </w:tcPr>
          <w:p w14:paraId="7BA03F5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4DAACB2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5389419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13556F3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HFSSM</w:t>
            </w:r>
          </w:p>
        </w:tc>
        <w:tc>
          <w:tcPr>
            <w:tcW w:w="989" w:type="dxa"/>
            <w:shd w:val="clear" w:color="auto" w:fill="auto"/>
            <w:noWrap/>
            <w:vAlign w:val="bottom"/>
            <w:hideMark/>
          </w:tcPr>
          <w:p w14:paraId="4F996A7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49%</w:t>
            </w:r>
          </w:p>
        </w:tc>
        <w:tc>
          <w:tcPr>
            <w:tcW w:w="2756" w:type="dxa"/>
            <w:shd w:val="clear" w:color="auto" w:fill="auto"/>
            <w:noWrap/>
            <w:vAlign w:val="bottom"/>
            <w:hideMark/>
          </w:tcPr>
          <w:p w14:paraId="4B9692B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food security and patterns of nutrient intake, and the relationship between food security with sociodemographic factors</w:t>
            </w:r>
          </w:p>
        </w:tc>
        <w:tc>
          <w:tcPr>
            <w:tcW w:w="2756" w:type="dxa"/>
            <w:shd w:val="clear" w:color="auto" w:fill="auto"/>
            <w:noWrap/>
            <w:vAlign w:val="bottom"/>
            <w:hideMark/>
          </w:tcPr>
          <w:p w14:paraId="6A86C8B2" w14:textId="112A9233"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No difference in food insecurity between houses with children, no </w:t>
            </w:r>
            <w:r w:rsidR="00DD4D0B" w:rsidRPr="00531F62">
              <w:rPr>
                <w:rFonts w:ascii="Calibri" w:eastAsia="Times New Roman" w:hAnsi="Calibri" w:cs="Calibri"/>
                <w:sz w:val="18"/>
                <w:szCs w:val="18"/>
                <w:lang w:eastAsia="en-AU"/>
              </w:rPr>
              <w:t>statically</w:t>
            </w:r>
            <w:r w:rsidRPr="00531F62">
              <w:rPr>
                <w:rFonts w:ascii="Calibri" w:eastAsia="Times New Roman" w:hAnsi="Calibri" w:cs="Calibri"/>
                <w:sz w:val="18"/>
                <w:szCs w:val="18"/>
                <w:lang w:eastAsia="en-AU"/>
              </w:rPr>
              <w:t xml:space="preserve"> </w:t>
            </w:r>
            <w:r w:rsidR="00DD4D0B">
              <w:rPr>
                <w:rFonts w:ascii="Calibri" w:eastAsia="Times New Roman" w:hAnsi="Calibri" w:cs="Calibri"/>
                <w:sz w:val="18"/>
                <w:szCs w:val="18"/>
                <w:lang w:eastAsia="en-AU"/>
              </w:rPr>
              <w:t xml:space="preserve">significant </w:t>
            </w:r>
            <w:r w:rsidRPr="00531F62">
              <w:rPr>
                <w:rFonts w:ascii="Calibri" w:eastAsia="Times New Roman" w:hAnsi="Calibri" w:cs="Calibri"/>
                <w:sz w:val="18"/>
                <w:szCs w:val="18"/>
                <w:lang w:eastAsia="en-AU"/>
              </w:rPr>
              <w:t>results</w:t>
            </w:r>
            <w:r w:rsidR="00DD4D0B">
              <w:rPr>
                <w:rFonts w:ascii="Calibri" w:eastAsia="Times New Roman" w:hAnsi="Calibri" w:cs="Calibri"/>
                <w:sz w:val="18"/>
                <w:szCs w:val="18"/>
                <w:lang w:eastAsia="en-AU"/>
              </w:rPr>
              <w:t>.</w:t>
            </w:r>
          </w:p>
        </w:tc>
      </w:tr>
      <w:tr w:rsidR="008B1F72" w:rsidRPr="008B1F72" w14:paraId="4DD4CBC0" w14:textId="77777777" w:rsidTr="00F11BA3">
        <w:trPr>
          <w:trHeight w:val="288"/>
        </w:trPr>
        <w:tc>
          <w:tcPr>
            <w:tcW w:w="1355" w:type="dxa"/>
            <w:shd w:val="clear" w:color="auto" w:fill="auto"/>
            <w:noWrap/>
            <w:vAlign w:val="bottom"/>
            <w:hideMark/>
          </w:tcPr>
          <w:p w14:paraId="39B4792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Nnakwe</w:t>
            </w:r>
          </w:p>
        </w:tc>
        <w:tc>
          <w:tcPr>
            <w:tcW w:w="581" w:type="dxa"/>
            <w:shd w:val="clear" w:color="auto" w:fill="auto"/>
            <w:noWrap/>
            <w:vAlign w:val="bottom"/>
            <w:hideMark/>
          </w:tcPr>
          <w:p w14:paraId="5B98CE3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2002</w:t>
            </w:r>
          </w:p>
        </w:tc>
        <w:tc>
          <w:tcPr>
            <w:tcW w:w="1193" w:type="dxa"/>
            <w:shd w:val="clear" w:color="auto" w:fill="auto"/>
            <w:noWrap/>
            <w:vAlign w:val="bottom"/>
            <w:hideMark/>
          </w:tcPr>
          <w:p w14:paraId="102B25C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Coimbatore</w:t>
            </w:r>
          </w:p>
        </w:tc>
        <w:tc>
          <w:tcPr>
            <w:tcW w:w="865" w:type="dxa"/>
            <w:shd w:val="clear" w:color="auto" w:fill="auto"/>
            <w:noWrap/>
            <w:vAlign w:val="bottom"/>
            <w:hideMark/>
          </w:tcPr>
          <w:p w14:paraId="62547C4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300</w:t>
            </w:r>
          </w:p>
        </w:tc>
        <w:tc>
          <w:tcPr>
            <w:tcW w:w="1124" w:type="dxa"/>
            <w:shd w:val="clear" w:color="auto" w:fill="auto"/>
            <w:noWrap/>
            <w:vAlign w:val="bottom"/>
            <w:hideMark/>
          </w:tcPr>
          <w:p w14:paraId="5E2FE8A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6EFE735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Interview</w:t>
            </w:r>
          </w:p>
        </w:tc>
        <w:tc>
          <w:tcPr>
            <w:tcW w:w="1074" w:type="dxa"/>
            <w:shd w:val="clear" w:color="auto" w:fill="auto"/>
            <w:noWrap/>
            <w:vAlign w:val="bottom"/>
            <w:hideMark/>
          </w:tcPr>
          <w:p w14:paraId="74DB884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57B75ED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Radimer/Cornell</w:t>
            </w:r>
          </w:p>
        </w:tc>
        <w:tc>
          <w:tcPr>
            <w:tcW w:w="989" w:type="dxa"/>
            <w:shd w:val="clear" w:color="auto" w:fill="auto"/>
            <w:noWrap/>
            <w:vAlign w:val="bottom"/>
            <w:hideMark/>
          </w:tcPr>
          <w:p w14:paraId="30BE1D7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44%</w:t>
            </w:r>
          </w:p>
        </w:tc>
        <w:tc>
          <w:tcPr>
            <w:tcW w:w="2756" w:type="dxa"/>
            <w:shd w:val="clear" w:color="auto" w:fill="auto"/>
            <w:noWrap/>
            <w:vAlign w:val="bottom"/>
            <w:hideMark/>
          </w:tcPr>
          <w:p w14:paraId="087E5E3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measure the prevalence of food insecurity and dietary patterns among households with and without children</w:t>
            </w:r>
          </w:p>
        </w:tc>
        <w:tc>
          <w:tcPr>
            <w:tcW w:w="2756" w:type="dxa"/>
            <w:shd w:val="clear" w:color="auto" w:fill="auto"/>
            <w:noWrap/>
            <w:vAlign w:val="bottom"/>
            <w:hideMark/>
          </w:tcPr>
          <w:p w14:paraId="72F2207A" w14:textId="43884283"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Households with children were more </w:t>
            </w:r>
            <w:r w:rsidR="00DD4D0B" w:rsidRPr="00531F62">
              <w:rPr>
                <w:rFonts w:ascii="Calibri" w:eastAsia="Times New Roman" w:hAnsi="Calibri" w:cs="Calibri"/>
                <w:sz w:val="18"/>
                <w:szCs w:val="18"/>
                <w:lang w:eastAsia="en-AU"/>
              </w:rPr>
              <w:t>likely</w:t>
            </w:r>
            <w:r w:rsidRPr="00531F62">
              <w:rPr>
                <w:rFonts w:ascii="Calibri" w:eastAsia="Times New Roman" w:hAnsi="Calibri" w:cs="Calibri"/>
                <w:sz w:val="18"/>
                <w:szCs w:val="18"/>
                <w:lang w:eastAsia="en-AU"/>
              </w:rPr>
              <w:t xml:space="preserve"> to be food insecure and at risk of malnutrition</w:t>
            </w:r>
          </w:p>
        </w:tc>
      </w:tr>
      <w:tr w:rsidR="008B1F72" w:rsidRPr="008B1F72" w14:paraId="739A9C6B" w14:textId="77777777" w:rsidTr="00F11BA3">
        <w:trPr>
          <w:trHeight w:val="288"/>
        </w:trPr>
        <w:tc>
          <w:tcPr>
            <w:tcW w:w="1355" w:type="dxa"/>
            <w:shd w:val="clear" w:color="auto" w:fill="auto"/>
            <w:noWrap/>
            <w:vAlign w:val="bottom"/>
            <w:hideMark/>
          </w:tcPr>
          <w:p w14:paraId="7799601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Parappurathu</w:t>
            </w:r>
          </w:p>
        </w:tc>
        <w:tc>
          <w:tcPr>
            <w:tcW w:w="581" w:type="dxa"/>
            <w:shd w:val="clear" w:color="auto" w:fill="auto"/>
            <w:noWrap/>
            <w:vAlign w:val="bottom"/>
            <w:hideMark/>
          </w:tcPr>
          <w:p w14:paraId="520815F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1B3E9266" w14:textId="3661DD5A"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Bihar,</w:t>
            </w:r>
            <w:r w:rsidRPr="008B1F72">
              <w:rPr>
                <w:rFonts w:ascii="Calibri" w:eastAsia="Times New Roman" w:hAnsi="Calibri" w:cs="Calibri"/>
                <w:sz w:val="18"/>
                <w:szCs w:val="18"/>
                <w:lang w:eastAsia="en-AU"/>
              </w:rPr>
              <w:t xml:space="preserve"> </w:t>
            </w:r>
            <w:r w:rsidRPr="00531F62">
              <w:rPr>
                <w:rFonts w:ascii="Calibri" w:eastAsia="Times New Roman" w:hAnsi="Calibri" w:cs="Calibri"/>
                <w:sz w:val="18"/>
                <w:szCs w:val="18"/>
                <w:lang w:eastAsia="en-AU"/>
              </w:rPr>
              <w:t>Jharkhand,</w:t>
            </w:r>
            <w:r w:rsidRPr="008B1F72">
              <w:rPr>
                <w:rFonts w:ascii="Calibri" w:eastAsia="Times New Roman" w:hAnsi="Calibri" w:cs="Calibri"/>
                <w:sz w:val="18"/>
                <w:szCs w:val="18"/>
                <w:lang w:eastAsia="en-AU"/>
              </w:rPr>
              <w:t xml:space="preserve"> </w:t>
            </w:r>
            <w:r w:rsidRPr="00531F62">
              <w:rPr>
                <w:rFonts w:ascii="Calibri" w:eastAsia="Times New Roman" w:hAnsi="Calibri" w:cs="Calibri"/>
                <w:sz w:val="18"/>
                <w:szCs w:val="18"/>
                <w:lang w:eastAsia="en-AU"/>
              </w:rPr>
              <w:t>Odisha</w:t>
            </w:r>
          </w:p>
        </w:tc>
        <w:tc>
          <w:tcPr>
            <w:tcW w:w="865" w:type="dxa"/>
            <w:shd w:val="clear" w:color="auto" w:fill="auto"/>
            <w:noWrap/>
            <w:vAlign w:val="bottom"/>
            <w:hideMark/>
          </w:tcPr>
          <w:p w14:paraId="4A83105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480</w:t>
            </w:r>
          </w:p>
        </w:tc>
        <w:tc>
          <w:tcPr>
            <w:tcW w:w="1124" w:type="dxa"/>
            <w:shd w:val="clear" w:color="auto" w:fill="auto"/>
            <w:noWrap/>
            <w:vAlign w:val="bottom"/>
            <w:hideMark/>
          </w:tcPr>
          <w:p w14:paraId="2116F02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0807455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63B911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28337FC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Village Level Studies</w:t>
            </w:r>
          </w:p>
        </w:tc>
        <w:tc>
          <w:tcPr>
            <w:tcW w:w="989" w:type="dxa"/>
            <w:shd w:val="clear" w:color="auto" w:fill="auto"/>
            <w:noWrap/>
            <w:vAlign w:val="bottom"/>
            <w:hideMark/>
          </w:tcPr>
          <w:p w14:paraId="5AB92B7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0CC6377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measure food consumption patterns, levels of nutrition intake and nutrient intake gap</w:t>
            </w:r>
          </w:p>
        </w:tc>
        <w:tc>
          <w:tcPr>
            <w:tcW w:w="2756" w:type="dxa"/>
            <w:shd w:val="clear" w:color="auto" w:fill="auto"/>
            <w:noWrap/>
            <w:vAlign w:val="bottom"/>
            <w:hideMark/>
          </w:tcPr>
          <w:p w14:paraId="2B4AE75D" w14:textId="61DD850F"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Diversity of food consumption was low, lacking in nutrients and most calories coming from cereals and veg</w:t>
            </w:r>
            <w:r w:rsidR="005C31A0">
              <w:rPr>
                <w:rFonts w:ascii="Calibri" w:eastAsia="Times New Roman" w:hAnsi="Calibri" w:cs="Calibri"/>
                <w:sz w:val="18"/>
                <w:szCs w:val="18"/>
                <w:lang w:eastAsia="en-AU"/>
              </w:rPr>
              <w:t>etables</w:t>
            </w:r>
            <w:r w:rsidRPr="00531F62">
              <w:rPr>
                <w:rFonts w:ascii="Calibri" w:eastAsia="Times New Roman" w:hAnsi="Calibri" w:cs="Calibri"/>
                <w:sz w:val="18"/>
                <w:szCs w:val="18"/>
                <w:lang w:eastAsia="en-AU"/>
              </w:rPr>
              <w:t xml:space="preserve">. </w:t>
            </w:r>
            <w:r w:rsidR="005C31A0">
              <w:rPr>
                <w:rFonts w:ascii="Calibri" w:eastAsia="Times New Roman" w:hAnsi="Calibri" w:cs="Calibri"/>
                <w:sz w:val="18"/>
                <w:szCs w:val="18"/>
                <w:lang w:eastAsia="en-AU"/>
              </w:rPr>
              <w:t xml:space="preserve">Significant </w:t>
            </w:r>
            <w:r w:rsidRPr="00531F62">
              <w:rPr>
                <w:rFonts w:ascii="Calibri" w:eastAsia="Times New Roman" w:hAnsi="Calibri" w:cs="Calibri"/>
                <w:sz w:val="18"/>
                <w:szCs w:val="18"/>
                <w:lang w:eastAsia="en-AU"/>
              </w:rPr>
              <w:t xml:space="preserve">linkages between nutrient intake and socio-economic and demographic determinants. </w:t>
            </w:r>
          </w:p>
        </w:tc>
      </w:tr>
      <w:tr w:rsidR="008B1F72" w:rsidRPr="008B1F72" w14:paraId="0D89AA56" w14:textId="77777777" w:rsidTr="00F11BA3">
        <w:trPr>
          <w:trHeight w:val="288"/>
        </w:trPr>
        <w:tc>
          <w:tcPr>
            <w:tcW w:w="1355" w:type="dxa"/>
            <w:shd w:val="clear" w:color="auto" w:fill="auto"/>
            <w:vAlign w:val="bottom"/>
            <w:hideMark/>
          </w:tcPr>
          <w:p w14:paraId="0D6FB99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Patil</w:t>
            </w:r>
          </w:p>
        </w:tc>
        <w:tc>
          <w:tcPr>
            <w:tcW w:w="581" w:type="dxa"/>
            <w:shd w:val="clear" w:color="auto" w:fill="auto"/>
            <w:vAlign w:val="bottom"/>
            <w:hideMark/>
          </w:tcPr>
          <w:p w14:paraId="122EE3E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vAlign w:val="bottom"/>
            <w:hideMark/>
          </w:tcPr>
          <w:p w14:paraId="2BE9711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Pune</w:t>
            </w:r>
          </w:p>
        </w:tc>
        <w:tc>
          <w:tcPr>
            <w:tcW w:w="865" w:type="dxa"/>
            <w:shd w:val="clear" w:color="auto" w:fill="auto"/>
            <w:noWrap/>
            <w:vAlign w:val="bottom"/>
            <w:hideMark/>
          </w:tcPr>
          <w:p w14:paraId="35A4D30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483</w:t>
            </w:r>
          </w:p>
        </w:tc>
        <w:tc>
          <w:tcPr>
            <w:tcW w:w="1124" w:type="dxa"/>
            <w:shd w:val="clear" w:color="auto" w:fill="auto"/>
            <w:noWrap/>
            <w:vAlign w:val="bottom"/>
            <w:hideMark/>
          </w:tcPr>
          <w:p w14:paraId="0F40928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B43115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143C2C8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Adults</w:t>
            </w:r>
          </w:p>
        </w:tc>
        <w:tc>
          <w:tcPr>
            <w:tcW w:w="1422" w:type="dxa"/>
            <w:shd w:val="clear" w:color="auto" w:fill="auto"/>
            <w:vAlign w:val="bottom"/>
            <w:hideMark/>
          </w:tcPr>
          <w:p w14:paraId="621ED94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vAlign w:val="bottom"/>
            <w:hideMark/>
          </w:tcPr>
          <w:p w14:paraId="5482417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40%</w:t>
            </w:r>
          </w:p>
        </w:tc>
        <w:tc>
          <w:tcPr>
            <w:tcW w:w="2756" w:type="dxa"/>
            <w:shd w:val="clear" w:color="auto" w:fill="auto"/>
            <w:noWrap/>
            <w:vAlign w:val="bottom"/>
            <w:hideMark/>
          </w:tcPr>
          <w:p w14:paraId="2416A02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understand food security among people living with HIV</w:t>
            </w:r>
          </w:p>
        </w:tc>
        <w:tc>
          <w:tcPr>
            <w:tcW w:w="2756" w:type="dxa"/>
            <w:shd w:val="clear" w:color="auto" w:fill="auto"/>
            <w:noWrap/>
            <w:vAlign w:val="bottom"/>
            <w:hideMark/>
          </w:tcPr>
          <w:p w14:paraId="130A4F1C" w14:textId="0285F42D"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The high proportion of people with HIV who are food insecure means that </w:t>
            </w:r>
            <w:r w:rsidR="00E374FC">
              <w:rPr>
                <w:rFonts w:ascii="Calibri" w:eastAsia="Times New Roman" w:hAnsi="Calibri" w:cs="Calibri"/>
                <w:sz w:val="18"/>
                <w:szCs w:val="18"/>
                <w:lang w:eastAsia="en-AU"/>
              </w:rPr>
              <w:t xml:space="preserve">specific </w:t>
            </w:r>
            <w:r w:rsidRPr="00531F62">
              <w:rPr>
                <w:rFonts w:ascii="Calibri" w:eastAsia="Times New Roman" w:hAnsi="Calibri" w:cs="Calibri"/>
                <w:sz w:val="18"/>
                <w:szCs w:val="18"/>
                <w:lang w:eastAsia="en-AU"/>
              </w:rPr>
              <w:t>interventions should be targeted at this group.</w:t>
            </w:r>
          </w:p>
        </w:tc>
      </w:tr>
      <w:tr w:rsidR="008B1F72" w:rsidRPr="008B1F72" w14:paraId="6BB9AF55" w14:textId="77777777" w:rsidTr="00F11BA3">
        <w:trPr>
          <w:trHeight w:val="288"/>
        </w:trPr>
        <w:tc>
          <w:tcPr>
            <w:tcW w:w="1355" w:type="dxa"/>
            <w:shd w:val="clear" w:color="auto" w:fill="auto"/>
            <w:noWrap/>
            <w:vAlign w:val="bottom"/>
            <w:hideMark/>
          </w:tcPr>
          <w:p w14:paraId="75584B7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Punia</w:t>
            </w:r>
          </w:p>
        </w:tc>
        <w:tc>
          <w:tcPr>
            <w:tcW w:w="581" w:type="dxa"/>
            <w:shd w:val="clear" w:color="auto" w:fill="auto"/>
            <w:noWrap/>
            <w:vAlign w:val="bottom"/>
            <w:hideMark/>
          </w:tcPr>
          <w:p w14:paraId="5753936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3C4AD6C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Haryana</w:t>
            </w:r>
          </w:p>
        </w:tc>
        <w:tc>
          <w:tcPr>
            <w:tcW w:w="865" w:type="dxa"/>
            <w:shd w:val="clear" w:color="auto" w:fill="auto"/>
            <w:noWrap/>
            <w:vAlign w:val="bottom"/>
            <w:hideMark/>
          </w:tcPr>
          <w:p w14:paraId="1E1E232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300</w:t>
            </w:r>
          </w:p>
        </w:tc>
        <w:tc>
          <w:tcPr>
            <w:tcW w:w="1124" w:type="dxa"/>
            <w:shd w:val="clear" w:color="auto" w:fill="auto"/>
            <w:noWrap/>
            <w:vAlign w:val="bottom"/>
            <w:hideMark/>
          </w:tcPr>
          <w:p w14:paraId="0538468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5AF5451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741FF00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40EE335F" w14:textId="4B3BE5C7" w:rsidR="00D35F89" w:rsidRPr="00531F62" w:rsidRDefault="008B1F72" w:rsidP="00E740CA">
            <w:pPr>
              <w:spacing w:after="0" w:line="240" w:lineRule="auto"/>
              <w:jc w:val="left"/>
              <w:rPr>
                <w:rFonts w:ascii="Calibri" w:eastAsia="Times New Roman" w:hAnsi="Calibri" w:cs="Calibri"/>
                <w:sz w:val="18"/>
                <w:szCs w:val="18"/>
                <w:lang w:eastAsia="en-AU"/>
              </w:rPr>
            </w:pPr>
            <w:r w:rsidRPr="008B1F72">
              <w:rPr>
                <w:rFonts w:ascii="Calibri" w:eastAsia="Times New Roman" w:hAnsi="Calibri" w:cs="Calibri"/>
                <w:sz w:val="18"/>
                <w:szCs w:val="18"/>
                <w:lang w:eastAsia="en-AU"/>
              </w:rPr>
              <w:t>P</w:t>
            </w:r>
            <w:r w:rsidR="00D35F89" w:rsidRPr="00531F62">
              <w:rPr>
                <w:rFonts w:ascii="Calibri" w:eastAsia="Times New Roman" w:hAnsi="Calibri" w:cs="Calibri"/>
                <w:sz w:val="18"/>
                <w:szCs w:val="18"/>
                <w:lang w:eastAsia="en-AU"/>
              </w:rPr>
              <w:t xml:space="preserve">roxy Food frequency pattern and household diet diversity survey </w:t>
            </w:r>
          </w:p>
        </w:tc>
        <w:tc>
          <w:tcPr>
            <w:tcW w:w="989" w:type="dxa"/>
            <w:shd w:val="clear" w:color="auto" w:fill="auto"/>
            <w:noWrap/>
            <w:vAlign w:val="bottom"/>
            <w:hideMark/>
          </w:tcPr>
          <w:p w14:paraId="0D3591E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5B2A8B2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the food and nutrition security of selected farm households</w:t>
            </w:r>
          </w:p>
        </w:tc>
        <w:tc>
          <w:tcPr>
            <w:tcW w:w="2756" w:type="dxa"/>
            <w:shd w:val="clear" w:color="auto" w:fill="auto"/>
            <w:noWrap/>
            <w:vAlign w:val="bottom"/>
            <w:hideMark/>
          </w:tcPr>
          <w:p w14:paraId="0A29414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The majority of families never experienced food scarcity and had enough food to eat for the whole family. Majority of families had medium diet diversity score. Majority of women and children had normal BMI.</w:t>
            </w:r>
          </w:p>
        </w:tc>
      </w:tr>
      <w:tr w:rsidR="008B1F72" w:rsidRPr="008B1F72" w14:paraId="16450958" w14:textId="77777777" w:rsidTr="00F11BA3">
        <w:trPr>
          <w:trHeight w:val="288"/>
        </w:trPr>
        <w:tc>
          <w:tcPr>
            <w:tcW w:w="1355" w:type="dxa"/>
            <w:shd w:val="clear" w:color="auto" w:fill="auto"/>
            <w:noWrap/>
            <w:vAlign w:val="bottom"/>
            <w:hideMark/>
          </w:tcPr>
          <w:p w14:paraId="4D8843B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Rani</w:t>
            </w:r>
          </w:p>
        </w:tc>
        <w:tc>
          <w:tcPr>
            <w:tcW w:w="581" w:type="dxa"/>
            <w:shd w:val="clear" w:color="auto" w:fill="auto"/>
            <w:noWrap/>
            <w:vAlign w:val="bottom"/>
            <w:hideMark/>
          </w:tcPr>
          <w:p w14:paraId="7F9ABCC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2018</w:t>
            </w:r>
          </w:p>
        </w:tc>
        <w:tc>
          <w:tcPr>
            <w:tcW w:w="1193" w:type="dxa"/>
            <w:shd w:val="clear" w:color="auto" w:fill="auto"/>
            <w:noWrap/>
            <w:vAlign w:val="bottom"/>
            <w:hideMark/>
          </w:tcPr>
          <w:p w14:paraId="6E496E2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Varanasi </w:t>
            </w:r>
          </w:p>
        </w:tc>
        <w:tc>
          <w:tcPr>
            <w:tcW w:w="865" w:type="dxa"/>
            <w:shd w:val="clear" w:color="auto" w:fill="auto"/>
            <w:noWrap/>
            <w:vAlign w:val="bottom"/>
            <w:hideMark/>
          </w:tcPr>
          <w:p w14:paraId="1213567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418</w:t>
            </w:r>
          </w:p>
        </w:tc>
        <w:tc>
          <w:tcPr>
            <w:tcW w:w="1124" w:type="dxa"/>
            <w:shd w:val="clear" w:color="auto" w:fill="auto"/>
            <w:noWrap/>
            <w:vAlign w:val="bottom"/>
            <w:hideMark/>
          </w:tcPr>
          <w:p w14:paraId="0AE9B32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428BC74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53F2451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Teenagers</w:t>
            </w:r>
          </w:p>
        </w:tc>
        <w:tc>
          <w:tcPr>
            <w:tcW w:w="1422" w:type="dxa"/>
            <w:shd w:val="clear" w:color="auto" w:fill="auto"/>
            <w:noWrap/>
            <w:vAlign w:val="bottom"/>
            <w:hideMark/>
          </w:tcPr>
          <w:p w14:paraId="797FAB4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31DB676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47.60%</w:t>
            </w:r>
          </w:p>
        </w:tc>
        <w:tc>
          <w:tcPr>
            <w:tcW w:w="2756" w:type="dxa"/>
            <w:shd w:val="clear" w:color="auto" w:fill="auto"/>
            <w:noWrap/>
            <w:vAlign w:val="bottom"/>
            <w:hideMark/>
          </w:tcPr>
          <w:p w14:paraId="491A26A4" w14:textId="18708005"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investigate the relation between household food insecurity and mental health problems in teenage girls living in urban slums</w:t>
            </w:r>
          </w:p>
        </w:tc>
        <w:tc>
          <w:tcPr>
            <w:tcW w:w="2756" w:type="dxa"/>
            <w:shd w:val="clear" w:color="auto" w:fill="auto"/>
            <w:noWrap/>
            <w:vAlign w:val="bottom"/>
            <w:hideMark/>
          </w:tcPr>
          <w:p w14:paraId="0B494E1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Teenage girls from food insecure households were more likely to have high levels of anxiety, depression, loss of behavioural control and psychological distress than those living in food secure households</w:t>
            </w:r>
          </w:p>
        </w:tc>
      </w:tr>
      <w:tr w:rsidR="008B1F72" w:rsidRPr="008B1F72" w14:paraId="7BAF030A" w14:textId="77777777" w:rsidTr="00F11BA3">
        <w:trPr>
          <w:trHeight w:val="288"/>
        </w:trPr>
        <w:tc>
          <w:tcPr>
            <w:tcW w:w="1355" w:type="dxa"/>
            <w:shd w:val="clear" w:color="auto" w:fill="auto"/>
            <w:noWrap/>
            <w:vAlign w:val="bottom"/>
            <w:hideMark/>
          </w:tcPr>
          <w:p w14:paraId="718431A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Reshmi</w:t>
            </w:r>
          </w:p>
        </w:tc>
        <w:tc>
          <w:tcPr>
            <w:tcW w:w="581" w:type="dxa"/>
            <w:shd w:val="clear" w:color="auto" w:fill="auto"/>
            <w:noWrap/>
            <w:vAlign w:val="bottom"/>
            <w:hideMark/>
          </w:tcPr>
          <w:p w14:paraId="7771FF2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6B575901" w14:textId="5C283B04"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Bihar, C</w:t>
            </w:r>
            <w:r w:rsidRPr="008B1F72">
              <w:rPr>
                <w:rFonts w:ascii="Calibri" w:eastAsia="Times New Roman" w:hAnsi="Calibri" w:cs="Calibri"/>
                <w:sz w:val="18"/>
                <w:szCs w:val="18"/>
                <w:lang w:eastAsia="en-AU"/>
              </w:rPr>
              <w:t>hh</w:t>
            </w:r>
            <w:r w:rsidRPr="00531F62">
              <w:rPr>
                <w:rFonts w:ascii="Calibri" w:eastAsia="Times New Roman" w:hAnsi="Calibri" w:cs="Calibri"/>
                <w:sz w:val="18"/>
                <w:szCs w:val="18"/>
                <w:lang w:eastAsia="en-AU"/>
              </w:rPr>
              <w:t>attisgarh,</w:t>
            </w:r>
            <w:r w:rsidRPr="008B1F72">
              <w:rPr>
                <w:rFonts w:ascii="Calibri" w:eastAsia="Times New Roman" w:hAnsi="Calibri" w:cs="Calibri"/>
                <w:sz w:val="18"/>
                <w:szCs w:val="18"/>
                <w:lang w:eastAsia="en-AU"/>
              </w:rPr>
              <w:t xml:space="preserve"> </w:t>
            </w:r>
            <w:r w:rsidRPr="00531F62">
              <w:rPr>
                <w:rFonts w:ascii="Calibri" w:eastAsia="Times New Roman" w:hAnsi="Calibri" w:cs="Calibri"/>
                <w:sz w:val="18"/>
                <w:szCs w:val="18"/>
                <w:lang w:eastAsia="en-AU"/>
              </w:rPr>
              <w:t>Odisha</w:t>
            </w:r>
          </w:p>
        </w:tc>
        <w:tc>
          <w:tcPr>
            <w:tcW w:w="865" w:type="dxa"/>
            <w:shd w:val="clear" w:color="auto" w:fill="auto"/>
            <w:noWrap/>
            <w:vAlign w:val="bottom"/>
            <w:hideMark/>
          </w:tcPr>
          <w:p w14:paraId="10FE7EB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8755</w:t>
            </w:r>
          </w:p>
        </w:tc>
        <w:tc>
          <w:tcPr>
            <w:tcW w:w="1124" w:type="dxa"/>
            <w:shd w:val="clear" w:color="auto" w:fill="auto"/>
            <w:noWrap/>
            <w:vAlign w:val="bottom"/>
            <w:hideMark/>
          </w:tcPr>
          <w:p w14:paraId="0E4FF5F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2C9CDE0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 anthropometry</w:t>
            </w:r>
          </w:p>
        </w:tc>
        <w:tc>
          <w:tcPr>
            <w:tcW w:w="1074" w:type="dxa"/>
            <w:shd w:val="clear" w:color="auto" w:fill="auto"/>
            <w:noWrap/>
            <w:vAlign w:val="bottom"/>
            <w:hideMark/>
          </w:tcPr>
          <w:p w14:paraId="501E2CC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Women</w:t>
            </w:r>
          </w:p>
        </w:tc>
        <w:tc>
          <w:tcPr>
            <w:tcW w:w="1422" w:type="dxa"/>
            <w:shd w:val="clear" w:color="auto" w:fill="auto"/>
            <w:noWrap/>
            <w:vAlign w:val="bottom"/>
            <w:hideMark/>
          </w:tcPr>
          <w:p w14:paraId="5135B2C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FIES</w:t>
            </w:r>
          </w:p>
        </w:tc>
        <w:tc>
          <w:tcPr>
            <w:tcW w:w="989" w:type="dxa"/>
            <w:shd w:val="clear" w:color="auto" w:fill="auto"/>
            <w:noWrap/>
            <w:vAlign w:val="bottom"/>
            <w:hideMark/>
          </w:tcPr>
          <w:p w14:paraId="14192E3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77.90%</w:t>
            </w:r>
          </w:p>
        </w:tc>
        <w:tc>
          <w:tcPr>
            <w:tcW w:w="2756" w:type="dxa"/>
            <w:shd w:val="clear" w:color="auto" w:fill="auto"/>
            <w:noWrap/>
            <w:vAlign w:val="bottom"/>
            <w:hideMark/>
          </w:tcPr>
          <w:p w14:paraId="250F330D" w14:textId="2C8839EE"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assess the context for layering women’s nutrition interventions on a </w:t>
            </w:r>
            <w:r w:rsidR="00BB6226" w:rsidRPr="00531F62">
              <w:rPr>
                <w:rFonts w:ascii="Calibri" w:eastAsia="Times New Roman" w:hAnsi="Calibri" w:cs="Calibri"/>
                <w:sz w:val="18"/>
                <w:szCs w:val="18"/>
                <w:lang w:eastAsia="en-AU"/>
              </w:rPr>
              <w:t>large-scale</w:t>
            </w:r>
            <w:r w:rsidRPr="00531F62">
              <w:rPr>
                <w:rFonts w:ascii="Calibri" w:eastAsia="Times New Roman" w:hAnsi="Calibri" w:cs="Calibri"/>
                <w:sz w:val="18"/>
                <w:szCs w:val="18"/>
                <w:lang w:eastAsia="en-AU"/>
              </w:rPr>
              <w:t xml:space="preserve"> poverty alleviation program</w:t>
            </w:r>
          </w:p>
        </w:tc>
        <w:tc>
          <w:tcPr>
            <w:tcW w:w="2756" w:type="dxa"/>
            <w:shd w:val="clear" w:color="auto" w:fill="auto"/>
            <w:noWrap/>
            <w:vAlign w:val="bottom"/>
            <w:hideMark/>
          </w:tcPr>
          <w:p w14:paraId="5326343E" w14:textId="566D86E0"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Access to health services and care to nutritionally “at risk”, access to family planning services, improving dietary diversity, preventing micronutrient </w:t>
            </w:r>
            <w:r w:rsidR="00BB6226" w:rsidRPr="00531F62">
              <w:rPr>
                <w:rFonts w:ascii="Calibri" w:eastAsia="Times New Roman" w:hAnsi="Calibri" w:cs="Calibri"/>
                <w:sz w:val="18"/>
                <w:szCs w:val="18"/>
                <w:lang w:eastAsia="en-AU"/>
              </w:rPr>
              <w:t>de</w:t>
            </w:r>
            <w:r w:rsidR="00BB6226">
              <w:rPr>
                <w:rFonts w:ascii="Calibri" w:eastAsia="Times New Roman" w:hAnsi="Calibri" w:cs="Calibri"/>
                <w:sz w:val="18"/>
                <w:szCs w:val="18"/>
                <w:lang w:eastAsia="en-AU"/>
              </w:rPr>
              <w:t>fi</w:t>
            </w:r>
            <w:r w:rsidR="00BB6226" w:rsidRPr="00531F62">
              <w:rPr>
                <w:rFonts w:ascii="Calibri" w:eastAsia="Times New Roman" w:hAnsi="Calibri" w:cs="Calibri"/>
                <w:sz w:val="18"/>
                <w:szCs w:val="18"/>
                <w:lang w:eastAsia="en-AU"/>
              </w:rPr>
              <w:t>ciencies</w:t>
            </w:r>
            <w:r w:rsidRPr="00531F62">
              <w:rPr>
                <w:rFonts w:ascii="Calibri" w:eastAsia="Times New Roman" w:hAnsi="Calibri" w:cs="Calibri"/>
                <w:sz w:val="18"/>
                <w:szCs w:val="18"/>
                <w:lang w:eastAsia="en-AU"/>
              </w:rPr>
              <w:t xml:space="preserve"> and </w:t>
            </w:r>
            <w:r w:rsidR="00BB6226" w:rsidRPr="00531F62">
              <w:rPr>
                <w:rFonts w:ascii="Calibri" w:eastAsia="Times New Roman" w:hAnsi="Calibri" w:cs="Calibri"/>
                <w:sz w:val="18"/>
                <w:szCs w:val="18"/>
                <w:lang w:eastAsia="en-AU"/>
              </w:rPr>
              <w:t>anaemia</w:t>
            </w:r>
            <w:r w:rsidRPr="00531F62">
              <w:rPr>
                <w:rFonts w:ascii="Calibri" w:eastAsia="Times New Roman" w:hAnsi="Calibri" w:cs="Calibri"/>
                <w:sz w:val="18"/>
                <w:szCs w:val="18"/>
                <w:lang w:eastAsia="en-AU"/>
              </w:rPr>
              <w:t xml:space="preserve"> and access to water, sanitation and hygiene services is immense.</w:t>
            </w:r>
          </w:p>
        </w:tc>
      </w:tr>
      <w:tr w:rsidR="008B1F72" w:rsidRPr="008B1F72" w14:paraId="438F521C" w14:textId="77777777" w:rsidTr="00F11BA3">
        <w:trPr>
          <w:trHeight w:val="288"/>
        </w:trPr>
        <w:tc>
          <w:tcPr>
            <w:tcW w:w="1355" w:type="dxa"/>
            <w:shd w:val="clear" w:color="auto" w:fill="auto"/>
            <w:noWrap/>
            <w:vAlign w:val="bottom"/>
            <w:hideMark/>
          </w:tcPr>
          <w:p w14:paraId="041492A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Sabar</w:t>
            </w:r>
          </w:p>
        </w:tc>
        <w:tc>
          <w:tcPr>
            <w:tcW w:w="581" w:type="dxa"/>
            <w:shd w:val="clear" w:color="auto" w:fill="auto"/>
            <w:noWrap/>
            <w:vAlign w:val="bottom"/>
            <w:hideMark/>
          </w:tcPr>
          <w:p w14:paraId="244A68B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2016</w:t>
            </w:r>
          </w:p>
        </w:tc>
        <w:tc>
          <w:tcPr>
            <w:tcW w:w="1193" w:type="dxa"/>
            <w:shd w:val="clear" w:color="auto" w:fill="auto"/>
            <w:noWrap/>
            <w:vAlign w:val="bottom"/>
            <w:hideMark/>
          </w:tcPr>
          <w:p w14:paraId="55A0AEE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Karnataka</w:t>
            </w:r>
          </w:p>
        </w:tc>
        <w:tc>
          <w:tcPr>
            <w:tcW w:w="865" w:type="dxa"/>
            <w:shd w:val="clear" w:color="auto" w:fill="auto"/>
            <w:noWrap/>
            <w:vAlign w:val="bottom"/>
            <w:hideMark/>
          </w:tcPr>
          <w:p w14:paraId="10623C5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100</w:t>
            </w:r>
          </w:p>
        </w:tc>
        <w:tc>
          <w:tcPr>
            <w:tcW w:w="1124" w:type="dxa"/>
            <w:shd w:val="clear" w:color="auto" w:fill="auto"/>
            <w:noWrap/>
            <w:vAlign w:val="bottom"/>
            <w:hideMark/>
          </w:tcPr>
          <w:p w14:paraId="23B0C0F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4EE6F5B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4AD3836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67B5365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NSS</w:t>
            </w:r>
          </w:p>
        </w:tc>
        <w:tc>
          <w:tcPr>
            <w:tcW w:w="989" w:type="dxa"/>
            <w:shd w:val="clear" w:color="auto" w:fill="auto"/>
            <w:noWrap/>
            <w:vAlign w:val="bottom"/>
            <w:hideMark/>
          </w:tcPr>
          <w:p w14:paraId="2DF29EB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4FC0B18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explore the food insecurity level and coping strategies of two particularly vulnerable tribal groups </w:t>
            </w:r>
          </w:p>
        </w:tc>
        <w:tc>
          <w:tcPr>
            <w:tcW w:w="2756" w:type="dxa"/>
            <w:shd w:val="clear" w:color="auto" w:fill="auto"/>
            <w:noWrap/>
            <w:vAlign w:val="bottom"/>
            <w:hideMark/>
          </w:tcPr>
          <w:p w14:paraId="2E6714A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 The availability of food did not guarantee it being accessible.</w:t>
            </w:r>
          </w:p>
        </w:tc>
      </w:tr>
      <w:tr w:rsidR="008B1F72" w:rsidRPr="008B1F72" w14:paraId="09E1E413" w14:textId="77777777" w:rsidTr="00F11BA3">
        <w:trPr>
          <w:trHeight w:val="288"/>
        </w:trPr>
        <w:tc>
          <w:tcPr>
            <w:tcW w:w="1355" w:type="dxa"/>
            <w:shd w:val="clear" w:color="auto" w:fill="auto"/>
            <w:noWrap/>
            <w:vAlign w:val="bottom"/>
            <w:hideMark/>
          </w:tcPr>
          <w:p w14:paraId="6C4DCC0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Sajjad</w:t>
            </w:r>
          </w:p>
        </w:tc>
        <w:tc>
          <w:tcPr>
            <w:tcW w:w="581" w:type="dxa"/>
            <w:shd w:val="clear" w:color="auto" w:fill="auto"/>
            <w:noWrap/>
            <w:vAlign w:val="bottom"/>
            <w:hideMark/>
          </w:tcPr>
          <w:p w14:paraId="7F99B3F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2014</w:t>
            </w:r>
          </w:p>
        </w:tc>
        <w:tc>
          <w:tcPr>
            <w:tcW w:w="1193" w:type="dxa"/>
            <w:shd w:val="clear" w:color="auto" w:fill="auto"/>
            <w:noWrap/>
            <w:vAlign w:val="bottom"/>
            <w:hideMark/>
          </w:tcPr>
          <w:p w14:paraId="4699C8D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Bihar</w:t>
            </w:r>
          </w:p>
        </w:tc>
        <w:tc>
          <w:tcPr>
            <w:tcW w:w="865" w:type="dxa"/>
            <w:shd w:val="clear" w:color="auto" w:fill="auto"/>
            <w:noWrap/>
            <w:vAlign w:val="bottom"/>
            <w:hideMark/>
          </w:tcPr>
          <w:p w14:paraId="14BAF6A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959</w:t>
            </w:r>
          </w:p>
        </w:tc>
        <w:tc>
          <w:tcPr>
            <w:tcW w:w="1124" w:type="dxa"/>
            <w:shd w:val="clear" w:color="auto" w:fill="auto"/>
            <w:noWrap/>
            <w:vAlign w:val="bottom"/>
            <w:hideMark/>
          </w:tcPr>
          <w:p w14:paraId="6394A1D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5811415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 and interviews</w:t>
            </w:r>
          </w:p>
        </w:tc>
        <w:tc>
          <w:tcPr>
            <w:tcW w:w="1074" w:type="dxa"/>
            <w:shd w:val="clear" w:color="auto" w:fill="auto"/>
            <w:noWrap/>
            <w:vAlign w:val="bottom"/>
            <w:hideMark/>
          </w:tcPr>
          <w:p w14:paraId="0DBFEC2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4B85CDF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availability</w:t>
            </w:r>
          </w:p>
        </w:tc>
        <w:tc>
          <w:tcPr>
            <w:tcW w:w="989" w:type="dxa"/>
            <w:shd w:val="clear" w:color="auto" w:fill="auto"/>
            <w:noWrap/>
            <w:vAlign w:val="bottom"/>
            <w:hideMark/>
          </w:tcPr>
          <w:p w14:paraId="673C3FF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74.7%</w:t>
            </w:r>
          </w:p>
        </w:tc>
        <w:tc>
          <w:tcPr>
            <w:tcW w:w="2756" w:type="dxa"/>
            <w:shd w:val="clear" w:color="auto" w:fill="auto"/>
            <w:noWrap/>
            <w:vAlign w:val="bottom"/>
            <w:hideMark/>
          </w:tcPr>
          <w:p w14:paraId="0D6EFDD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measure household level food security </w:t>
            </w:r>
          </w:p>
        </w:tc>
        <w:tc>
          <w:tcPr>
            <w:tcW w:w="2756" w:type="dxa"/>
            <w:shd w:val="clear" w:color="auto" w:fill="auto"/>
            <w:noWrap/>
            <w:vAlign w:val="bottom"/>
            <w:hideMark/>
          </w:tcPr>
          <w:p w14:paraId="760DC8EB" w14:textId="28B6800D" w:rsidR="00D35F89" w:rsidRPr="00531F62" w:rsidRDefault="003C2EE8"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Most families had low food insecurity</w:t>
            </w:r>
            <w:r w:rsidR="00D35F89" w:rsidRPr="00531F62">
              <w:rPr>
                <w:rFonts w:ascii="Calibri" w:eastAsia="Times New Roman" w:hAnsi="Calibri" w:cs="Calibri"/>
                <w:sz w:val="18"/>
                <w:szCs w:val="18"/>
                <w:lang w:eastAsia="en-AU"/>
              </w:rPr>
              <w:t>. The same ranking in terms of large farm, med</w:t>
            </w:r>
            <w:r>
              <w:rPr>
                <w:rFonts w:ascii="Calibri" w:eastAsia="Times New Roman" w:hAnsi="Calibri" w:cs="Calibri"/>
                <w:sz w:val="18"/>
                <w:szCs w:val="18"/>
                <w:lang w:eastAsia="en-AU"/>
              </w:rPr>
              <w:t>ium</w:t>
            </w:r>
            <w:r w:rsidR="00D35F89" w:rsidRPr="00531F62">
              <w:rPr>
                <w:rFonts w:ascii="Calibri" w:eastAsia="Times New Roman" w:hAnsi="Calibri" w:cs="Calibri"/>
                <w:sz w:val="18"/>
                <w:szCs w:val="18"/>
                <w:lang w:eastAsia="en-AU"/>
              </w:rPr>
              <w:t xml:space="preserve"> and small farm in terms of food security. </w:t>
            </w:r>
          </w:p>
        </w:tc>
      </w:tr>
      <w:tr w:rsidR="008B1F72" w:rsidRPr="008B1F72" w14:paraId="11A0EBD9" w14:textId="77777777" w:rsidTr="00F11BA3">
        <w:trPr>
          <w:trHeight w:val="300"/>
        </w:trPr>
        <w:tc>
          <w:tcPr>
            <w:tcW w:w="1355" w:type="dxa"/>
            <w:shd w:val="clear" w:color="auto" w:fill="auto"/>
            <w:noWrap/>
            <w:vAlign w:val="bottom"/>
            <w:hideMark/>
          </w:tcPr>
          <w:p w14:paraId="39F7546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Sangeetha</w:t>
            </w:r>
          </w:p>
        </w:tc>
        <w:tc>
          <w:tcPr>
            <w:tcW w:w="581" w:type="dxa"/>
            <w:shd w:val="clear" w:color="auto" w:fill="auto"/>
            <w:noWrap/>
            <w:vAlign w:val="bottom"/>
            <w:hideMark/>
          </w:tcPr>
          <w:p w14:paraId="606D4F9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2017</w:t>
            </w:r>
          </w:p>
        </w:tc>
        <w:tc>
          <w:tcPr>
            <w:tcW w:w="1193" w:type="dxa"/>
            <w:shd w:val="clear" w:color="auto" w:fill="auto"/>
            <w:noWrap/>
            <w:vAlign w:val="bottom"/>
            <w:hideMark/>
          </w:tcPr>
          <w:p w14:paraId="5C93A78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Uttar Pradesh</w:t>
            </w:r>
          </w:p>
        </w:tc>
        <w:tc>
          <w:tcPr>
            <w:tcW w:w="865" w:type="dxa"/>
            <w:shd w:val="clear" w:color="auto" w:fill="auto"/>
            <w:noWrap/>
            <w:vAlign w:val="bottom"/>
            <w:hideMark/>
          </w:tcPr>
          <w:p w14:paraId="278EC50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120</w:t>
            </w:r>
          </w:p>
        </w:tc>
        <w:tc>
          <w:tcPr>
            <w:tcW w:w="1124" w:type="dxa"/>
            <w:shd w:val="clear" w:color="auto" w:fill="auto"/>
            <w:noWrap/>
            <w:vAlign w:val="bottom"/>
            <w:hideMark/>
          </w:tcPr>
          <w:p w14:paraId="2B2A69D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152B99C7"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41ACF0A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79AD2FF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diet diversity</w:t>
            </w:r>
          </w:p>
        </w:tc>
        <w:tc>
          <w:tcPr>
            <w:tcW w:w="989" w:type="dxa"/>
            <w:shd w:val="clear" w:color="auto" w:fill="auto"/>
            <w:noWrap/>
            <w:vAlign w:val="bottom"/>
            <w:hideMark/>
          </w:tcPr>
          <w:p w14:paraId="041644A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655411A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understand dietary habits with special reference to dietary diversity and nutritional status among rural population</w:t>
            </w:r>
          </w:p>
        </w:tc>
        <w:tc>
          <w:tcPr>
            <w:tcW w:w="2756" w:type="dxa"/>
            <w:shd w:val="clear" w:color="auto" w:fill="auto"/>
            <w:noWrap/>
            <w:vAlign w:val="bottom"/>
            <w:hideMark/>
          </w:tcPr>
          <w:p w14:paraId="653732B3" w14:textId="293E2CD3" w:rsidR="00D35F89" w:rsidRPr="00531F62" w:rsidRDefault="003C2EE8" w:rsidP="00E740CA">
            <w:pPr>
              <w:spacing w:after="0" w:line="240" w:lineRule="auto"/>
              <w:jc w:val="left"/>
              <w:rPr>
                <w:rFonts w:ascii="Calibri" w:eastAsia="Times New Roman" w:hAnsi="Calibri" w:cs="Calibri"/>
                <w:sz w:val="18"/>
                <w:szCs w:val="18"/>
                <w:lang w:eastAsia="en-AU"/>
              </w:rPr>
            </w:pPr>
            <w:r>
              <w:rPr>
                <w:rFonts w:ascii="Calibri" w:eastAsia="Times New Roman" w:hAnsi="Calibri" w:cs="Calibri"/>
                <w:sz w:val="18"/>
                <w:szCs w:val="18"/>
                <w:lang w:eastAsia="en-AU"/>
              </w:rPr>
              <w:t>H</w:t>
            </w:r>
            <w:r w:rsidR="00D35F89" w:rsidRPr="00531F62">
              <w:rPr>
                <w:rFonts w:ascii="Calibri" w:eastAsia="Times New Roman" w:hAnsi="Calibri" w:cs="Calibri"/>
                <w:sz w:val="18"/>
                <w:szCs w:val="18"/>
                <w:lang w:eastAsia="en-AU"/>
              </w:rPr>
              <w:t xml:space="preserve">ousehold production enhances food </w:t>
            </w:r>
            <w:r w:rsidR="00C919C2" w:rsidRPr="00531F62">
              <w:rPr>
                <w:rFonts w:ascii="Calibri" w:eastAsia="Times New Roman" w:hAnsi="Calibri" w:cs="Calibri"/>
                <w:sz w:val="18"/>
                <w:szCs w:val="18"/>
                <w:lang w:eastAsia="en-AU"/>
              </w:rPr>
              <w:t>accessibility;</w:t>
            </w:r>
            <w:r w:rsidR="00D35F89" w:rsidRPr="00531F62">
              <w:rPr>
                <w:rFonts w:ascii="Calibri" w:eastAsia="Times New Roman" w:hAnsi="Calibri" w:cs="Calibri"/>
                <w:sz w:val="18"/>
                <w:szCs w:val="18"/>
                <w:lang w:eastAsia="en-AU"/>
              </w:rPr>
              <w:t xml:space="preserve"> hence, promotion of </w:t>
            </w:r>
            <w:r w:rsidRPr="00531F62">
              <w:rPr>
                <w:rFonts w:ascii="Calibri" w:eastAsia="Times New Roman" w:hAnsi="Calibri" w:cs="Calibri"/>
                <w:sz w:val="18"/>
                <w:szCs w:val="18"/>
                <w:lang w:eastAsia="en-AU"/>
              </w:rPr>
              <w:t>diversified</w:t>
            </w:r>
            <w:r w:rsidR="00D35F89" w:rsidRPr="00531F62">
              <w:rPr>
                <w:rFonts w:ascii="Calibri" w:eastAsia="Times New Roman" w:hAnsi="Calibri" w:cs="Calibri"/>
                <w:sz w:val="18"/>
                <w:szCs w:val="18"/>
                <w:lang w:eastAsia="en-AU"/>
              </w:rPr>
              <w:t xml:space="preserve"> cropping pattern could be a right strategy for enhancing nutritional security in rural areas. Further, this study suggests </w:t>
            </w:r>
            <w:r w:rsidR="00C919C2" w:rsidRPr="00531F62">
              <w:rPr>
                <w:rFonts w:ascii="Calibri" w:eastAsia="Times New Roman" w:hAnsi="Calibri" w:cs="Calibri"/>
                <w:sz w:val="18"/>
                <w:szCs w:val="18"/>
                <w:lang w:eastAsia="en-AU"/>
              </w:rPr>
              <w:t>targeting</w:t>
            </w:r>
            <w:r w:rsidR="00D35F89" w:rsidRPr="00531F62">
              <w:rPr>
                <w:rFonts w:ascii="Calibri" w:eastAsia="Times New Roman" w:hAnsi="Calibri" w:cs="Calibri"/>
                <w:sz w:val="18"/>
                <w:szCs w:val="18"/>
                <w:lang w:eastAsia="en-AU"/>
              </w:rPr>
              <w:t xml:space="preserve"> men as well women for sensitization and awareness programme about importance of food and nutrition to achieve nutritional security of all </w:t>
            </w:r>
            <w:proofErr w:type="gramStart"/>
            <w:r w:rsidR="00D35F89" w:rsidRPr="00531F62">
              <w:rPr>
                <w:rFonts w:ascii="Calibri" w:eastAsia="Times New Roman" w:hAnsi="Calibri" w:cs="Calibri"/>
                <w:sz w:val="18"/>
                <w:szCs w:val="18"/>
                <w:lang w:eastAsia="en-AU"/>
              </w:rPr>
              <w:t>in particular women</w:t>
            </w:r>
            <w:proofErr w:type="gramEnd"/>
            <w:r w:rsidR="00D35F89" w:rsidRPr="00531F62">
              <w:rPr>
                <w:rFonts w:ascii="Calibri" w:eastAsia="Times New Roman" w:hAnsi="Calibri" w:cs="Calibri"/>
                <w:sz w:val="18"/>
                <w:szCs w:val="18"/>
                <w:lang w:eastAsia="en-AU"/>
              </w:rPr>
              <w:t xml:space="preserve"> </w:t>
            </w:r>
          </w:p>
        </w:tc>
      </w:tr>
      <w:tr w:rsidR="008B1F72" w:rsidRPr="008B1F72" w14:paraId="1921C2F3" w14:textId="77777777" w:rsidTr="00F11BA3">
        <w:trPr>
          <w:trHeight w:val="288"/>
        </w:trPr>
        <w:tc>
          <w:tcPr>
            <w:tcW w:w="1355" w:type="dxa"/>
            <w:shd w:val="clear" w:color="auto" w:fill="auto"/>
            <w:noWrap/>
            <w:vAlign w:val="bottom"/>
            <w:hideMark/>
          </w:tcPr>
          <w:p w14:paraId="6584B01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Satabdi</w:t>
            </w:r>
          </w:p>
        </w:tc>
        <w:tc>
          <w:tcPr>
            <w:tcW w:w="581" w:type="dxa"/>
            <w:shd w:val="clear" w:color="auto" w:fill="auto"/>
            <w:noWrap/>
            <w:vAlign w:val="bottom"/>
            <w:hideMark/>
          </w:tcPr>
          <w:p w14:paraId="2E64F89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2019</w:t>
            </w:r>
          </w:p>
        </w:tc>
        <w:tc>
          <w:tcPr>
            <w:tcW w:w="1193" w:type="dxa"/>
            <w:shd w:val="clear" w:color="auto" w:fill="auto"/>
            <w:noWrap/>
            <w:vAlign w:val="bottom"/>
            <w:hideMark/>
          </w:tcPr>
          <w:p w14:paraId="72A096B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West Bengal </w:t>
            </w:r>
          </w:p>
        </w:tc>
        <w:tc>
          <w:tcPr>
            <w:tcW w:w="865" w:type="dxa"/>
            <w:shd w:val="clear" w:color="auto" w:fill="auto"/>
            <w:noWrap/>
            <w:vAlign w:val="bottom"/>
            <w:hideMark/>
          </w:tcPr>
          <w:p w14:paraId="15C29B4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240</w:t>
            </w:r>
          </w:p>
        </w:tc>
        <w:tc>
          <w:tcPr>
            <w:tcW w:w="1124" w:type="dxa"/>
            <w:shd w:val="clear" w:color="auto" w:fill="auto"/>
            <w:noWrap/>
            <w:vAlign w:val="bottom"/>
            <w:hideMark/>
          </w:tcPr>
          <w:p w14:paraId="65CB166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3B276F0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Survey, </w:t>
            </w:r>
            <w:proofErr w:type="gramStart"/>
            <w:r w:rsidRPr="00531F62">
              <w:rPr>
                <w:rFonts w:ascii="Calibri" w:eastAsia="Times New Roman" w:hAnsi="Calibri" w:cs="Calibri"/>
                <w:sz w:val="18"/>
                <w:szCs w:val="18"/>
                <w:lang w:eastAsia="en-AU"/>
              </w:rPr>
              <w:t>24 hour</w:t>
            </w:r>
            <w:proofErr w:type="gramEnd"/>
            <w:r w:rsidRPr="00531F62">
              <w:rPr>
                <w:rFonts w:ascii="Calibri" w:eastAsia="Times New Roman" w:hAnsi="Calibri" w:cs="Calibri"/>
                <w:sz w:val="18"/>
                <w:szCs w:val="18"/>
                <w:lang w:eastAsia="en-AU"/>
              </w:rPr>
              <w:t xml:space="preserve"> diet recall</w:t>
            </w:r>
          </w:p>
        </w:tc>
        <w:tc>
          <w:tcPr>
            <w:tcW w:w="1074" w:type="dxa"/>
            <w:shd w:val="clear" w:color="auto" w:fill="auto"/>
            <w:noWrap/>
            <w:vAlign w:val="bottom"/>
            <w:hideMark/>
          </w:tcPr>
          <w:p w14:paraId="7792DDA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Children</w:t>
            </w:r>
          </w:p>
        </w:tc>
        <w:tc>
          <w:tcPr>
            <w:tcW w:w="1422" w:type="dxa"/>
            <w:shd w:val="clear" w:color="auto" w:fill="auto"/>
            <w:noWrap/>
            <w:vAlign w:val="bottom"/>
            <w:hideMark/>
          </w:tcPr>
          <w:p w14:paraId="31EFC29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HFSSM - 6 questions </w:t>
            </w:r>
          </w:p>
        </w:tc>
        <w:tc>
          <w:tcPr>
            <w:tcW w:w="989" w:type="dxa"/>
            <w:shd w:val="clear" w:color="auto" w:fill="auto"/>
            <w:noWrap/>
            <w:vAlign w:val="bottom"/>
            <w:hideMark/>
          </w:tcPr>
          <w:p w14:paraId="56090C4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70.90%</w:t>
            </w:r>
          </w:p>
        </w:tc>
        <w:tc>
          <w:tcPr>
            <w:tcW w:w="2756" w:type="dxa"/>
            <w:shd w:val="clear" w:color="auto" w:fill="auto"/>
            <w:noWrap/>
            <w:vAlign w:val="bottom"/>
            <w:hideMark/>
          </w:tcPr>
          <w:p w14:paraId="3429999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assess if household food security, nutrient adequacy, and childhood nutrition clustered together</w:t>
            </w:r>
          </w:p>
        </w:tc>
        <w:tc>
          <w:tcPr>
            <w:tcW w:w="2756" w:type="dxa"/>
            <w:shd w:val="clear" w:color="auto" w:fill="auto"/>
            <w:noWrap/>
            <w:vAlign w:val="bottom"/>
            <w:hideMark/>
          </w:tcPr>
          <w:p w14:paraId="3AF6623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Food insecurity was associated with nutritional insecurity</w:t>
            </w:r>
          </w:p>
        </w:tc>
      </w:tr>
      <w:tr w:rsidR="008B1F72" w:rsidRPr="008B1F72" w14:paraId="34A26276" w14:textId="77777777" w:rsidTr="00F11BA3">
        <w:trPr>
          <w:trHeight w:val="288"/>
        </w:trPr>
        <w:tc>
          <w:tcPr>
            <w:tcW w:w="1355" w:type="dxa"/>
            <w:shd w:val="clear" w:color="auto" w:fill="auto"/>
            <w:noWrap/>
            <w:vAlign w:val="bottom"/>
            <w:hideMark/>
          </w:tcPr>
          <w:p w14:paraId="3F40B341"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Sati</w:t>
            </w:r>
          </w:p>
        </w:tc>
        <w:tc>
          <w:tcPr>
            <w:tcW w:w="581" w:type="dxa"/>
            <w:shd w:val="clear" w:color="auto" w:fill="auto"/>
            <w:noWrap/>
            <w:vAlign w:val="bottom"/>
            <w:hideMark/>
          </w:tcPr>
          <w:p w14:paraId="3029895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2017</w:t>
            </w:r>
          </w:p>
        </w:tc>
        <w:tc>
          <w:tcPr>
            <w:tcW w:w="1193" w:type="dxa"/>
            <w:shd w:val="clear" w:color="auto" w:fill="auto"/>
            <w:noWrap/>
            <w:vAlign w:val="bottom"/>
            <w:hideMark/>
          </w:tcPr>
          <w:p w14:paraId="4485FE4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Mizoram</w:t>
            </w:r>
          </w:p>
        </w:tc>
        <w:tc>
          <w:tcPr>
            <w:tcW w:w="865" w:type="dxa"/>
            <w:shd w:val="clear" w:color="auto" w:fill="auto"/>
            <w:noWrap/>
            <w:vAlign w:val="bottom"/>
            <w:hideMark/>
          </w:tcPr>
          <w:p w14:paraId="6378F4C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1527</w:t>
            </w:r>
          </w:p>
        </w:tc>
        <w:tc>
          <w:tcPr>
            <w:tcW w:w="1124" w:type="dxa"/>
            <w:shd w:val="clear" w:color="auto" w:fill="auto"/>
            <w:noWrap/>
            <w:vAlign w:val="bottom"/>
            <w:hideMark/>
          </w:tcPr>
          <w:p w14:paraId="32539AB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4C62195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5E0A160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21E82864"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food availability</w:t>
            </w:r>
          </w:p>
        </w:tc>
        <w:tc>
          <w:tcPr>
            <w:tcW w:w="989" w:type="dxa"/>
            <w:shd w:val="clear" w:color="auto" w:fill="auto"/>
            <w:noWrap/>
            <w:vAlign w:val="bottom"/>
            <w:hideMark/>
          </w:tcPr>
          <w:p w14:paraId="6262554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37.50%</w:t>
            </w:r>
          </w:p>
        </w:tc>
        <w:tc>
          <w:tcPr>
            <w:tcW w:w="2756" w:type="dxa"/>
            <w:shd w:val="clear" w:color="auto" w:fill="auto"/>
            <w:noWrap/>
            <w:vAlign w:val="bottom"/>
            <w:hideMark/>
          </w:tcPr>
          <w:p w14:paraId="716D58A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analyse farming output is related to food security factors </w:t>
            </w:r>
          </w:p>
        </w:tc>
        <w:tc>
          <w:tcPr>
            <w:tcW w:w="2756" w:type="dxa"/>
            <w:shd w:val="clear" w:color="auto" w:fill="auto"/>
            <w:noWrap/>
            <w:vAlign w:val="bottom"/>
            <w:hideMark/>
          </w:tcPr>
          <w:p w14:paraId="0AF002A6" w14:textId="6C2302E2"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The area faces severe food insecurity and </w:t>
            </w:r>
            <w:r w:rsidR="00C919C2" w:rsidRPr="00531F62">
              <w:rPr>
                <w:rFonts w:ascii="Calibri" w:eastAsia="Times New Roman" w:hAnsi="Calibri" w:cs="Calibri"/>
                <w:sz w:val="18"/>
                <w:szCs w:val="18"/>
                <w:lang w:eastAsia="en-AU"/>
              </w:rPr>
              <w:t>malnutrition</w:t>
            </w:r>
            <w:r w:rsidRPr="00531F62">
              <w:rPr>
                <w:rFonts w:ascii="Calibri" w:eastAsia="Times New Roman" w:hAnsi="Calibri" w:cs="Calibri"/>
                <w:sz w:val="18"/>
                <w:szCs w:val="18"/>
                <w:lang w:eastAsia="en-AU"/>
              </w:rPr>
              <w:t xml:space="preserve"> but can be transformed with modern agricultural techniques as climate and eco-system are favourable</w:t>
            </w:r>
          </w:p>
        </w:tc>
      </w:tr>
      <w:tr w:rsidR="00C919C2" w:rsidRPr="008B1F72" w14:paraId="350AA264" w14:textId="77777777" w:rsidTr="00F11BA3">
        <w:trPr>
          <w:trHeight w:val="288"/>
        </w:trPr>
        <w:tc>
          <w:tcPr>
            <w:tcW w:w="1355" w:type="dxa"/>
            <w:shd w:val="clear" w:color="auto" w:fill="auto"/>
            <w:noWrap/>
            <w:vAlign w:val="bottom"/>
            <w:hideMark/>
          </w:tcPr>
          <w:p w14:paraId="54A81FA2"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Shubhashis, Lensink and Bhupesh</w:t>
            </w:r>
          </w:p>
        </w:tc>
        <w:tc>
          <w:tcPr>
            <w:tcW w:w="581" w:type="dxa"/>
            <w:shd w:val="clear" w:color="auto" w:fill="auto"/>
            <w:noWrap/>
            <w:vAlign w:val="bottom"/>
            <w:hideMark/>
          </w:tcPr>
          <w:p w14:paraId="50D270BA"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2015</w:t>
            </w:r>
          </w:p>
        </w:tc>
        <w:tc>
          <w:tcPr>
            <w:tcW w:w="1193" w:type="dxa"/>
            <w:shd w:val="clear" w:color="auto" w:fill="auto"/>
            <w:noWrap/>
            <w:vAlign w:val="bottom"/>
            <w:hideMark/>
          </w:tcPr>
          <w:p w14:paraId="343B7879"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Delhi</w:t>
            </w:r>
          </w:p>
        </w:tc>
        <w:tc>
          <w:tcPr>
            <w:tcW w:w="865" w:type="dxa"/>
            <w:shd w:val="clear" w:color="auto" w:fill="auto"/>
            <w:noWrap/>
            <w:vAlign w:val="bottom"/>
            <w:hideMark/>
          </w:tcPr>
          <w:p w14:paraId="688978D2"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450</w:t>
            </w:r>
          </w:p>
        </w:tc>
        <w:tc>
          <w:tcPr>
            <w:tcW w:w="1124" w:type="dxa"/>
            <w:shd w:val="clear" w:color="auto" w:fill="auto"/>
            <w:noWrap/>
            <w:vAlign w:val="bottom"/>
            <w:hideMark/>
          </w:tcPr>
          <w:p w14:paraId="7CECF956"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Randomised control trial</w:t>
            </w:r>
          </w:p>
        </w:tc>
        <w:tc>
          <w:tcPr>
            <w:tcW w:w="1337" w:type="dxa"/>
          </w:tcPr>
          <w:p w14:paraId="7DEE8960" w14:textId="77777777" w:rsidR="00C919C2" w:rsidRPr="00531F62" w:rsidRDefault="00C919C2" w:rsidP="00E740CA">
            <w:pPr>
              <w:spacing w:after="0" w:line="240" w:lineRule="auto"/>
              <w:jc w:val="left"/>
              <w:rPr>
                <w:rFonts w:ascii="Calibri" w:eastAsia="Times New Roman" w:hAnsi="Calibri" w:cs="Calibri"/>
                <w:sz w:val="18"/>
                <w:szCs w:val="18"/>
                <w:lang w:eastAsia="en-AU"/>
              </w:rPr>
            </w:pPr>
          </w:p>
        </w:tc>
        <w:tc>
          <w:tcPr>
            <w:tcW w:w="1074" w:type="dxa"/>
            <w:shd w:val="clear" w:color="auto" w:fill="auto"/>
            <w:noWrap/>
            <w:vAlign w:val="bottom"/>
            <w:hideMark/>
          </w:tcPr>
          <w:p w14:paraId="1A27B5AB" w14:textId="7DFD6A93"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0C63EC71" w14:textId="52EC32BA"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Proxy - </w:t>
            </w:r>
            <w:r w:rsidRPr="008B1F72">
              <w:rPr>
                <w:rFonts w:ascii="Calibri" w:eastAsia="Times New Roman" w:hAnsi="Calibri" w:cs="Calibri"/>
                <w:sz w:val="18"/>
                <w:szCs w:val="18"/>
                <w:lang w:eastAsia="en-AU"/>
              </w:rPr>
              <w:t>quantity</w:t>
            </w:r>
            <w:r w:rsidRPr="00531F62">
              <w:rPr>
                <w:rFonts w:ascii="Calibri" w:eastAsia="Times New Roman" w:hAnsi="Calibri" w:cs="Calibri"/>
                <w:sz w:val="18"/>
                <w:szCs w:val="18"/>
                <w:lang w:eastAsia="en-AU"/>
              </w:rPr>
              <w:t xml:space="preserve"> of food consumed</w:t>
            </w:r>
          </w:p>
        </w:tc>
        <w:tc>
          <w:tcPr>
            <w:tcW w:w="989" w:type="dxa"/>
            <w:shd w:val="clear" w:color="auto" w:fill="auto"/>
            <w:noWrap/>
            <w:vAlign w:val="bottom"/>
            <w:hideMark/>
          </w:tcPr>
          <w:p w14:paraId="70724FC4"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6C6AF7B1"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examine the effect of cash transfers rather than the BPL card on nutritional value of household shopping</w:t>
            </w:r>
          </w:p>
        </w:tc>
        <w:tc>
          <w:tcPr>
            <w:tcW w:w="2756" w:type="dxa"/>
            <w:shd w:val="clear" w:color="auto" w:fill="auto"/>
            <w:noWrap/>
            <w:vAlign w:val="bottom"/>
            <w:hideMark/>
          </w:tcPr>
          <w:p w14:paraId="5EAD2FAB" w14:textId="77777777" w:rsidR="00C919C2" w:rsidRPr="00531F62" w:rsidRDefault="00C919C2"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Unconditional cash transfers do not appear to compromise food security, nor do they induce households to increase wasteful expenses.  some evidence that unconditional cash transfers provide opportunities for households to shift to other nutritious, non-cereal options.</w:t>
            </w:r>
          </w:p>
        </w:tc>
      </w:tr>
      <w:tr w:rsidR="008B1F72" w:rsidRPr="008B1F72" w14:paraId="21BEE020" w14:textId="77777777" w:rsidTr="00F11BA3">
        <w:trPr>
          <w:trHeight w:val="288"/>
        </w:trPr>
        <w:tc>
          <w:tcPr>
            <w:tcW w:w="1355" w:type="dxa"/>
            <w:shd w:val="clear" w:color="auto" w:fill="auto"/>
            <w:noWrap/>
            <w:vAlign w:val="bottom"/>
            <w:hideMark/>
          </w:tcPr>
          <w:p w14:paraId="7404A60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Sidhu</w:t>
            </w:r>
          </w:p>
        </w:tc>
        <w:tc>
          <w:tcPr>
            <w:tcW w:w="581" w:type="dxa"/>
            <w:shd w:val="clear" w:color="auto" w:fill="auto"/>
            <w:noWrap/>
            <w:vAlign w:val="bottom"/>
            <w:hideMark/>
          </w:tcPr>
          <w:p w14:paraId="716324C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2008</w:t>
            </w:r>
          </w:p>
        </w:tc>
        <w:tc>
          <w:tcPr>
            <w:tcW w:w="1193" w:type="dxa"/>
            <w:shd w:val="clear" w:color="auto" w:fill="auto"/>
            <w:noWrap/>
            <w:vAlign w:val="bottom"/>
            <w:hideMark/>
          </w:tcPr>
          <w:p w14:paraId="0385C67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Punjab</w:t>
            </w:r>
          </w:p>
        </w:tc>
        <w:tc>
          <w:tcPr>
            <w:tcW w:w="865" w:type="dxa"/>
            <w:shd w:val="clear" w:color="auto" w:fill="auto"/>
            <w:noWrap/>
            <w:vAlign w:val="bottom"/>
            <w:hideMark/>
          </w:tcPr>
          <w:p w14:paraId="3E1BD903"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262</w:t>
            </w:r>
          </w:p>
        </w:tc>
        <w:tc>
          <w:tcPr>
            <w:tcW w:w="1124" w:type="dxa"/>
            <w:shd w:val="clear" w:color="auto" w:fill="auto"/>
            <w:noWrap/>
            <w:vAlign w:val="bottom"/>
            <w:hideMark/>
          </w:tcPr>
          <w:p w14:paraId="4D6125C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22F2128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Unclear</w:t>
            </w:r>
          </w:p>
        </w:tc>
        <w:tc>
          <w:tcPr>
            <w:tcW w:w="1074" w:type="dxa"/>
            <w:shd w:val="clear" w:color="auto" w:fill="auto"/>
            <w:noWrap/>
            <w:vAlign w:val="bottom"/>
            <w:hideMark/>
          </w:tcPr>
          <w:p w14:paraId="02F2CF9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3F567A9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calorie requirements and calorie intake of the household</w:t>
            </w:r>
          </w:p>
        </w:tc>
        <w:tc>
          <w:tcPr>
            <w:tcW w:w="989" w:type="dxa"/>
            <w:shd w:val="clear" w:color="auto" w:fill="auto"/>
            <w:noWrap/>
            <w:vAlign w:val="bottom"/>
            <w:hideMark/>
          </w:tcPr>
          <w:p w14:paraId="73A9175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75%</w:t>
            </w:r>
          </w:p>
        </w:tc>
        <w:tc>
          <w:tcPr>
            <w:tcW w:w="2756" w:type="dxa"/>
            <w:shd w:val="clear" w:color="auto" w:fill="auto"/>
            <w:noWrap/>
            <w:vAlign w:val="bottom"/>
            <w:hideMark/>
          </w:tcPr>
          <w:p w14:paraId="38F2534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study food and nutritional insecurity in a food surplus region</w:t>
            </w:r>
          </w:p>
        </w:tc>
        <w:tc>
          <w:tcPr>
            <w:tcW w:w="2756" w:type="dxa"/>
            <w:shd w:val="clear" w:color="auto" w:fill="auto"/>
            <w:noWrap/>
            <w:vAlign w:val="bottom"/>
            <w:hideMark/>
          </w:tcPr>
          <w:p w14:paraId="4372AF6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Food insecurity is influenced by income, family size, and urban/rural status</w:t>
            </w:r>
          </w:p>
        </w:tc>
      </w:tr>
      <w:tr w:rsidR="008B1F72" w:rsidRPr="008B1F72" w14:paraId="11E5A571" w14:textId="77777777" w:rsidTr="00F11BA3">
        <w:trPr>
          <w:trHeight w:val="288"/>
        </w:trPr>
        <w:tc>
          <w:tcPr>
            <w:tcW w:w="1355" w:type="dxa"/>
            <w:shd w:val="clear" w:color="auto" w:fill="auto"/>
            <w:noWrap/>
            <w:vAlign w:val="bottom"/>
            <w:hideMark/>
          </w:tcPr>
          <w:p w14:paraId="32A8F4D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Srivastava</w:t>
            </w:r>
          </w:p>
        </w:tc>
        <w:tc>
          <w:tcPr>
            <w:tcW w:w="581" w:type="dxa"/>
            <w:shd w:val="clear" w:color="auto" w:fill="auto"/>
            <w:noWrap/>
            <w:vAlign w:val="bottom"/>
            <w:hideMark/>
          </w:tcPr>
          <w:p w14:paraId="16C5549E"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2018</w:t>
            </w:r>
          </w:p>
        </w:tc>
        <w:tc>
          <w:tcPr>
            <w:tcW w:w="1193" w:type="dxa"/>
            <w:shd w:val="clear" w:color="auto" w:fill="auto"/>
            <w:noWrap/>
            <w:vAlign w:val="bottom"/>
            <w:hideMark/>
          </w:tcPr>
          <w:p w14:paraId="2B4BDE9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Rajasthan</w:t>
            </w:r>
          </w:p>
        </w:tc>
        <w:tc>
          <w:tcPr>
            <w:tcW w:w="865" w:type="dxa"/>
            <w:shd w:val="clear" w:color="auto" w:fill="auto"/>
            <w:noWrap/>
            <w:vAlign w:val="bottom"/>
            <w:hideMark/>
          </w:tcPr>
          <w:p w14:paraId="18A6C1E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529</w:t>
            </w:r>
          </w:p>
        </w:tc>
        <w:tc>
          <w:tcPr>
            <w:tcW w:w="1124" w:type="dxa"/>
            <w:shd w:val="clear" w:color="auto" w:fill="auto"/>
            <w:noWrap/>
            <w:vAlign w:val="bottom"/>
            <w:hideMark/>
          </w:tcPr>
          <w:p w14:paraId="5069E1E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090D62F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5D65643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01A6563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HFIAS</w:t>
            </w:r>
          </w:p>
        </w:tc>
        <w:tc>
          <w:tcPr>
            <w:tcW w:w="989" w:type="dxa"/>
            <w:shd w:val="clear" w:color="auto" w:fill="auto"/>
            <w:noWrap/>
            <w:vAlign w:val="bottom"/>
            <w:hideMark/>
          </w:tcPr>
          <w:p w14:paraId="65474E48"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26.00%</w:t>
            </w:r>
          </w:p>
        </w:tc>
        <w:tc>
          <w:tcPr>
            <w:tcW w:w="2756" w:type="dxa"/>
            <w:shd w:val="clear" w:color="auto" w:fill="auto"/>
            <w:noWrap/>
            <w:vAlign w:val="bottom"/>
            <w:hideMark/>
          </w:tcPr>
          <w:p w14:paraId="7B92FE1D" w14:textId="370F95B2"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explore the sociodemographic risk factors for household food security and nutrition in desert </w:t>
            </w:r>
            <w:r w:rsidR="008B1F72" w:rsidRPr="008B1F72">
              <w:rPr>
                <w:rFonts w:ascii="Calibri" w:eastAsia="Times New Roman" w:hAnsi="Calibri" w:cs="Calibri"/>
                <w:sz w:val="18"/>
                <w:szCs w:val="18"/>
                <w:lang w:eastAsia="en-AU"/>
              </w:rPr>
              <w:t>inhabitants</w:t>
            </w:r>
          </w:p>
        </w:tc>
        <w:tc>
          <w:tcPr>
            <w:tcW w:w="2756" w:type="dxa"/>
            <w:shd w:val="clear" w:color="auto" w:fill="auto"/>
            <w:noWrap/>
            <w:vAlign w:val="bottom"/>
            <w:hideMark/>
          </w:tcPr>
          <w:p w14:paraId="512BA1A9" w14:textId="7B5A1239"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Households that had income in addition to labour wages were less </w:t>
            </w:r>
            <w:r w:rsidR="00B25ED5" w:rsidRPr="00531F62">
              <w:rPr>
                <w:rFonts w:ascii="Calibri" w:eastAsia="Times New Roman" w:hAnsi="Calibri" w:cs="Calibri"/>
                <w:sz w:val="18"/>
                <w:szCs w:val="18"/>
                <w:lang w:eastAsia="en-AU"/>
              </w:rPr>
              <w:t>likely</w:t>
            </w:r>
            <w:r w:rsidRPr="00531F62">
              <w:rPr>
                <w:rFonts w:ascii="Calibri" w:eastAsia="Times New Roman" w:hAnsi="Calibri" w:cs="Calibri"/>
                <w:sz w:val="18"/>
                <w:szCs w:val="18"/>
                <w:lang w:eastAsia="en-AU"/>
              </w:rPr>
              <w:t xml:space="preserve"> to be food insecure, and larger family size was related to food insecurity</w:t>
            </w:r>
          </w:p>
        </w:tc>
      </w:tr>
      <w:tr w:rsidR="008B1F72" w:rsidRPr="008B1F72" w14:paraId="08249E9B" w14:textId="77777777" w:rsidTr="00F11BA3">
        <w:trPr>
          <w:trHeight w:val="288"/>
        </w:trPr>
        <w:tc>
          <w:tcPr>
            <w:tcW w:w="1355" w:type="dxa"/>
            <w:shd w:val="clear" w:color="auto" w:fill="auto"/>
            <w:noWrap/>
            <w:vAlign w:val="bottom"/>
            <w:hideMark/>
          </w:tcPr>
          <w:p w14:paraId="320899B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Sujoy</w:t>
            </w:r>
          </w:p>
        </w:tc>
        <w:tc>
          <w:tcPr>
            <w:tcW w:w="581" w:type="dxa"/>
            <w:shd w:val="clear" w:color="auto" w:fill="auto"/>
            <w:noWrap/>
            <w:vAlign w:val="bottom"/>
            <w:hideMark/>
          </w:tcPr>
          <w:p w14:paraId="0EFF08FC"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2006</w:t>
            </w:r>
          </w:p>
        </w:tc>
        <w:tc>
          <w:tcPr>
            <w:tcW w:w="1193" w:type="dxa"/>
            <w:shd w:val="clear" w:color="auto" w:fill="auto"/>
            <w:noWrap/>
            <w:vAlign w:val="bottom"/>
            <w:hideMark/>
          </w:tcPr>
          <w:p w14:paraId="690861C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Gujarat</w:t>
            </w:r>
          </w:p>
        </w:tc>
        <w:tc>
          <w:tcPr>
            <w:tcW w:w="865" w:type="dxa"/>
            <w:shd w:val="clear" w:color="auto" w:fill="auto"/>
            <w:noWrap/>
            <w:vAlign w:val="bottom"/>
            <w:hideMark/>
          </w:tcPr>
          <w:p w14:paraId="019C9612"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1435</w:t>
            </w:r>
          </w:p>
        </w:tc>
        <w:tc>
          <w:tcPr>
            <w:tcW w:w="1124" w:type="dxa"/>
            <w:shd w:val="clear" w:color="auto" w:fill="auto"/>
            <w:noWrap/>
            <w:vAlign w:val="bottom"/>
            <w:hideMark/>
          </w:tcPr>
          <w:p w14:paraId="6F35E489"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018D5E3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547D8D0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Households</w:t>
            </w:r>
          </w:p>
        </w:tc>
        <w:tc>
          <w:tcPr>
            <w:tcW w:w="1422" w:type="dxa"/>
            <w:shd w:val="clear" w:color="auto" w:fill="auto"/>
            <w:noWrap/>
            <w:vAlign w:val="bottom"/>
            <w:hideMark/>
          </w:tcPr>
          <w:p w14:paraId="60249CA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self reported hunger and food availability</w:t>
            </w:r>
          </w:p>
        </w:tc>
        <w:tc>
          <w:tcPr>
            <w:tcW w:w="989" w:type="dxa"/>
            <w:shd w:val="clear" w:color="auto" w:fill="auto"/>
            <w:noWrap/>
            <w:vAlign w:val="bottom"/>
            <w:hideMark/>
          </w:tcPr>
          <w:p w14:paraId="779B221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85%</w:t>
            </w:r>
          </w:p>
        </w:tc>
        <w:tc>
          <w:tcPr>
            <w:tcW w:w="2756" w:type="dxa"/>
            <w:shd w:val="clear" w:color="auto" w:fill="auto"/>
            <w:noWrap/>
            <w:vAlign w:val="bottom"/>
            <w:hideMark/>
          </w:tcPr>
          <w:p w14:paraId="1576A6C4" w14:textId="027F925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To explore the extent, nature</w:t>
            </w:r>
            <w:r w:rsidR="00BD02A7">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 and dimensions of food insecurity</w:t>
            </w:r>
          </w:p>
        </w:tc>
        <w:tc>
          <w:tcPr>
            <w:tcW w:w="2756" w:type="dxa"/>
            <w:shd w:val="clear" w:color="auto" w:fill="auto"/>
            <w:noWrap/>
            <w:vAlign w:val="bottom"/>
            <w:hideMark/>
          </w:tcPr>
          <w:p w14:paraId="03E876DD" w14:textId="04D535DA"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High degree of food insecurity in vulnerable populations in </w:t>
            </w:r>
            <w:r w:rsidR="00B25ED5" w:rsidRPr="00531F62">
              <w:rPr>
                <w:rFonts w:ascii="Calibri" w:eastAsia="Times New Roman" w:hAnsi="Calibri" w:cs="Calibri"/>
                <w:sz w:val="18"/>
                <w:szCs w:val="18"/>
                <w:lang w:eastAsia="en-AU"/>
              </w:rPr>
              <w:t>Gujarat</w:t>
            </w:r>
            <w:r w:rsidRPr="00531F62">
              <w:rPr>
                <w:rFonts w:ascii="Calibri" w:eastAsia="Times New Roman" w:hAnsi="Calibri" w:cs="Calibri"/>
                <w:sz w:val="18"/>
                <w:szCs w:val="18"/>
                <w:lang w:eastAsia="en-AU"/>
              </w:rPr>
              <w:t>.</w:t>
            </w:r>
          </w:p>
        </w:tc>
      </w:tr>
      <w:tr w:rsidR="008B1F72" w:rsidRPr="008B1F72" w14:paraId="61B6A761" w14:textId="77777777" w:rsidTr="00F11BA3">
        <w:trPr>
          <w:trHeight w:val="288"/>
        </w:trPr>
        <w:tc>
          <w:tcPr>
            <w:tcW w:w="1355" w:type="dxa"/>
            <w:shd w:val="clear" w:color="auto" w:fill="auto"/>
            <w:noWrap/>
            <w:vAlign w:val="bottom"/>
            <w:hideMark/>
          </w:tcPr>
          <w:p w14:paraId="7FE55B20"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Tiwari</w:t>
            </w:r>
          </w:p>
        </w:tc>
        <w:tc>
          <w:tcPr>
            <w:tcW w:w="581" w:type="dxa"/>
            <w:shd w:val="clear" w:color="auto" w:fill="auto"/>
            <w:noWrap/>
            <w:vAlign w:val="bottom"/>
            <w:hideMark/>
          </w:tcPr>
          <w:p w14:paraId="1CE5CB05"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2012</w:t>
            </w:r>
          </w:p>
        </w:tc>
        <w:tc>
          <w:tcPr>
            <w:tcW w:w="1193" w:type="dxa"/>
            <w:shd w:val="clear" w:color="auto" w:fill="auto"/>
            <w:noWrap/>
            <w:vAlign w:val="bottom"/>
            <w:hideMark/>
          </w:tcPr>
          <w:p w14:paraId="36AA43FA"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Uttarakhand</w:t>
            </w:r>
          </w:p>
        </w:tc>
        <w:tc>
          <w:tcPr>
            <w:tcW w:w="865" w:type="dxa"/>
            <w:shd w:val="clear" w:color="auto" w:fill="auto"/>
            <w:noWrap/>
            <w:vAlign w:val="bottom"/>
            <w:hideMark/>
          </w:tcPr>
          <w:p w14:paraId="3CFE9A6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16,080</w:t>
            </w:r>
          </w:p>
        </w:tc>
        <w:tc>
          <w:tcPr>
            <w:tcW w:w="1124" w:type="dxa"/>
            <w:shd w:val="clear" w:color="auto" w:fill="auto"/>
            <w:noWrap/>
            <w:vAlign w:val="bottom"/>
            <w:hideMark/>
          </w:tcPr>
          <w:p w14:paraId="0E7606F6"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Cross sectional</w:t>
            </w:r>
          </w:p>
        </w:tc>
        <w:tc>
          <w:tcPr>
            <w:tcW w:w="1337" w:type="dxa"/>
            <w:shd w:val="clear" w:color="auto" w:fill="auto"/>
            <w:noWrap/>
            <w:vAlign w:val="bottom"/>
            <w:hideMark/>
          </w:tcPr>
          <w:p w14:paraId="60F5BEE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Survey</w:t>
            </w:r>
          </w:p>
        </w:tc>
        <w:tc>
          <w:tcPr>
            <w:tcW w:w="1074" w:type="dxa"/>
            <w:shd w:val="clear" w:color="auto" w:fill="auto"/>
            <w:noWrap/>
            <w:vAlign w:val="bottom"/>
            <w:hideMark/>
          </w:tcPr>
          <w:p w14:paraId="6E1B465B"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Population </w:t>
            </w:r>
          </w:p>
        </w:tc>
        <w:tc>
          <w:tcPr>
            <w:tcW w:w="1422" w:type="dxa"/>
            <w:shd w:val="clear" w:color="auto" w:fill="auto"/>
            <w:noWrap/>
            <w:vAlign w:val="bottom"/>
            <w:hideMark/>
          </w:tcPr>
          <w:p w14:paraId="365EDC7D"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Proxy - purchasing power</w:t>
            </w:r>
          </w:p>
        </w:tc>
        <w:tc>
          <w:tcPr>
            <w:tcW w:w="989" w:type="dxa"/>
            <w:shd w:val="clear" w:color="auto" w:fill="auto"/>
            <w:noWrap/>
            <w:vAlign w:val="bottom"/>
            <w:hideMark/>
          </w:tcPr>
          <w:p w14:paraId="703D65BF" w14:textId="77777777"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Not reported</w:t>
            </w:r>
          </w:p>
        </w:tc>
        <w:tc>
          <w:tcPr>
            <w:tcW w:w="2756" w:type="dxa"/>
            <w:shd w:val="clear" w:color="auto" w:fill="auto"/>
            <w:noWrap/>
            <w:vAlign w:val="bottom"/>
            <w:hideMark/>
          </w:tcPr>
          <w:p w14:paraId="7E755562" w14:textId="731DB22C"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To identify the key factors of food insecurity in the Himalayas by </w:t>
            </w:r>
            <w:r w:rsidR="008B1F72" w:rsidRPr="008B1F72">
              <w:rPr>
                <w:rFonts w:ascii="Calibri" w:eastAsia="Times New Roman" w:hAnsi="Calibri" w:cs="Calibri"/>
                <w:sz w:val="18"/>
                <w:szCs w:val="18"/>
                <w:lang w:eastAsia="en-AU"/>
              </w:rPr>
              <w:t>analysing</w:t>
            </w:r>
            <w:r w:rsidRPr="00531F62">
              <w:rPr>
                <w:rFonts w:ascii="Calibri" w:eastAsia="Times New Roman" w:hAnsi="Calibri" w:cs="Calibri"/>
                <w:sz w:val="18"/>
                <w:szCs w:val="18"/>
                <w:lang w:eastAsia="en-AU"/>
              </w:rPr>
              <w:t xml:space="preserve"> the pattern of food production, procurement</w:t>
            </w:r>
            <w:r w:rsidR="00BD02A7">
              <w:rPr>
                <w:rFonts w:ascii="Calibri" w:eastAsia="Times New Roman" w:hAnsi="Calibri" w:cs="Calibri"/>
                <w:sz w:val="18"/>
                <w:szCs w:val="18"/>
                <w:lang w:eastAsia="en-AU"/>
              </w:rPr>
              <w:t>,</w:t>
            </w:r>
            <w:r w:rsidRPr="00531F62">
              <w:rPr>
                <w:rFonts w:ascii="Calibri" w:eastAsia="Times New Roman" w:hAnsi="Calibri" w:cs="Calibri"/>
                <w:sz w:val="18"/>
                <w:szCs w:val="18"/>
                <w:lang w:eastAsia="en-AU"/>
              </w:rPr>
              <w:t xml:space="preserve"> and consumption</w:t>
            </w:r>
          </w:p>
        </w:tc>
        <w:tc>
          <w:tcPr>
            <w:tcW w:w="2756" w:type="dxa"/>
            <w:shd w:val="clear" w:color="auto" w:fill="auto"/>
            <w:noWrap/>
            <w:vAlign w:val="bottom"/>
            <w:hideMark/>
          </w:tcPr>
          <w:p w14:paraId="76597A53" w14:textId="174C610A" w:rsidR="00D35F89" w:rsidRPr="00531F62" w:rsidRDefault="00D35F89" w:rsidP="00E740CA">
            <w:pPr>
              <w:spacing w:after="0" w:line="240" w:lineRule="auto"/>
              <w:jc w:val="left"/>
              <w:rPr>
                <w:rFonts w:ascii="Calibri" w:eastAsia="Times New Roman" w:hAnsi="Calibri" w:cs="Calibri"/>
                <w:sz w:val="18"/>
                <w:szCs w:val="18"/>
                <w:lang w:eastAsia="en-AU"/>
              </w:rPr>
            </w:pPr>
            <w:r w:rsidRPr="00531F62">
              <w:rPr>
                <w:rFonts w:ascii="Calibri" w:eastAsia="Times New Roman" w:hAnsi="Calibri" w:cs="Calibri"/>
                <w:sz w:val="18"/>
                <w:szCs w:val="18"/>
                <w:lang w:eastAsia="en-AU"/>
              </w:rPr>
              <w:t xml:space="preserve">Households which did not reach </w:t>
            </w:r>
            <w:r w:rsidR="00F11BA3">
              <w:rPr>
                <w:rFonts w:ascii="Calibri" w:eastAsia="Times New Roman" w:hAnsi="Calibri" w:cs="Calibri"/>
                <w:sz w:val="18"/>
                <w:szCs w:val="18"/>
                <w:lang w:eastAsia="en-AU"/>
              </w:rPr>
              <w:t>nutrition</w:t>
            </w:r>
            <w:r w:rsidRPr="00531F62">
              <w:rPr>
                <w:rFonts w:ascii="Calibri" w:eastAsia="Times New Roman" w:hAnsi="Calibri" w:cs="Calibri"/>
                <w:sz w:val="18"/>
                <w:szCs w:val="18"/>
                <w:lang w:eastAsia="en-AU"/>
              </w:rPr>
              <w:t xml:space="preserve"> norms were categorized as food insecure.</w:t>
            </w:r>
          </w:p>
        </w:tc>
      </w:tr>
    </w:tbl>
    <w:p w14:paraId="5216D5C7" w14:textId="77777777" w:rsidR="002663EA" w:rsidRPr="00371401" w:rsidRDefault="00F11BA3" w:rsidP="00F11BA3"/>
    <w:sectPr w:rsidR="002663EA" w:rsidRPr="00371401" w:rsidSect="00F11BA3">
      <w:pgSz w:w="16838" w:h="11906" w:orient="landscape"/>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79"/>
    <w:rsid w:val="000A56F4"/>
    <w:rsid w:val="000A68C6"/>
    <w:rsid w:val="000A75A0"/>
    <w:rsid w:val="00110142"/>
    <w:rsid w:val="001E550B"/>
    <w:rsid w:val="00364603"/>
    <w:rsid w:val="00366450"/>
    <w:rsid w:val="00371401"/>
    <w:rsid w:val="00395B8F"/>
    <w:rsid w:val="003C2EE8"/>
    <w:rsid w:val="003D3134"/>
    <w:rsid w:val="004E7284"/>
    <w:rsid w:val="004F350E"/>
    <w:rsid w:val="00531F62"/>
    <w:rsid w:val="00533E79"/>
    <w:rsid w:val="0058366E"/>
    <w:rsid w:val="005C31A0"/>
    <w:rsid w:val="006805FB"/>
    <w:rsid w:val="00755EAB"/>
    <w:rsid w:val="007722DB"/>
    <w:rsid w:val="00833C38"/>
    <w:rsid w:val="008905D1"/>
    <w:rsid w:val="008B1F72"/>
    <w:rsid w:val="008D120A"/>
    <w:rsid w:val="00A22A98"/>
    <w:rsid w:val="00A86CF8"/>
    <w:rsid w:val="00AC46FE"/>
    <w:rsid w:val="00AD208A"/>
    <w:rsid w:val="00AD7D55"/>
    <w:rsid w:val="00B25ED5"/>
    <w:rsid w:val="00BB6226"/>
    <w:rsid w:val="00BD02A7"/>
    <w:rsid w:val="00BD5FAB"/>
    <w:rsid w:val="00BE057A"/>
    <w:rsid w:val="00C31154"/>
    <w:rsid w:val="00C919C2"/>
    <w:rsid w:val="00CE022B"/>
    <w:rsid w:val="00D268C2"/>
    <w:rsid w:val="00D35F89"/>
    <w:rsid w:val="00DC5647"/>
    <w:rsid w:val="00DD4D0B"/>
    <w:rsid w:val="00DF0103"/>
    <w:rsid w:val="00E01655"/>
    <w:rsid w:val="00E374FC"/>
    <w:rsid w:val="00E740CA"/>
    <w:rsid w:val="00E869D2"/>
    <w:rsid w:val="00E90866"/>
    <w:rsid w:val="00EC7DDF"/>
    <w:rsid w:val="00F06D87"/>
    <w:rsid w:val="00F11BA3"/>
    <w:rsid w:val="00F64977"/>
    <w:rsid w:val="00FF22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586C"/>
  <w15:chartTrackingRefBased/>
  <w15:docId w15:val="{CF8DDDCB-C2FE-40E3-83F5-08EDBF4B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E79"/>
    <w:pPr>
      <w:spacing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5423">
      <w:bodyDiv w:val="1"/>
      <w:marLeft w:val="0"/>
      <w:marRight w:val="0"/>
      <w:marTop w:val="0"/>
      <w:marBottom w:val="0"/>
      <w:divBdr>
        <w:top w:val="none" w:sz="0" w:space="0" w:color="auto"/>
        <w:left w:val="none" w:sz="0" w:space="0" w:color="auto"/>
        <w:bottom w:val="none" w:sz="0" w:space="0" w:color="auto"/>
        <w:right w:val="none" w:sz="0" w:space="0" w:color="auto"/>
      </w:divBdr>
    </w:div>
    <w:div w:id="648049470">
      <w:bodyDiv w:val="1"/>
      <w:marLeft w:val="0"/>
      <w:marRight w:val="0"/>
      <w:marTop w:val="0"/>
      <w:marBottom w:val="0"/>
      <w:divBdr>
        <w:top w:val="none" w:sz="0" w:space="0" w:color="auto"/>
        <w:left w:val="none" w:sz="0" w:space="0" w:color="auto"/>
        <w:bottom w:val="none" w:sz="0" w:space="0" w:color="auto"/>
        <w:right w:val="none" w:sz="0" w:space="0" w:color="auto"/>
      </w:divBdr>
    </w:div>
    <w:div w:id="16779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McKay</dc:creator>
  <cp:keywords/>
  <dc:description/>
  <cp:lastModifiedBy>Fiona McKay</cp:lastModifiedBy>
  <cp:revision>15</cp:revision>
  <dcterms:created xsi:type="dcterms:W3CDTF">2021-07-13T07:38:00Z</dcterms:created>
  <dcterms:modified xsi:type="dcterms:W3CDTF">2021-07-13T08:27:00Z</dcterms:modified>
</cp:coreProperties>
</file>