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9C6A81" w:rsidRDefault="00ED5651">
      <w:pPr>
        <w:ind w:left="-142" w:hanging="709"/>
      </w:pPr>
      <w:r>
        <w:rPr>
          <w:noProof/>
        </w:rPr>
        <mc:AlternateContent>
          <mc:Choice Requires="wpg">
            <w:drawing>
              <wp:anchor distT="0" distB="0" distL="0" distR="0" simplePos="0" relativeHeight="251658240" behindDoc="1" locked="0" layoutInCell="1" hidden="0" allowOverlap="1">
                <wp:simplePos x="0" y="0"/>
                <wp:positionH relativeFrom="column">
                  <wp:posOffset>-1346199</wp:posOffset>
                </wp:positionH>
                <wp:positionV relativeFrom="paragraph">
                  <wp:posOffset>-190499</wp:posOffset>
                </wp:positionV>
                <wp:extent cx="8074025" cy="10307638"/>
                <wp:effectExtent l="0" t="0" r="0" b="0"/>
                <wp:wrapNone/>
                <wp:docPr id="2" name="Rectángulo 2"/>
                <wp:cNvGraphicFramePr/>
                <a:graphic xmlns:a="http://schemas.openxmlformats.org/drawingml/2006/main">
                  <a:graphicData uri="http://schemas.microsoft.com/office/word/2010/wordprocessingShape">
                    <wps:wsp>
                      <wps:cNvSpPr/>
                      <wps:spPr>
                        <a:xfrm>
                          <a:off x="1327520" y="0"/>
                          <a:ext cx="8036961" cy="7560000"/>
                        </a:xfrm>
                        <a:prstGeom prst="rect">
                          <a:avLst/>
                        </a:prstGeom>
                        <a:solidFill>
                          <a:srgbClr val="1F2136"/>
                        </a:solidFill>
                        <a:ln w="12700" cap="flat" cmpd="sng">
                          <a:solidFill>
                            <a:srgbClr val="31538F"/>
                          </a:solidFill>
                          <a:prstDash val="solid"/>
                          <a:miter lim="800000"/>
                          <a:headEnd type="none" w="sm" len="sm"/>
                          <a:tailEnd type="none" w="sm" len="sm"/>
                        </a:ln>
                      </wps:spPr>
                      <wps:txbx>
                        <w:txbxContent>
                          <w:p w:rsidR="009C6A81" w:rsidRDefault="009C6A81">
                            <w:pPr>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-1346199</wp:posOffset>
                </wp:positionH>
                <wp:positionV relativeFrom="paragraph">
                  <wp:posOffset>-190499</wp:posOffset>
                </wp:positionV>
                <wp:extent cx="8074025" cy="10307638"/>
                <wp:effectExtent b="0" l="0" r="0" t="0"/>
                <wp:wrapNone/>
                <wp:docPr id="2"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8074025" cy="10307638"/>
                        </a:xfrm>
                        <a:prstGeom prst="rect"/>
                        <a:ln/>
                      </pic:spPr>
                    </pic:pic>
                  </a:graphicData>
                </a:graphic>
              </wp:anchor>
            </w:drawing>
          </mc:Fallback>
        </mc:AlternateContent>
      </w:r>
    </w:p>
    <w:p w:rsidR="009C6A81" w:rsidRDefault="00ED5651">
      <w:pPr>
        <w:ind w:hanging="851"/>
        <w:rPr>
          <w:rFonts w:ascii="IBM Plex Serif" w:eastAsia="IBM Plex Serif" w:hAnsi="IBM Plex Serif" w:cs="IBM Plex Serif"/>
        </w:rPr>
      </w:pPr>
      <w:r>
        <w:rPr>
          <w:noProof/>
        </w:rPr>
        <w:drawing>
          <wp:anchor distT="114300" distB="114300" distL="114300" distR="114300" simplePos="0" relativeHeight="251659264" behindDoc="0" locked="0" layoutInCell="1" hidden="0" allowOverlap="1">
            <wp:simplePos x="0" y="0"/>
            <wp:positionH relativeFrom="column">
              <wp:posOffset>-882648</wp:posOffset>
            </wp:positionH>
            <wp:positionV relativeFrom="paragraph">
              <wp:posOffset>327025</wp:posOffset>
            </wp:positionV>
            <wp:extent cx="2167890" cy="882281"/>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67890" cy="882281"/>
                    </a:xfrm>
                    <a:prstGeom prst="rect">
                      <a:avLst/>
                    </a:prstGeom>
                    <a:ln/>
                  </pic:spPr>
                </pic:pic>
              </a:graphicData>
            </a:graphic>
          </wp:anchor>
        </w:drawing>
      </w:r>
    </w:p>
    <w:p w:rsidR="009C6A81" w:rsidRDefault="009C6A81">
      <w:pPr>
        <w:ind w:hanging="851"/>
        <w:rPr>
          <w:rFonts w:ascii="IBM Plex Serif" w:eastAsia="IBM Plex Serif" w:hAnsi="IBM Plex Serif" w:cs="IBM Plex Serif"/>
        </w:rPr>
      </w:pPr>
    </w:p>
    <w:p w:rsidR="009C6A81" w:rsidRDefault="009C6A81">
      <w:pPr>
        <w:ind w:hanging="990"/>
        <w:rPr>
          <w:rFonts w:ascii="IBM Plex Serif" w:eastAsia="IBM Plex Serif" w:hAnsi="IBM Plex Serif" w:cs="IBM Plex Serif"/>
        </w:rPr>
      </w:pPr>
    </w:p>
    <w:p w:rsidR="009C6A81" w:rsidRDefault="009C6A81">
      <w:pPr>
        <w:ind w:hanging="990"/>
        <w:rPr>
          <w:rFonts w:ascii="IBM Plex Serif" w:eastAsia="IBM Plex Serif" w:hAnsi="IBM Plex Serif" w:cs="IBM Plex Serif"/>
        </w:rPr>
      </w:pPr>
    </w:p>
    <w:p w:rsidR="009C6A81" w:rsidRDefault="00ED5651">
      <w:pPr>
        <w:ind w:hanging="851"/>
        <w:rPr>
          <w:rFonts w:ascii="IBM Plex Serif" w:eastAsia="IBM Plex Serif" w:hAnsi="IBM Plex Serif" w:cs="IBM Plex Serif"/>
        </w:rPr>
      </w:pPr>
      <w:r>
        <w:rPr>
          <w:noProof/>
        </w:rPr>
        <w:drawing>
          <wp:anchor distT="114300" distB="114300" distL="114300" distR="114300" simplePos="0" relativeHeight="251660288" behindDoc="0" locked="0" layoutInCell="1" hidden="0" allowOverlap="1">
            <wp:simplePos x="0" y="0"/>
            <wp:positionH relativeFrom="column">
              <wp:posOffset>-1066798</wp:posOffset>
            </wp:positionH>
            <wp:positionV relativeFrom="paragraph">
              <wp:posOffset>168275</wp:posOffset>
            </wp:positionV>
            <wp:extent cx="2591940" cy="747872"/>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591940" cy="747872"/>
                    </a:xfrm>
                    <a:prstGeom prst="rect">
                      <a:avLst/>
                    </a:prstGeom>
                    <a:ln/>
                  </pic:spPr>
                </pic:pic>
              </a:graphicData>
            </a:graphic>
          </wp:anchor>
        </w:drawing>
      </w:r>
    </w:p>
    <w:p w:rsidR="009C6A81" w:rsidRDefault="009C6A81">
      <w:pPr>
        <w:ind w:hanging="851"/>
        <w:rPr>
          <w:rFonts w:ascii="IBM Plex Serif" w:eastAsia="IBM Plex Serif" w:hAnsi="IBM Plex Serif" w:cs="IBM Plex Serif"/>
        </w:rPr>
      </w:pPr>
    </w:p>
    <w:p w:rsidR="009C6A81" w:rsidRDefault="009C6A81">
      <w:pPr>
        <w:ind w:hanging="851"/>
        <w:rPr>
          <w:rFonts w:ascii="IBM Plex Serif" w:eastAsia="IBM Plex Serif" w:hAnsi="IBM Plex Serif" w:cs="IBM Plex Serif"/>
        </w:rPr>
      </w:pPr>
    </w:p>
    <w:p w:rsidR="009C6A81" w:rsidRDefault="009C6A81">
      <w:pPr>
        <w:ind w:hanging="851"/>
        <w:rPr>
          <w:rFonts w:ascii="IBM Plex Serif" w:eastAsia="IBM Plex Serif" w:hAnsi="IBM Plex Serif" w:cs="IBM Plex Serif"/>
        </w:rPr>
      </w:pPr>
    </w:p>
    <w:p w:rsidR="009C6A81" w:rsidRDefault="009C6A81">
      <w:pPr>
        <w:ind w:hanging="851"/>
        <w:rPr>
          <w:rFonts w:ascii="IBM Plex Serif" w:eastAsia="IBM Plex Serif" w:hAnsi="IBM Plex Serif" w:cs="IBM Plex Serif"/>
        </w:rPr>
      </w:pPr>
    </w:p>
    <w:p w:rsidR="009C6A81" w:rsidRDefault="009C6A81">
      <w:pPr>
        <w:ind w:hanging="851"/>
        <w:rPr>
          <w:rFonts w:ascii="IBM Plex Serif" w:eastAsia="IBM Plex Serif" w:hAnsi="IBM Plex Serif" w:cs="IBM Plex Serif"/>
        </w:rPr>
      </w:pPr>
    </w:p>
    <w:p w:rsidR="009C6A81" w:rsidRDefault="009C6A81">
      <w:pPr>
        <w:rPr>
          <w:rFonts w:ascii="IBM Plex Serif" w:eastAsia="IBM Plex Serif" w:hAnsi="IBM Plex Serif" w:cs="IBM Plex Serif"/>
        </w:rPr>
      </w:pPr>
    </w:p>
    <w:p w:rsidR="009C6A81" w:rsidRDefault="009C6A81">
      <w:pPr>
        <w:rPr>
          <w:rFonts w:ascii="IBM Plex Serif Medium" w:eastAsia="IBM Plex Serif Medium" w:hAnsi="IBM Plex Serif Medium" w:cs="IBM Plex Serif Medium"/>
          <w:color w:val="FFFFFF"/>
          <w:sz w:val="48"/>
          <w:szCs w:val="48"/>
        </w:rPr>
      </w:pPr>
    </w:p>
    <w:p w:rsidR="009C6A81" w:rsidRDefault="009C6A81">
      <w:pPr>
        <w:rPr>
          <w:rFonts w:ascii="IBM Plex Serif Medium" w:eastAsia="IBM Plex Serif Medium" w:hAnsi="IBM Plex Serif Medium" w:cs="IBM Plex Serif Medium"/>
          <w:color w:val="FFFFFF"/>
          <w:sz w:val="48"/>
          <w:szCs w:val="48"/>
        </w:rPr>
      </w:pPr>
    </w:p>
    <w:p w:rsidR="009C6A81" w:rsidRDefault="009C6A81">
      <w:pPr>
        <w:rPr>
          <w:rFonts w:ascii="IBM Plex Serif Medium" w:eastAsia="IBM Plex Serif Medium" w:hAnsi="IBM Plex Serif Medium" w:cs="IBM Plex Serif Medium"/>
          <w:color w:val="FFFFFF"/>
          <w:sz w:val="48"/>
          <w:szCs w:val="48"/>
        </w:rPr>
      </w:pPr>
    </w:p>
    <w:p w:rsidR="009C6A81" w:rsidRDefault="009C6A81">
      <w:pPr>
        <w:rPr>
          <w:rFonts w:ascii="IBM Plex Serif Medium" w:eastAsia="IBM Plex Serif Medium" w:hAnsi="IBM Plex Serif Medium" w:cs="IBM Plex Serif Medium"/>
          <w:color w:val="FFFFFF"/>
          <w:sz w:val="48"/>
          <w:szCs w:val="48"/>
        </w:rPr>
      </w:pPr>
    </w:p>
    <w:p w:rsidR="009C6A81" w:rsidRDefault="00ED5651">
      <w:pPr>
        <w:rPr>
          <w:rFonts w:ascii="IBM Plex Serif SemiBold" w:eastAsia="IBM Plex Serif SemiBold" w:hAnsi="IBM Plex Serif SemiBold" w:cs="IBM Plex Serif SemiBold"/>
          <w:color w:val="FFFFFF"/>
          <w:sz w:val="48"/>
          <w:szCs w:val="48"/>
        </w:rPr>
      </w:pPr>
      <w:r>
        <w:rPr>
          <w:rFonts w:ascii="IBM Plex Serif Medium" w:eastAsia="IBM Plex Serif Medium" w:hAnsi="IBM Plex Serif Medium" w:cs="IBM Plex Serif Medium"/>
          <w:color w:val="FFFFFF"/>
          <w:sz w:val="48"/>
          <w:szCs w:val="48"/>
        </w:rPr>
        <w:t>Clinical practice guideline</w:t>
      </w:r>
      <w:r>
        <w:rPr>
          <w:rFonts w:ascii="IBM Plex Serif SemiBold" w:eastAsia="IBM Plex Serif SemiBold" w:hAnsi="IBM Plex Serif SemiBold" w:cs="IBM Plex Serif SemiBold"/>
          <w:color w:val="FFFFFF"/>
          <w:sz w:val="48"/>
          <w:szCs w:val="48"/>
        </w:rPr>
        <w:t xml:space="preserve"> </w:t>
      </w:r>
    </w:p>
    <w:p w:rsidR="009C6A81" w:rsidRDefault="00ED5651">
      <w:pPr>
        <w:rPr>
          <w:rFonts w:ascii="IBM Plex Serif" w:eastAsia="IBM Plex Serif" w:hAnsi="IBM Plex Serif" w:cs="IBM Plex Serif"/>
          <w:color w:val="FFFFFF"/>
          <w:sz w:val="48"/>
          <w:szCs w:val="48"/>
        </w:rPr>
      </w:pPr>
      <w:r>
        <w:rPr>
          <w:rFonts w:ascii="IBM Plex Serif" w:eastAsia="IBM Plex Serif" w:hAnsi="IBM Plex Serif" w:cs="IBM Plex Serif"/>
          <w:color w:val="FFFFFF"/>
          <w:sz w:val="48"/>
          <w:szCs w:val="48"/>
        </w:rPr>
        <w:t>for the obesity management in adults in Mexico</w:t>
      </w:r>
    </w:p>
    <w:p w:rsidR="009C6A81" w:rsidRDefault="009C6A81">
      <w:pPr>
        <w:rPr>
          <w:rFonts w:ascii="IBM Plex Serif" w:eastAsia="IBM Plex Serif" w:hAnsi="IBM Plex Serif" w:cs="IBM Plex Serif"/>
          <w:color w:val="FFFFFF"/>
          <w:sz w:val="66"/>
          <w:szCs w:val="66"/>
        </w:rPr>
      </w:pPr>
    </w:p>
    <w:p w:rsidR="009C6A81" w:rsidRDefault="00ED5651">
      <w:pPr>
        <w:rPr>
          <w:rFonts w:ascii="IBM Plex Sans" w:eastAsia="IBM Plex Sans" w:hAnsi="IBM Plex Sans" w:cs="IBM Plex Sans"/>
          <w:color w:val="2EB2E8"/>
          <w:sz w:val="36"/>
          <w:szCs w:val="36"/>
        </w:rPr>
      </w:pPr>
      <w:r>
        <w:rPr>
          <w:rFonts w:ascii="IBM Plex Sans" w:eastAsia="IBM Plex Sans" w:hAnsi="IBM Plex Sans" w:cs="IBM Plex Sans"/>
          <w:color w:val="2EB2E8"/>
          <w:sz w:val="36"/>
          <w:szCs w:val="36"/>
        </w:rPr>
        <w:t>Supplementary data</w:t>
      </w:r>
    </w:p>
    <w:p w:rsidR="009C6A81" w:rsidRDefault="009C6A81">
      <w:pPr>
        <w:rPr>
          <w:rFonts w:ascii="IBM Plex Serif" w:eastAsia="IBM Plex Serif" w:hAnsi="IBM Plex Serif" w:cs="IBM Plex Serif"/>
          <w:color w:val="FFFFFF"/>
          <w:sz w:val="30"/>
          <w:szCs w:val="30"/>
        </w:rPr>
      </w:pPr>
    </w:p>
    <w:p w:rsidR="009C6A81" w:rsidRDefault="009C6A81">
      <w:pPr>
        <w:rPr>
          <w:rFonts w:ascii="IBM Plex Serif" w:eastAsia="IBM Plex Serif" w:hAnsi="IBM Plex Serif" w:cs="IBM Plex Serif"/>
          <w:color w:val="FFFFFF"/>
          <w:sz w:val="30"/>
          <w:szCs w:val="30"/>
        </w:rPr>
      </w:pPr>
    </w:p>
    <w:p w:rsidR="009C6A81" w:rsidRDefault="009C6A81">
      <w:pPr>
        <w:rPr>
          <w:rFonts w:ascii="IBM Plex Serif" w:eastAsia="IBM Plex Serif" w:hAnsi="IBM Plex Serif" w:cs="IBM Plex Serif"/>
          <w:color w:val="FFFFFF"/>
          <w:sz w:val="30"/>
          <w:szCs w:val="30"/>
        </w:rPr>
      </w:pPr>
    </w:p>
    <w:p w:rsidR="009C6A81" w:rsidRDefault="009C6A81">
      <w:pPr>
        <w:rPr>
          <w:rFonts w:ascii="IBM Plex Serif" w:eastAsia="IBM Plex Serif" w:hAnsi="IBM Plex Serif" w:cs="IBM Plex Serif"/>
          <w:color w:val="FFFFFF"/>
        </w:rPr>
      </w:pPr>
    </w:p>
    <w:p w:rsidR="009C6A81" w:rsidRDefault="009C6A81">
      <w:pPr>
        <w:rPr>
          <w:rFonts w:ascii="IBM Plex Serif" w:eastAsia="IBM Plex Serif" w:hAnsi="IBM Plex Serif" w:cs="IBM Plex Serif"/>
          <w:color w:val="FFFFFF"/>
        </w:rPr>
      </w:pPr>
    </w:p>
    <w:p w:rsidR="009C6A81" w:rsidRDefault="009C6A81">
      <w:pPr>
        <w:rPr>
          <w:rFonts w:ascii="IBM Plex Serif" w:eastAsia="IBM Plex Serif" w:hAnsi="IBM Plex Serif" w:cs="IBM Plex Serif"/>
          <w:color w:val="FFFFFF"/>
        </w:rPr>
      </w:pPr>
    </w:p>
    <w:p w:rsidR="009C6A81" w:rsidRDefault="00ED5651">
      <w:pPr>
        <w:rPr>
          <w:rFonts w:ascii="IBM Plex Serif" w:eastAsia="IBM Plex Serif" w:hAnsi="IBM Plex Serif" w:cs="IBM Plex Serif"/>
          <w:color w:val="FFFFFF"/>
          <w:sz w:val="30"/>
          <w:szCs w:val="30"/>
        </w:rPr>
      </w:pPr>
      <w:r>
        <w:rPr>
          <w:rFonts w:ascii="IBM Plex Serif" w:eastAsia="IBM Plex Serif" w:hAnsi="IBM Plex Serif" w:cs="IBM Plex Serif"/>
          <w:color w:val="FFFFFF"/>
        </w:rPr>
        <w:t>Santiago de Chile, July 2024</w:t>
      </w:r>
      <w:r>
        <w:rPr>
          <w:rFonts w:ascii="IBM Plex Serif" w:eastAsia="IBM Plex Serif" w:hAnsi="IBM Plex Serif" w:cs="IBM Plex Serif"/>
          <w:color w:val="FFFFFF"/>
          <w:sz w:val="30"/>
          <w:szCs w:val="30"/>
        </w:rPr>
        <w:t xml:space="preserve"> </w:t>
      </w:r>
    </w:p>
    <w:p w:rsidR="009C6A81" w:rsidRDefault="009C6A81">
      <w:pPr>
        <w:pStyle w:val="Ttulo1"/>
        <w:ind w:hanging="360"/>
        <w:rPr>
          <w:rFonts w:ascii="Barlow" w:eastAsia="Barlow" w:hAnsi="Barlow" w:cs="Barlow"/>
        </w:rPr>
      </w:pPr>
      <w:bookmarkStart w:id="1" w:name="_gjdgxs" w:colFirst="0" w:colLast="0"/>
      <w:bookmarkEnd w:id="1"/>
    </w:p>
    <w:p w:rsidR="009C6A81" w:rsidRDefault="009C6A81"/>
    <w:p w:rsidR="009C6A81" w:rsidRDefault="009C6A81">
      <w:pPr>
        <w:pStyle w:val="Ttulo1"/>
        <w:ind w:hanging="360"/>
      </w:pPr>
    </w:p>
    <w:p w:rsidR="009C6A81" w:rsidRDefault="009C6A81">
      <w:pPr>
        <w:pStyle w:val="Ttulo1"/>
        <w:ind w:hanging="360"/>
      </w:pPr>
      <w:bookmarkStart w:id="2" w:name="_owwwbyh1y66z" w:colFirst="0" w:colLast="0"/>
      <w:bookmarkEnd w:id="2"/>
    </w:p>
    <w:p w:rsidR="009C6A81" w:rsidRDefault="00ED5651">
      <w:pPr>
        <w:pStyle w:val="Ttulo1"/>
        <w:ind w:hanging="360"/>
        <w:rPr>
          <w:sz w:val="38"/>
          <w:szCs w:val="38"/>
        </w:rPr>
      </w:pPr>
      <w:bookmarkStart w:id="3" w:name="_1fob9te" w:colFirst="0" w:colLast="0"/>
      <w:bookmarkEnd w:id="3"/>
      <w:r>
        <w:t>Table of contents</w:t>
      </w:r>
    </w:p>
    <w:p w:rsidR="009C6A81" w:rsidRDefault="009C6A81">
      <w:pPr>
        <w:rPr>
          <w:sz w:val="20"/>
          <w:szCs w:val="20"/>
        </w:rPr>
      </w:pPr>
    </w:p>
    <w:p w:rsidR="009C6A81" w:rsidRDefault="009C6A81">
      <w:pPr>
        <w:rPr>
          <w:sz w:val="20"/>
          <w:szCs w:val="20"/>
        </w:rPr>
      </w:pPr>
    </w:p>
    <w:p w:rsidR="009C6A81" w:rsidRDefault="009C6A81">
      <w:pPr>
        <w:rPr>
          <w:sz w:val="20"/>
          <w:szCs w:val="20"/>
        </w:rPr>
      </w:pPr>
    </w:p>
    <w:sdt>
      <w:sdtPr>
        <w:id w:val="1524597840"/>
        <w:docPartObj>
          <w:docPartGallery w:val="Table of Contents"/>
          <w:docPartUnique/>
        </w:docPartObj>
      </w:sdtPr>
      <w:sdtEndPr/>
      <w:sdtContent>
        <w:p w:rsidR="009C6A81" w:rsidRDefault="00ED5651">
          <w:pPr>
            <w:widowControl w:val="0"/>
            <w:tabs>
              <w:tab w:val="right" w:leader="dot" w:pos="12000"/>
            </w:tabs>
            <w:spacing w:before="60"/>
            <w:jc w:val="left"/>
            <w:rPr>
              <w:rFonts w:ascii="Arial" w:eastAsia="Arial" w:hAnsi="Arial" w:cs="Arial"/>
              <w:b/>
              <w:color w:val="000000"/>
            </w:rPr>
          </w:pPr>
          <w:r>
            <w:fldChar w:fldCharType="begin"/>
          </w:r>
          <w:r>
            <w:instrText xml:space="preserve"> TOC \h \u \z \t "Heading 1,1,Heading 2,2,Heading 3,3,"</w:instrText>
          </w:r>
          <w:r>
            <w:fldChar w:fldCharType="separate"/>
          </w:r>
          <w:hyperlink w:anchor="_1fob9te">
            <w:r>
              <w:rPr>
                <w:color w:val="000000"/>
                <w:sz w:val="24"/>
                <w:szCs w:val="24"/>
              </w:rPr>
              <w:t>Table of contents</w:t>
            </w:r>
            <w:r>
              <w:rPr>
                <w:color w:val="000000"/>
                <w:sz w:val="24"/>
                <w:szCs w:val="24"/>
              </w:rPr>
              <w:tab/>
              <w:t>2</w:t>
            </w:r>
          </w:hyperlink>
        </w:p>
        <w:p w:rsidR="009C6A81" w:rsidRDefault="00ED5651">
          <w:pPr>
            <w:widowControl w:val="0"/>
            <w:tabs>
              <w:tab w:val="right" w:leader="dot" w:pos="12000"/>
            </w:tabs>
            <w:spacing w:before="60"/>
            <w:ind w:left="360"/>
            <w:jc w:val="left"/>
            <w:rPr>
              <w:rFonts w:ascii="Arial" w:eastAsia="Arial" w:hAnsi="Arial" w:cs="Arial"/>
              <w:color w:val="000000"/>
            </w:rPr>
          </w:pPr>
          <w:hyperlink w:anchor="_ymfzma">
            <w:r>
              <w:rPr>
                <w:rFonts w:ascii="Arial" w:eastAsia="Arial" w:hAnsi="Arial" w:cs="Arial"/>
                <w:color w:val="000000"/>
              </w:rPr>
              <w:t>Appendix 1. Thresholds definition for prioritized outcomes</w:t>
            </w:r>
            <w:r>
              <w:rPr>
                <w:rFonts w:ascii="Arial" w:eastAsia="Arial" w:hAnsi="Arial" w:cs="Arial"/>
                <w:color w:val="000000"/>
              </w:rPr>
              <w:tab/>
              <w:t>3</w:t>
            </w:r>
          </w:hyperlink>
        </w:p>
        <w:p w:rsidR="009C6A81" w:rsidRDefault="00ED5651">
          <w:pPr>
            <w:widowControl w:val="0"/>
            <w:tabs>
              <w:tab w:val="right" w:leader="dot" w:pos="12000"/>
            </w:tabs>
            <w:spacing w:before="60"/>
            <w:ind w:left="360"/>
            <w:jc w:val="left"/>
            <w:rPr>
              <w:rFonts w:ascii="Arial" w:eastAsia="Arial" w:hAnsi="Arial" w:cs="Arial"/>
              <w:color w:val="000000"/>
            </w:rPr>
          </w:pPr>
          <w:hyperlink w:anchor="_lvzjtj3m2o06">
            <w:r>
              <w:rPr>
                <w:rFonts w:ascii="Arial" w:eastAsia="Arial" w:hAnsi="Arial" w:cs="Arial"/>
                <w:color w:val="000000"/>
              </w:rPr>
              <w:t>Appendix 2. Search strategies.</w:t>
            </w:r>
            <w:r>
              <w:rPr>
                <w:rFonts w:ascii="Arial" w:eastAsia="Arial" w:hAnsi="Arial" w:cs="Arial"/>
                <w:color w:val="000000"/>
              </w:rPr>
              <w:tab/>
              <w:t>5</w:t>
            </w:r>
          </w:hyperlink>
        </w:p>
        <w:p w:rsidR="009C6A81" w:rsidRDefault="00ED5651">
          <w:pPr>
            <w:widowControl w:val="0"/>
            <w:tabs>
              <w:tab w:val="right" w:leader="dot" w:pos="12000"/>
            </w:tabs>
            <w:spacing w:before="60"/>
            <w:ind w:left="360"/>
            <w:jc w:val="left"/>
            <w:rPr>
              <w:rFonts w:ascii="Arial" w:eastAsia="Arial" w:hAnsi="Arial" w:cs="Arial"/>
              <w:color w:val="000000"/>
            </w:rPr>
          </w:pPr>
          <w:hyperlink w:anchor="_1gf8i83">
            <w:r>
              <w:rPr>
                <w:rFonts w:ascii="Arial" w:eastAsia="Arial" w:hAnsi="Arial" w:cs="Arial"/>
                <w:color w:val="000000"/>
              </w:rPr>
              <w:t>Appendix 3. Summary of Findings tables and Evidence to Decision tables.</w:t>
            </w:r>
            <w:r>
              <w:rPr>
                <w:rFonts w:ascii="Arial" w:eastAsia="Arial" w:hAnsi="Arial" w:cs="Arial"/>
                <w:color w:val="000000"/>
              </w:rPr>
              <w:tab/>
              <w:t>22</w:t>
            </w:r>
          </w:hyperlink>
        </w:p>
        <w:p w:rsidR="009C6A81" w:rsidRDefault="00ED5651">
          <w:pPr>
            <w:widowControl w:val="0"/>
            <w:tabs>
              <w:tab w:val="right" w:leader="dot" w:pos="12000"/>
            </w:tabs>
            <w:spacing w:before="60"/>
            <w:ind w:left="360"/>
            <w:jc w:val="left"/>
            <w:rPr>
              <w:rFonts w:ascii="Arial" w:eastAsia="Arial" w:hAnsi="Arial" w:cs="Arial"/>
              <w:color w:val="000000"/>
            </w:rPr>
          </w:pPr>
          <w:hyperlink w:anchor="_3x8tuzt">
            <w:r>
              <w:rPr>
                <w:color w:val="000000"/>
                <w:sz w:val="24"/>
                <w:szCs w:val="24"/>
              </w:rPr>
              <w:t>Appendix 3.1 Criteria for developing Good Practice Statements</w:t>
            </w:r>
            <w:r>
              <w:rPr>
                <w:color w:val="000000"/>
                <w:sz w:val="24"/>
                <w:szCs w:val="24"/>
              </w:rPr>
              <w:tab/>
              <w:t>65</w:t>
            </w:r>
          </w:hyperlink>
        </w:p>
        <w:p w:rsidR="009C6A81" w:rsidRDefault="00ED5651">
          <w:pPr>
            <w:widowControl w:val="0"/>
            <w:tabs>
              <w:tab w:val="right" w:leader="dot" w:pos="12000"/>
            </w:tabs>
            <w:spacing w:before="60"/>
            <w:ind w:left="360"/>
            <w:jc w:val="left"/>
            <w:rPr>
              <w:rFonts w:ascii="Arial" w:eastAsia="Arial" w:hAnsi="Arial" w:cs="Arial"/>
              <w:color w:val="000000"/>
            </w:rPr>
          </w:pPr>
          <w:hyperlink w:anchor="_f3vrhq3mmv9o">
            <w:r>
              <w:rPr>
                <w:rFonts w:ascii="Arial" w:eastAsia="Arial" w:hAnsi="Arial" w:cs="Arial"/>
                <w:color w:val="000000"/>
              </w:rPr>
              <w:t>Appendix 4.Conflicts of interest (methods team)</w:t>
            </w:r>
            <w:r>
              <w:rPr>
                <w:rFonts w:ascii="Arial" w:eastAsia="Arial" w:hAnsi="Arial" w:cs="Arial"/>
                <w:color w:val="000000"/>
              </w:rPr>
              <w:tab/>
              <w:t>1</w:t>
            </w:r>
            <w:r>
              <w:rPr>
                <w:rFonts w:ascii="Arial" w:eastAsia="Arial" w:hAnsi="Arial" w:cs="Arial"/>
                <w:color w:val="000000"/>
              </w:rPr>
              <w:t>23</w:t>
            </w:r>
          </w:hyperlink>
          <w:r>
            <w:fldChar w:fldCharType="end"/>
          </w:r>
        </w:p>
      </w:sdtContent>
    </w:sdt>
    <w:p w:rsidR="009C6A81" w:rsidRDefault="009C6A81">
      <w:pPr>
        <w:rPr>
          <w:sz w:val="20"/>
          <w:szCs w:val="20"/>
        </w:rPr>
        <w:sectPr w:rsidR="009C6A81">
          <w:headerReference w:type="default" r:id="rId10"/>
          <w:footerReference w:type="even" r:id="rId11"/>
          <w:footerReference w:type="default" r:id="rId12"/>
          <w:footerReference w:type="first" r:id="rId13"/>
          <w:pgSz w:w="12240" w:h="15840"/>
          <w:pgMar w:top="0" w:right="1701" w:bottom="1021" w:left="1701" w:header="567" w:footer="567" w:gutter="0"/>
          <w:pgNumType w:start="1"/>
          <w:cols w:space="720"/>
          <w:titlePg/>
        </w:sectPr>
      </w:pPr>
    </w:p>
    <w:p w:rsidR="009C6A81" w:rsidRDefault="00ED5651">
      <w:pPr>
        <w:pStyle w:val="Ttulo2"/>
        <w:ind w:hanging="990"/>
      </w:pPr>
      <w:bookmarkStart w:id="4" w:name="_ymfzma" w:colFirst="0" w:colLast="0"/>
      <w:bookmarkEnd w:id="4"/>
      <w:r>
        <w:lastRenderedPageBreak/>
        <w:t>Appendix 1. Thresholds definition for prioritized outcomes</w:t>
      </w:r>
    </w:p>
    <w:p w:rsidR="009C6A81" w:rsidRDefault="009C6A81">
      <w:pPr>
        <w:pStyle w:val="Ttulo2"/>
        <w:ind w:hanging="990"/>
      </w:pPr>
      <w:bookmarkStart w:id="5" w:name="_3im3ia3" w:colFirst="0" w:colLast="0"/>
      <w:bookmarkEnd w:id="5"/>
    </w:p>
    <w:p w:rsidR="009C6A81" w:rsidRDefault="00ED5651">
      <w:r>
        <w:t>Through a literature review, documentation obtained from the process of multiple guidelines, expert consultation and internal discussion, Epistemonikos has developed a set of thresholds used to inform the panelists during the discussion of these recommenda</w:t>
      </w:r>
      <w:r>
        <w:t>tions. These thresholds were assigned according to the relative importance of the outcomes prioritized by the experts and used to determine the effect size according to the results in absolute terms of the evidence synthesis.</w:t>
      </w:r>
    </w:p>
    <w:p w:rsidR="009C6A81" w:rsidRDefault="009C6A81"/>
    <w:p w:rsidR="009C6A81" w:rsidRDefault="00ED5651">
      <w:r>
        <w:t>The thresholds for the minima</w:t>
      </w:r>
      <w:r>
        <w:t>l important difference that were used in the development of this guide according to relative importance are presented below.</w:t>
      </w:r>
    </w:p>
    <w:p w:rsidR="009C6A81" w:rsidRDefault="009C6A81"/>
    <w:p w:rsidR="009C6A81" w:rsidRDefault="009C6A81"/>
    <w:p w:rsidR="009C6A81" w:rsidRDefault="00ED5651">
      <w:r>
        <w:t>Table 1 Appendix 1: Thresholds for the minimal important difference according to their relative importance.</w:t>
      </w:r>
    </w:p>
    <w:p w:rsidR="009C6A81" w:rsidRDefault="009C6A81"/>
    <w:tbl>
      <w:tblPr>
        <w:tblStyle w:val="a"/>
        <w:tblW w:w="8490" w:type="dxa"/>
        <w:tblInd w:w="0" w:type="dxa"/>
        <w:tblLayout w:type="fixed"/>
        <w:tblLook w:val="0600" w:firstRow="0" w:lastRow="0" w:firstColumn="0" w:lastColumn="0" w:noHBand="1" w:noVBand="1"/>
      </w:tblPr>
      <w:tblGrid>
        <w:gridCol w:w="435"/>
        <w:gridCol w:w="2190"/>
        <w:gridCol w:w="1500"/>
        <w:gridCol w:w="1455"/>
        <w:gridCol w:w="1455"/>
        <w:gridCol w:w="1455"/>
      </w:tblGrid>
      <w:tr w:rsidR="009C6A81">
        <w:trPr>
          <w:trHeight w:val="420"/>
        </w:trPr>
        <w:tc>
          <w:tcPr>
            <w:tcW w:w="2625" w:type="dxa"/>
            <w:gridSpan w:val="2"/>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 xml:space="preserve">Relative Importance </w:t>
            </w:r>
            <w:r>
              <w:rPr>
                <w:rFonts w:ascii="IBM Plex Sans" w:eastAsia="IBM Plex Sans" w:hAnsi="IBM Plex Sans" w:cs="IBM Plex Sans"/>
                <w:b/>
                <w:color w:val="FFFFFF"/>
              </w:rPr>
              <w:t xml:space="preserve"> (RIO)</w:t>
            </w:r>
          </w:p>
        </w:tc>
        <w:tc>
          <w:tcPr>
            <w:tcW w:w="150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center"/>
              <w:rPr>
                <w:rFonts w:ascii="IBM Plex Sans" w:eastAsia="IBM Plex Sans" w:hAnsi="IBM Plex Sans" w:cs="IBM Plex Sans"/>
                <w:b/>
                <w:color w:val="FFFFFF"/>
              </w:rPr>
            </w:pPr>
            <w:r>
              <w:rPr>
                <w:rFonts w:ascii="IBM Plex Sans" w:eastAsia="IBM Plex Sans" w:hAnsi="IBM Plex Sans" w:cs="IBM Plex Sans"/>
                <w:b/>
                <w:color w:val="FFFFFF"/>
              </w:rPr>
              <w:t>Large effect</w:t>
            </w:r>
          </w:p>
        </w:tc>
        <w:tc>
          <w:tcPr>
            <w:tcW w:w="145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center"/>
              <w:rPr>
                <w:rFonts w:ascii="IBM Plex Sans" w:eastAsia="IBM Plex Sans" w:hAnsi="IBM Plex Sans" w:cs="IBM Plex Sans"/>
                <w:b/>
                <w:color w:val="FFFFFF"/>
              </w:rPr>
            </w:pPr>
            <w:r>
              <w:rPr>
                <w:rFonts w:ascii="IBM Plex Sans" w:eastAsia="IBM Plex Sans" w:hAnsi="IBM Plex Sans" w:cs="IBM Plex Sans"/>
                <w:b/>
                <w:color w:val="FFFFFF"/>
              </w:rPr>
              <w:t>Moderate effect</w:t>
            </w:r>
          </w:p>
        </w:tc>
        <w:tc>
          <w:tcPr>
            <w:tcW w:w="145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center"/>
              <w:rPr>
                <w:rFonts w:ascii="IBM Plex Sans" w:eastAsia="IBM Plex Sans" w:hAnsi="IBM Plex Sans" w:cs="IBM Plex Sans"/>
                <w:b/>
                <w:color w:val="FFFFFF"/>
              </w:rPr>
            </w:pPr>
            <w:r>
              <w:rPr>
                <w:rFonts w:ascii="IBM Plex Sans" w:eastAsia="IBM Plex Sans" w:hAnsi="IBM Plex Sans" w:cs="IBM Plex Sans"/>
                <w:b/>
                <w:color w:val="FFFFFF"/>
              </w:rPr>
              <w:t>Small effect</w:t>
            </w:r>
          </w:p>
        </w:tc>
        <w:tc>
          <w:tcPr>
            <w:tcW w:w="145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center"/>
              <w:rPr>
                <w:rFonts w:ascii="IBM Plex Sans" w:eastAsia="IBM Plex Sans" w:hAnsi="IBM Plex Sans" w:cs="IBM Plex Sans"/>
                <w:b/>
                <w:color w:val="FFFFFF"/>
              </w:rPr>
            </w:pPr>
            <w:r>
              <w:rPr>
                <w:rFonts w:ascii="IBM Plex Sans" w:eastAsia="IBM Plex Sans" w:hAnsi="IBM Plex Sans" w:cs="IBM Plex Sans"/>
                <w:b/>
                <w:color w:val="FFFFFF"/>
              </w:rPr>
              <w:t>Trivial effect</w:t>
            </w:r>
          </w:p>
        </w:tc>
      </w:tr>
      <w:tr w:rsidR="009C6A81">
        <w:trPr>
          <w:trHeight w:val="415"/>
        </w:trPr>
        <w:tc>
          <w:tcPr>
            <w:tcW w:w="4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center"/>
              <w:rPr>
                <w:b/>
                <w:sz w:val="20"/>
                <w:szCs w:val="20"/>
              </w:rPr>
            </w:pPr>
            <w:r>
              <w:rPr>
                <w:b/>
                <w:sz w:val="20"/>
                <w:szCs w:val="20"/>
              </w:rPr>
              <w:t>5</w:t>
            </w:r>
          </w:p>
        </w:tc>
        <w:tc>
          <w:tcPr>
            <w:tcW w:w="219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center"/>
              <w:rPr>
                <w:sz w:val="20"/>
                <w:szCs w:val="20"/>
              </w:rPr>
            </w:pPr>
            <w:r>
              <w:rPr>
                <w:sz w:val="20"/>
                <w:szCs w:val="20"/>
              </w:rPr>
              <w:t>Critical</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center"/>
              <w:rPr>
                <w:sz w:val="20"/>
                <w:szCs w:val="20"/>
              </w:rPr>
            </w:pPr>
            <w:r>
              <w:rPr>
                <w:sz w:val="20"/>
                <w:szCs w:val="20"/>
              </w:rPr>
              <w:t>50 per 1000</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center"/>
              <w:rPr>
                <w:sz w:val="20"/>
                <w:szCs w:val="20"/>
              </w:rPr>
            </w:pPr>
            <w:r>
              <w:rPr>
                <w:sz w:val="20"/>
                <w:szCs w:val="20"/>
              </w:rPr>
              <w:t>25 per 1000</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center"/>
              <w:rPr>
                <w:sz w:val="20"/>
                <w:szCs w:val="20"/>
              </w:rPr>
            </w:pPr>
            <w:r>
              <w:rPr>
                <w:sz w:val="20"/>
                <w:szCs w:val="20"/>
              </w:rPr>
              <w:t>10 per 1000</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center"/>
              <w:rPr>
                <w:sz w:val="20"/>
                <w:szCs w:val="20"/>
              </w:rPr>
            </w:pPr>
            <w:r>
              <w:rPr>
                <w:sz w:val="20"/>
                <w:szCs w:val="20"/>
              </w:rPr>
              <w:t>&lt;10 per 1000</w:t>
            </w:r>
          </w:p>
        </w:tc>
      </w:tr>
      <w:tr w:rsidR="009C6A81">
        <w:trPr>
          <w:trHeight w:val="415"/>
        </w:trPr>
        <w:tc>
          <w:tcPr>
            <w:tcW w:w="4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rFonts w:ascii="Arial" w:eastAsia="Arial" w:hAnsi="Arial" w:cs="Arial"/>
                <w:b/>
                <w:sz w:val="20"/>
                <w:szCs w:val="20"/>
              </w:rPr>
            </w:pPr>
            <w:r>
              <w:rPr>
                <w:b/>
                <w:sz w:val="20"/>
                <w:szCs w:val="20"/>
              </w:rPr>
              <w:t>4</w:t>
            </w:r>
          </w:p>
        </w:tc>
        <w:tc>
          <w:tcPr>
            <w:tcW w:w="219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spacing w:line="276" w:lineRule="auto"/>
              <w:jc w:val="left"/>
              <w:rPr>
                <w:rFonts w:ascii="Arial" w:eastAsia="Arial" w:hAnsi="Arial" w:cs="Arial"/>
                <w:b/>
                <w:sz w:val="20"/>
                <w:szCs w:val="20"/>
              </w:rPr>
            </w:pP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center"/>
              <w:rPr>
                <w:sz w:val="20"/>
                <w:szCs w:val="20"/>
              </w:rPr>
            </w:pPr>
            <w:r>
              <w:rPr>
                <w:sz w:val="20"/>
                <w:szCs w:val="20"/>
              </w:rPr>
              <w:t>100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50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25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&lt;25 per 1000</w:t>
            </w:r>
          </w:p>
        </w:tc>
      </w:tr>
      <w:tr w:rsidR="009C6A81">
        <w:trPr>
          <w:trHeight w:val="415"/>
        </w:trPr>
        <w:tc>
          <w:tcPr>
            <w:tcW w:w="4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rFonts w:ascii="Arial" w:eastAsia="Arial" w:hAnsi="Arial" w:cs="Arial"/>
                <w:b/>
                <w:sz w:val="20"/>
                <w:szCs w:val="20"/>
              </w:rPr>
            </w:pPr>
            <w:r>
              <w:rPr>
                <w:b/>
                <w:sz w:val="20"/>
                <w:szCs w:val="20"/>
              </w:rPr>
              <w:t>3</w:t>
            </w:r>
          </w:p>
        </w:tc>
        <w:tc>
          <w:tcPr>
            <w:tcW w:w="219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Important but</w:t>
            </w:r>
          </w:p>
          <w:p w:rsidR="009C6A81" w:rsidRDefault="00ED5651">
            <w:pPr>
              <w:widowControl w:val="0"/>
              <w:spacing w:line="276" w:lineRule="auto"/>
              <w:jc w:val="center"/>
              <w:rPr>
                <w:sz w:val="20"/>
                <w:szCs w:val="20"/>
              </w:rPr>
            </w:pPr>
            <w:r>
              <w:rPr>
                <w:sz w:val="20"/>
                <w:szCs w:val="20"/>
              </w:rPr>
              <w:t>not critical</w:t>
            </w:r>
          </w:p>
        </w:tc>
        <w:tc>
          <w:tcPr>
            <w:tcW w:w="15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center"/>
              <w:rPr>
                <w:sz w:val="20"/>
                <w:szCs w:val="20"/>
              </w:rPr>
            </w:pPr>
            <w:r>
              <w:rPr>
                <w:sz w:val="20"/>
                <w:szCs w:val="20"/>
              </w:rPr>
              <w:t>200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100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50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&lt;50 per 1000</w:t>
            </w:r>
          </w:p>
        </w:tc>
      </w:tr>
      <w:tr w:rsidR="009C6A81">
        <w:trPr>
          <w:trHeight w:val="415"/>
        </w:trPr>
        <w:tc>
          <w:tcPr>
            <w:tcW w:w="4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rFonts w:ascii="Arial" w:eastAsia="Arial" w:hAnsi="Arial" w:cs="Arial"/>
                <w:b/>
                <w:sz w:val="20"/>
                <w:szCs w:val="20"/>
              </w:rPr>
            </w:pPr>
            <w:r>
              <w:rPr>
                <w:b/>
                <w:sz w:val="20"/>
                <w:szCs w:val="20"/>
              </w:rPr>
              <w:t>2</w:t>
            </w:r>
          </w:p>
        </w:tc>
        <w:tc>
          <w:tcPr>
            <w:tcW w:w="2190" w:type="dxa"/>
            <w:vMerge w:val="restart"/>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rsidR="009C6A81" w:rsidRDefault="00ED5651">
            <w:pPr>
              <w:widowControl w:val="0"/>
              <w:spacing w:line="276" w:lineRule="auto"/>
              <w:jc w:val="center"/>
              <w:rPr>
                <w:rFonts w:ascii="Arial" w:eastAsia="Arial" w:hAnsi="Arial" w:cs="Arial"/>
                <w:sz w:val="20"/>
                <w:szCs w:val="20"/>
              </w:rPr>
            </w:pPr>
            <w:r>
              <w:rPr>
                <w:sz w:val="20"/>
                <w:szCs w:val="20"/>
              </w:rPr>
              <w:t>Surrogate outcomes</w:t>
            </w:r>
          </w:p>
        </w:tc>
        <w:tc>
          <w:tcPr>
            <w:tcW w:w="150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center"/>
              <w:rPr>
                <w:sz w:val="20"/>
                <w:szCs w:val="20"/>
              </w:rPr>
            </w:pPr>
            <w:r>
              <w:rPr>
                <w:sz w:val="20"/>
                <w:szCs w:val="20"/>
              </w:rPr>
              <w:t>300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200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100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&lt;100 per 1000</w:t>
            </w:r>
          </w:p>
        </w:tc>
      </w:tr>
      <w:tr w:rsidR="009C6A81">
        <w:trPr>
          <w:trHeight w:val="415"/>
        </w:trPr>
        <w:tc>
          <w:tcPr>
            <w:tcW w:w="43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rFonts w:ascii="Arial" w:eastAsia="Arial" w:hAnsi="Arial" w:cs="Arial"/>
                <w:b/>
                <w:sz w:val="20"/>
                <w:szCs w:val="20"/>
              </w:rPr>
            </w:pPr>
            <w:r>
              <w:rPr>
                <w:b/>
                <w:sz w:val="20"/>
                <w:szCs w:val="20"/>
              </w:rPr>
              <w:t>1</w:t>
            </w:r>
          </w:p>
        </w:tc>
        <w:tc>
          <w:tcPr>
            <w:tcW w:w="2190" w:type="dxa"/>
            <w:vMerge/>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rsidR="009C6A81" w:rsidRDefault="009C6A81">
            <w:pPr>
              <w:widowControl w:val="0"/>
              <w:spacing w:line="276" w:lineRule="auto"/>
              <w:jc w:val="left"/>
              <w:rPr>
                <w:rFonts w:ascii="Arial" w:eastAsia="Arial" w:hAnsi="Arial" w:cs="Arial"/>
                <w:b/>
                <w:sz w:val="20"/>
                <w:szCs w:val="20"/>
              </w:rPr>
            </w:pPr>
          </w:p>
        </w:tc>
        <w:tc>
          <w:tcPr>
            <w:tcW w:w="150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center"/>
              <w:rPr>
                <w:sz w:val="20"/>
                <w:szCs w:val="20"/>
              </w:rPr>
            </w:pPr>
            <w:r>
              <w:rPr>
                <w:sz w:val="20"/>
                <w:szCs w:val="20"/>
              </w:rPr>
              <w:t>400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300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200 per 1000</w:t>
            </w:r>
          </w:p>
        </w:tc>
        <w:tc>
          <w:tcPr>
            <w:tcW w:w="145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center"/>
              <w:rPr>
                <w:sz w:val="20"/>
                <w:szCs w:val="20"/>
              </w:rPr>
            </w:pPr>
            <w:r>
              <w:rPr>
                <w:sz w:val="20"/>
                <w:szCs w:val="20"/>
              </w:rPr>
              <w:t>&lt;200 per 1000</w:t>
            </w:r>
          </w:p>
        </w:tc>
      </w:tr>
    </w:tbl>
    <w:p w:rsidR="009C6A81" w:rsidRDefault="009C6A81"/>
    <w:p w:rsidR="009C6A81" w:rsidRDefault="00ED5651">
      <w:r>
        <w:t>Table 2 Appendix 1: Relative importance assigned to outcomes related to the management of overweight and obesity in adults.</w:t>
      </w:r>
    </w:p>
    <w:p w:rsidR="009C6A81" w:rsidRDefault="009C6A81">
      <w:pPr>
        <w:rPr>
          <w:rFonts w:ascii="IBM Plex Sans" w:eastAsia="IBM Plex Sans" w:hAnsi="IBM Plex Sans" w:cs="IBM Plex Sans"/>
          <w:color w:val="1E2138"/>
          <w:sz w:val="24"/>
          <w:szCs w:val="24"/>
        </w:rPr>
      </w:pPr>
    </w:p>
    <w:tbl>
      <w:tblPr>
        <w:tblStyle w:val="a0"/>
        <w:tblW w:w="8475" w:type="dxa"/>
        <w:tblInd w:w="0" w:type="dxa"/>
        <w:tblLayout w:type="fixed"/>
        <w:tblLook w:val="0600" w:firstRow="0" w:lastRow="0" w:firstColumn="0" w:lastColumn="0" w:noHBand="1" w:noVBand="1"/>
      </w:tblPr>
      <w:tblGrid>
        <w:gridCol w:w="5595"/>
        <w:gridCol w:w="2880"/>
      </w:tblGrid>
      <w:tr w:rsidR="009C6A81">
        <w:trPr>
          <w:trHeight w:val="420"/>
        </w:trPr>
        <w:tc>
          <w:tcPr>
            <w:tcW w:w="559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Outcomes</w:t>
            </w:r>
          </w:p>
        </w:tc>
        <w:tc>
          <w:tcPr>
            <w:tcW w:w="288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Relative importance</w:t>
            </w:r>
          </w:p>
        </w:tc>
      </w:tr>
      <w:tr w:rsidR="009C6A81">
        <w:trPr>
          <w:trHeight w:val="415"/>
        </w:trPr>
        <w:tc>
          <w:tcPr>
            <w:tcW w:w="5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All-cause mortality</w:t>
            </w:r>
          </w:p>
        </w:tc>
        <w:tc>
          <w:tcPr>
            <w:tcW w:w="28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RIO 5</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Live birth</w:t>
            </w:r>
          </w:p>
        </w:tc>
        <w:tc>
          <w:tcPr>
            <w:tcW w:w="28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RIO 5</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Major adverse cardiovascular events</w:t>
            </w:r>
          </w:p>
        </w:tc>
        <w:tc>
          <w:tcPr>
            <w:tcW w:w="28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RIO 4</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Health-related quality of life</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4</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Body weight</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Relevant difference defined by thematic experts as a ≥ 5% change</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lastRenderedPageBreak/>
              <w:t>Clinical pregnancy</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4</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Gestational weight gain</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4</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Self-esteem</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3</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Self-efficacy</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3</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Cesarean delivery</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3</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Body composition</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2</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Treatment adherence</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2</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Healthy nutrition habits</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2</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Cardiovascular risk modification</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2</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Physical activity</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2</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Sedentary behavior</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2</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Comorbidities management</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2</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Change in therapeutic strategy</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2</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Cardiorespiratory fitness</w:t>
            </w:r>
          </w:p>
        </w:tc>
        <w:tc>
          <w:tcPr>
            <w:tcW w:w="288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2</w:t>
            </w:r>
          </w:p>
        </w:tc>
      </w:tr>
    </w:tbl>
    <w:p w:rsidR="009C6A81" w:rsidRDefault="009C6A81"/>
    <w:p w:rsidR="009C6A81" w:rsidRDefault="009C6A81">
      <w:pPr>
        <w:rPr>
          <w:rFonts w:ascii="IBM Plex Sans" w:eastAsia="IBM Plex Sans" w:hAnsi="IBM Plex Sans" w:cs="IBM Plex Sans"/>
          <w:color w:val="1E2138"/>
          <w:sz w:val="24"/>
          <w:szCs w:val="24"/>
        </w:rPr>
      </w:pPr>
    </w:p>
    <w:tbl>
      <w:tblPr>
        <w:tblStyle w:val="a1"/>
        <w:tblW w:w="7950" w:type="dxa"/>
        <w:tblInd w:w="0" w:type="dxa"/>
        <w:tblLayout w:type="fixed"/>
        <w:tblLook w:val="0600" w:firstRow="0" w:lastRow="0" w:firstColumn="0" w:lastColumn="0" w:noHBand="1" w:noVBand="1"/>
      </w:tblPr>
      <w:tblGrid>
        <w:gridCol w:w="5595"/>
        <w:gridCol w:w="2355"/>
      </w:tblGrid>
      <w:tr w:rsidR="009C6A81">
        <w:trPr>
          <w:trHeight w:val="420"/>
        </w:trPr>
        <w:tc>
          <w:tcPr>
            <w:tcW w:w="7950" w:type="dxa"/>
            <w:gridSpan w:val="2"/>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Safety outcomes thresholds</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Serious adverse effects</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RIO 4</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Suicide behavior</w:t>
            </w:r>
          </w:p>
        </w:tc>
        <w:tc>
          <w:tcPr>
            <w:tcW w:w="235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4</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Spontaneus abortion</w:t>
            </w:r>
          </w:p>
        </w:tc>
        <w:tc>
          <w:tcPr>
            <w:tcW w:w="235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4</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Severe gastrointestinal events</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RIO 4</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Severe psychiatric disorders</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RIO 4</w:t>
            </w:r>
          </w:p>
        </w:tc>
      </w:tr>
      <w:tr w:rsidR="009C6A81">
        <w:trPr>
          <w:trHeight w:val="415"/>
        </w:trPr>
        <w:tc>
          <w:tcPr>
            <w:tcW w:w="55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Non severe gastrointestinal events</w:t>
            </w:r>
          </w:p>
        </w:tc>
        <w:tc>
          <w:tcPr>
            <w:tcW w:w="23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RIO 3</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Adverse events (any)</w:t>
            </w:r>
          </w:p>
        </w:tc>
        <w:tc>
          <w:tcPr>
            <w:tcW w:w="235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3</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Unintended consequences</w:t>
            </w:r>
          </w:p>
        </w:tc>
        <w:tc>
          <w:tcPr>
            <w:tcW w:w="235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3</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Type 2 diabetes incidence</w:t>
            </w:r>
          </w:p>
        </w:tc>
        <w:tc>
          <w:tcPr>
            <w:tcW w:w="235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3</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lastRenderedPageBreak/>
              <w:t>Non severe psychiatric disorders</w:t>
            </w:r>
          </w:p>
        </w:tc>
        <w:tc>
          <w:tcPr>
            <w:tcW w:w="235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3</w:t>
            </w:r>
          </w:p>
        </w:tc>
      </w:tr>
      <w:tr w:rsidR="009C6A81">
        <w:trPr>
          <w:trHeight w:val="415"/>
        </w:trPr>
        <w:tc>
          <w:tcPr>
            <w:tcW w:w="55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9C6A81" w:rsidRDefault="00ED5651">
            <w:pPr>
              <w:widowControl w:val="0"/>
              <w:spacing w:line="276" w:lineRule="auto"/>
              <w:jc w:val="left"/>
              <w:rPr>
                <w:rFonts w:ascii="Arial" w:eastAsia="Arial" w:hAnsi="Arial" w:cs="Arial"/>
                <w:sz w:val="20"/>
                <w:szCs w:val="20"/>
              </w:rPr>
            </w:pPr>
            <w:r>
              <w:rPr>
                <w:sz w:val="20"/>
                <w:szCs w:val="20"/>
              </w:rPr>
              <w:t>Gestational diabetes</w:t>
            </w:r>
          </w:p>
        </w:tc>
        <w:tc>
          <w:tcPr>
            <w:tcW w:w="235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RIO 3</w:t>
            </w:r>
          </w:p>
        </w:tc>
      </w:tr>
    </w:tbl>
    <w:p w:rsidR="009C6A81" w:rsidRDefault="009C6A81"/>
    <w:p w:rsidR="009C6A81" w:rsidRDefault="009C6A81"/>
    <w:p w:rsidR="009C6A81" w:rsidRDefault="009C6A81">
      <w:pPr>
        <w:pStyle w:val="Ttulo2"/>
        <w:ind w:hanging="990"/>
      </w:pPr>
      <w:bookmarkStart w:id="6" w:name="_3cqmetx" w:colFirst="0" w:colLast="0"/>
      <w:bookmarkEnd w:id="6"/>
    </w:p>
    <w:p w:rsidR="009C6A81" w:rsidRDefault="009C6A81"/>
    <w:p w:rsidR="009C6A81" w:rsidRDefault="009C6A81">
      <w:pPr>
        <w:pStyle w:val="Ttulo2"/>
        <w:ind w:hanging="990"/>
        <w:sectPr w:rsidR="009C6A81">
          <w:pgSz w:w="12240" w:h="15840"/>
          <w:pgMar w:top="0" w:right="1701" w:bottom="1020" w:left="1701" w:header="709" w:footer="567" w:gutter="0"/>
          <w:cols w:space="720"/>
        </w:sectPr>
      </w:pPr>
      <w:bookmarkStart w:id="7" w:name="_xlwfhzyo8sed" w:colFirst="0" w:colLast="0"/>
      <w:bookmarkEnd w:id="7"/>
    </w:p>
    <w:p w:rsidR="009C6A81" w:rsidRDefault="00ED5651">
      <w:pPr>
        <w:pStyle w:val="Ttulo2"/>
        <w:ind w:hanging="990"/>
      </w:pPr>
      <w:bookmarkStart w:id="8" w:name="_lvzjtj3m2o06" w:colFirst="0" w:colLast="0"/>
      <w:bookmarkEnd w:id="8"/>
      <w:r>
        <w:lastRenderedPageBreak/>
        <w:t xml:space="preserve">Appendix 2. Search strategies. </w:t>
      </w:r>
    </w:p>
    <w:p w:rsidR="009C6A81" w:rsidRDefault="009C6A81">
      <w:pPr>
        <w:pStyle w:val="Ttulo6"/>
        <w:ind w:hanging="990"/>
      </w:pPr>
      <w:bookmarkStart w:id="9" w:name="_4bvk7pj" w:colFirst="0" w:colLast="0"/>
      <w:bookmarkEnd w:id="9"/>
    </w:p>
    <w:p w:rsidR="009C6A81" w:rsidRDefault="00ED5651">
      <w:pPr>
        <w:pStyle w:val="Ttulo6"/>
        <w:ind w:hanging="990"/>
      </w:pPr>
      <w:bookmarkStart w:id="10" w:name="_2r0uhxc" w:colFirst="0" w:colLast="0"/>
      <w:bookmarkEnd w:id="10"/>
      <w:r>
        <w:t xml:space="preserve">Question 1. </w:t>
      </w:r>
    </w:p>
    <w:p w:rsidR="009C6A81" w:rsidRDefault="009C6A81">
      <w:pPr>
        <w:rPr>
          <w:rFonts w:ascii="IBM Plex Sans" w:eastAsia="IBM Plex Sans" w:hAnsi="IBM Plex Sans" w:cs="IBM Plex Sans"/>
          <w:color w:val="1E2138"/>
          <w:sz w:val="24"/>
          <w:szCs w:val="24"/>
        </w:rPr>
      </w:pPr>
    </w:p>
    <w:tbl>
      <w:tblPr>
        <w:tblStyle w:val="a2"/>
        <w:tblW w:w="9375" w:type="dxa"/>
        <w:tblInd w:w="0" w:type="dxa"/>
        <w:tblLayout w:type="fixed"/>
        <w:tblLook w:val="0600" w:firstRow="0" w:lastRow="0" w:firstColumn="0" w:lastColumn="0" w:noHBand="1" w:noVBand="1"/>
      </w:tblPr>
      <w:tblGrid>
        <w:gridCol w:w="1110"/>
        <w:gridCol w:w="2505"/>
        <w:gridCol w:w="5760"/>
      </w:tblGrid>
      <w:tr w:rsidR="009C6A81">
        <w:trPr>
          <w:trHeight w:val="415"/>
        </w:trPr>
        <w:tc>
          <w:tcPr>
            <w:tcW w:w="111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50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7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505" w:type="dxa"/>
            <w:vMerge w:val="restart"/>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line="288" w:lineRule="auto"/>
              <w:ind w:left="141"/>
              <w:jc w:val="left"/>
              <w:rPr>
                <w:sz w:val="20"/>
                <w:szCs w:val="20"/>
              </w:rPr>
            </w:pPr>
            <w:r>
              <w:rPr>
                <w:sz w:val="20"/>
                <w:szCs w:val="20"/>
              </w:rPr>
              <w:t>People at risk</w:t>
            </w:r>
          </w:p>
        </w:tc>
        <w:tc>
          <w:tcPr>
            <w:tcW w:w="5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early*</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505" w:type="dxa"/>
            <w:vMerge/>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shd w:val="clear" w:color="auto" w:fill="FFFFFF"/>
              <w:jc w:val="left"/>
              <w:rPr>
                <w:rFonts w:ascii="IBM Plex Sans" w:eastAsia="IBM Plex Sans" w:hAnsi="IBM Plex Sans" w:cs="IBM Plex Sans"/>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detec* OR program*</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 AND #2</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diagnos*</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 AND #6</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risk* OR healthy* OR asymptomatic* OR "symptom-free" OR symptomless* OR "without symptoms" OR "non-symptomatic" OR "non symptomatic" OR presymptom* OR "pre-symptomatic" OR communit* OR "general population" OR prevent* OR prophyla* OR screen* OR checkup* OR</w:t>
            </w:r>
            <w:r>
              <w:rPr>
                <w:sz w:val="20"/>
                <w:szCs w:val="20"/>
              </w:rPr>
              <w:t xml:space="preserve"> "check-up" OR checkup* OR "health control" OR inspection*</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#3 OR #5 OR #6</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505" w:type="dxa"/>
            <w:vMerge w:val="restart"/>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spacing w:line="276" w:lineRule="auto"/>
              <w:ind w:left="141"/>
              <w:jc w:val="left"/>
              <w:rPr>
                <w:color w:val="1E2138"/>
                <w:sz w:val="20"/>
                <w:szCs w:val="20"/>
              </w:rPr>
            </w:pPr>
          </w:p>
          <w:p w:rsidR="009C6A81" w:rsidRDefault="00ED5651">
            <w:pPr>
              <w:widowControl w:val="0"/>
              <w:spacing w:line="276" w:lineRule="auto"/>
              <w:ind w:left="141"/>
              <w:jc w:val="left"/>
              <w:rPr>
                <w:color w:val="1E2138"/>
                <w:sz w:val="20"/>
                <w:szCs w:val="20"/>
              </w:rPr>
            </w:pPr>
            <w:r>
              <w:rPr>
                <w:color w:val="1E2138"/>
                <w:sz w:val="20"/>
                <w:szCs w:val="20"/>
              </w:rPr>
              <w:t xml:space="preserve">Cardiovascular risk prediction models </w:t>
            </w: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cardiovascular* OR "cardio-vascular" OR cardiac* OR vascular* OR heart* OR atheroscler* OR myocard* OR coronar* OR angi* OR CABG* OR PTCA* OR ischemic* OR infarct*</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"risk prediction" OR "risk calculator" OR "risk estimator" OR "risk model"</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 AND #9</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color w:val="1E2138"/>
                <w:sz w:val="20"/>
                <w:szCs w:val="20"/>
              </w:rPr>
            </w:pPr>
            <w:r>
              <w:rPr>
                <w:color w:val="1E2138"/>
                <w:sz w:val="20"/>
                <w:szCs w:val="20"/>
              </w:rPr>
              <w:t>#11</w:t>
            </w:r>
          </w:p>
        </w:tc>
        <w:tc>
          <w:tcPr>
            <w:tcW w:w="250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color w:val="1E2138"/>
                <w:sz w:val="20"/>
                <w:szCs w:val="20"/>
              </w:rPr>
            </w:pPr>
            <w:r>
              <w:rPr>
                <w:color w:val="1E2138"/>
                <w:sz w:val="20"/>
                <w:szCs w:val="20"/>
              </w:rPr>
              <w:t>Combined terms</w:t>
            </w:r>
          </w:p>
        </w:tc>
        <w:tc>
          <w:tcPr>
            <w:tcW w:w="57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jc w:val="left"/>
              <w:rPr>
                <w:color w:val="1E2138"/>
                <w:sz w:val="20"/>
                <w:szCs w:val="20"/>
              </w:rPr>
            </w:pPr>
            <w:r>
              <w:rPr>
                <w:color w:val="1E2138"/>
                <w:sz w:val="20"/>
                <w:szCs w:val="20"/>
              </w:rPr>
              <w:t>#7 AND #10</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9C6A81">
      <w:pPr>
        <w:pStyle w:val="Ttulo6"/>
        <w:ind w:hanging="990"/>
      </w:pPr>
      <w:bookmarkStart w:id="11" w:name="_a8w1l1k5c76w" w:colFirst="0" w:colLast="0"/>
      <w:bookmarkEnd w:id="11"/>
    </w:p>
    <w:p w:rsidR="009C6A81" w:rsidRDefault="00ED5651">
      <w:pPr>
        <w:pStyle w:val="Ttulo6"/>
        <w:ind w:hanging="990"/>
      </w:pPr>
      <w:bookmarkStart w:id="12" w:name="_ywmkjewfgh6l" w:colFirst="0" w:colLast="0"/>
      <w:bookmarkEnd w:id="12"/>
      <w:r>
        <w:t>Question 2.</w:t>
      </w:r>
    </w:p>
    <w:p w:rsidR="009C6A81" w:rsidRDefault="009C6A81">
      <w:pPr>
        <w:rPr>
          <w:rFonts w:ascii="IBM Plex Sans" w:eastAsia="IBM Plex Sans" w:hAnsi="IBM Plex Sans" w:cs="IBM Plex Sans"/>
          <w:color w:val="1E2138"/>
          <w:sz w:val="24"/>
          <w:szCs w:val="24"/>
        </w:rPr>
      </w:pPr>
    </w:p>
    <w:tbl>
      <w:tblPr>
        <w:tblStyle w:val="a3"/>
        <w:tblW w:w="9375" w:type="dxa"/>
        <w:tblInd w:w="0" w:type="dxa"/>
        <w:tblLayout w:type="fixed"/>
        <w:tblLook w:val="0600" w:firstRow="0" w:lastRow="0" w:firstColumn="0" w:lastColumn="0" w:noHBand="1" w:noVBand="1"/>
      </w:tblPr>
      <w:tblGrid>
        <w:gridCol w:w="1110"/>
        <w:gridCol w:w="2505"/>
        <w:gridCol w:w="5760"/>
      </w:tblGrid>
      <w:tr w:rsidR="009C6A81">
        <w:trPr>
          <w:trHeight w:val="415"/>
        </w:trPr>
        <w:tc>
          <w:tcPr>
            <w:tcW w:w="111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50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7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lastRenderedPageBreak/>
              <w:t>#1</w:t>
            </w:r>
          </w:p>
        </w:tc>
        <w:tc>
          <w:tcPr>
            <w:tcW w:w="2505" w:type="dxa"/>
            <w:vMerge w:val="restart"/>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line="288" w:lineRule="auto"/>
              <w:ind w:left="141"/>
              <w:jc w:val="left"/>
              <w:rPr>
                <w:sz w:val="20"/>
                <w:szCs w:val="20"/>
              </w:rPr>
            </w:pPr>
            <w:r>
              <w:rPr>
                <w:sz w:val="20"/>
                <w:szCs w:val="20"/>
              </w:rPr>
              <w:t>Overweight or obesity</w:t>
            </w: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505" w:type="dxa"/>
            <w:vMerge/>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shd w:val="clear" w:color="auto" w:fill="FFFFFF"/>
              <w:jc w:val="left"/>
              <w:rPr>
                <w:rFonts w:ascii="IBM Plex Sans" w:eastAsia="IBM Plex Sans" w:hAnsi="IBM Plex Sans" w:cs="IBM Plex Sans"/>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adipos* OR "waist-hip" OR "body mass" OR BMI OR weight OR fat</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 OR #3</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 AND #4</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 OR "over weight" OR obes*</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 OR #6</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505" w:type="dxa"/>
            <w:vMerge w:val="restart"/>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color w:val="1E2138"/>
                <w:sz w:val="20"/>
                <w:szCs w:val="20"/>
              </w:rPr>
            </w:pPr>
            <w:r>
              <w:rPr>
                <w:color w:val="1E2138"/>
                <w:sz w:val="20"/>
                <w:szCs w:val="20"/>
              </w:rPr>
              <w:t>Intended pregnancy</w:t>
            </w: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inten* AND pregnan*</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preconception OR preconceptional OR "pre-conception" OR "pre-conceptional" OR "pre conception" OR "pre conceptional" OR pregestational* OR "pre-gestational" OR "pre gestational"</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 OR #9</w:t>
            </w:r>
          </w:p>
        </w:tc>
      </w:tr>
      <w:tr w:rsidR="009C6A81">
        <w:trPr>
          <w:trHeight w:val="415"/>
        </w:trPr>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w:t>
            </w:r>
          </w:p>
        </w:tc>
        <w:tc>
          <w:tcPr>
            <w:tcW w:w="2505"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color w:val="1E2138"/>
                <w:sz w:val="20"/>
                <w:szCs w:val="20"/>
              </w:rPr>
            </w:pPr>
          </w:p>
        </w:tc>
        <w:tc>
          <w:tcPr>
            <w:tcW w:w="57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 AND #10</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13" w:name="_lew6srgmd4po" w:colFirst="0" w:colLast="0"/>
      <w:bookmarkEnd w:id="13"/>
      <w:r>
        <w:t>Question 3.</w:t>
      </w:r>
    </w:p>
    <w:p w:rsidR="009C6A81" w:rsidRDefault="009C6A81">
      <w:pPr>
        <w:rPr>
          <w:rFonts w:ascii="IBM Plex Sans" w:eastAsia="IBM Plex Sans" w:hAnsi="IBM Plex Sans" w:cs="IBM Plex Sans"/>
          <w:color w:val="1E2138"/>
          <w:sz w:val="24"/>
          <w:szCs w:val="24"/>
        </w:rPr>
      </w:pPr>
    </w:p>
    <w:tbl>
      <w:tblPr>
        <w:tblStyle w:val="a4"/>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Multi-/interdisciplinary team care interventions</w:t>
            </w: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multidisciplinar* OR "multi-disciplinary" OR "multi disciplinary" OR multiprofessional* OR "multi-professional" OR "multi professional" OR "different specialists" OR multispecial* OR inte</w:t>
            </w:r>
            <w:r>
              <w:rPr>
                <w:sz w:val="20"/>
                <w:szCs w:val="20"/>
              </w:rPr>
              <w:t>rprofessional* OR "inter-professional" OR "inter professional" OR nterdisciplinar* OR "inter-disciplinary" OR "inter disciplinary"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"team-based"</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team*</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approach* OR comprising OR care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 AND #4</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lastRenderedPageBreak/>
              <w:t>#6</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 OR #5</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Overweight or obesity</w:t>
            </w: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adipos* OR "waist-hip" OR "body mass" OR BMI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 OR #9</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 AND #10</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#12</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overweigh* OR "over weight" OR obes*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#13</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 OR #12</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#14</w:t>
            </w:r>
          </w:p>
        </w:tc>
        <w:tc>
          <w:tcPr>
            <w:tcW w:w="2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Combination of terms</w:t>
            </w: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 AND #6 AND #13</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14" w:name="_awjxct4g2fzg" w:colFirst="0" w:colLast="0"/>
      <w:bookmarkEnd w:id="14"/>
      <w:r>
        <w:t>Question 4.</w:t>
      </w:r>
    </w:p>
    <w:p w:rsidR="009C6A81" w:rsidRDefault="009C6A81">
      <w:pPr>
        <w:rPr>
          <w:rFonts w:ascii="IBM Plex Sans" w:eastAsia="IBM Plex Sans" w:hAnsi="IBM Plex Sans" w:cs="IBM Plex Sans"/>
          <w:color w:val="1E2138"/>
          <w:sz w:val="24"/>
          <w:szCs w:val="24"/>
        </w:rPr>
      </w:pPr>
    </w:p>
    <w:tbl>
      <w:tblPr>
        <w:tblStyle w:val="a5"/>
        <w:tblW w:w="9375" w:type="dxa"/>
        <w:tblInd w:w="0" w:type="dxa"/>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Nutritional care prescribed by a nutrition specialist</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dietician* OR nutritionist* OR dietetic* OR dietitian*</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consult* OR counsel* OR interview* OR advice* OR care*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Overweight or obesity</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weigh* OR fat OR bodyweight* OR "body-weight" OR adipos* OR waist* OR "body mass" OR BMI</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#4 OR #5</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#3 AND #6</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obes* OR overweigh* OR "over weight" OR "pre-obese"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#7 OR #8</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9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Combination of terms</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#1 AND #2 AND #9</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w:t>
            </w:r>
            <w:r>
              <w:rPr>
                <w:rFonts w:ascii="IBM Plex Sans" w:eastAsia="IBM Plex Sans" w:hAnsi="IBM Plex Sans" w:cs="IBM Plex Sans"/>
                <w:b/>
                <w:color w:val="1E2138"/>
                <w:sz w:val="20"/>
                <w:szCs w:val="20"/>
              </w:rPr>
              <w:lastRenderedPageBreak/>
              <w:t xml:space="preserve">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15" w:name="_67z25pbc78h2" w:colFirst="0" w:colLast="0"/>
      <w:bookmarkEnd w:id="15"/>
      <w:r>
        <w:t>Question 5.</w:t>
      </w:r>
    </w:p>
    <w:p w:rsidR="009C6A81" w:rsidRDefault="009C6A81">
      <w:pPr>
        <w:rPr>
          <w:rFonts w:ascii="IBM Plex Sans" w:eastAsia="IBM Plex Sans" w:hAnsi="IBM Plex Sans" w:cs="IBM Plex Sans"/>
          <w:color w:val="1E2138"/>
          <w:sz w:val="24"/>
          <w:szCs w:val="24"/>
        </w:rPr>
      </w:pPr>
    </w:p>
    <w:tbl>
      <w:tblPr>
        <w:tblStyle w:val="a6"/>
        <w:tblW w:w="9375" w:type="dxa"/>
        <w:tblInd w:w="0" w:type="dxa"/>
        <w:tblLayout w:type="fixed"/>
        <w:tblLook w:val="0600" w:firstRow="0" w:lastRow="0" w:firstColumn="0" w:lastColumn="0" w:noHBand="1" w:noVBand="1"/>
      </w:tblPr>
      <w:tblGrid>
        <w:gridCol w:w="1245"/>
        <w:gridCol w:w="2025"/>
        <w:gridCol w:w="6105"/>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02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610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025"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Mesoamerican milpa diet</w:t>
            </w:r>
          </w:p>
        </w:tc>
        <w:tc>
          <w:tcPr>
            <w:tcW w:w="610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diet* OR nutrit* OR eat* OR food* OR feed* OR snack* OR pattern*</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025"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610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milpa* OR mesoamerican* OR "meso-american" OR prehispan* OR "pre-hispanic" OR "traditional mexican" OR tmexd*</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025"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Overweight or obesity</w:t>
            </w:r>
          </w:p>
        </w:tc>
        <w:tc>
          <w:tcPr>
            <w:tcW w:w="610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025"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610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025"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610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weigh* OR fat OR bodyweight* OR "body-weight" OR adipos* OR waist* OR "body mass" OR BMI</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202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sz w:val="20"/>
                <w:szCs w:val="20"/>
              </w:rPr>
            </w:pPr>
          </w:p>
        </w:tc>
        <w:tc>
          <w:tcPr>
            <w:tcW w:w="6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 OR #5</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02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sz w:val="20"/>
                <w:szCs w:val="20"/>
              </w:rPr>
            </w:pPr>
          </w:p>
        </w:tc>
        <w:tc>
          <w:tcPr>
            <w:tcW w:w="6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 AND #6</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025"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sz w:val="20"/>
                <w:szCs w:val="20"/>
              </w:rPr>
            </w:pPr>
          </w:p>
        </w:tc>
        <w:tc>
          <w:tcPr>
            <w:tcW w:w="610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obes* OR overweigh* OR "over weight" OR "pre-obese"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02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sz w:val="20"/>
                <w:szCs w:val="20"/>
              </w:rPr>
            </w:pPr>
          </w:p>
        </w:tc>
        <w:tc>
          <w:tcPr>
            <w:tcW w:w="61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 OR #8</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02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Combination of terms</w:t>
            </w:r>
          </w:p>
        </w:tc>
        <w:tc>
          <w:tcPr>
            <w:tcW w:w="610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#1 AND #2 AND #9</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16" w:name="_r0sm7lfjjnj8" w:colFirst="0" w:colLast="0"/>
      <w:bookmarkEnd w:id="16"/>
      <w:r>
        <w:t>Question 6.</w:t>
      </w:r>
    </w:p>
    <w:p w:rsidR="009C6A81" w:rsidRDefault="009C6A81">
      <w:pPr>
        <w:rPr>
          <w:rFonts w:ascii="IBM Plex Sans" w:eastAsia="IBM Plex Sans" w:hAnsi="IBM Plex Sans" w:cs="IBM Plex Sans"/>
          <w:color w:val="1E2138"/>
          <w:sz w:val="24"/>
          <w:szCs w:val="24"/>
        </w:rPr>
      </w:pPr>
    </w:p>
    <w:tbl>
      <w:tblPr>
        <w:tblStyle w:val="a7"/>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Sedentary lifestyle interventions</w:t>
            </w: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sedentar* OR "sedentary behaviour" OR "sedentary behaviour"</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intervention* OR therap* OR treat* OR administration*</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Overweight or obesity</w:t>
            </w: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adipos* OR "waist-hip" OR "body mass" OR BMI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lastRenderedPageBreak/>
              <w:t>#6</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 OR #5</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 AND #6</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overweigh* OR "over weight" OR obes*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 OR #8</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spacing w:line="276" w:lineRule="auto"/>
              <w:jc w:val="left"/>
              <w:rPr>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 AND #2 AND #9</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17" w:name="_e64pvg5r15ki" w:colFirst="0" w:colLast="0"/>
      <w:bookmarkEnd w:id="17"/>
      <w:r>
        <w:t>Question 7.</w:t>
      </w:r>
    </w:p>
    <w:p w:rsidR="009C6A81" w:rsidRDefault="009C6A81">
      <w:pPr>
        <w:rPr>
          <w:rFonts w:ascii="IBM Plex Sans" w:eastAsia="IBM Plex Sans" w:hAnsi="IBM Plex Sans" w:cs="IBM Plex Sans"/>
          <w:color w:val="1E2138"/>
          <w:sz w:val="24"/>
          <w:szCs w:val="24"/>
        </w:rPr>
      </w:pPr>
    </w:p>
    <w:tbl>
      <w:tblPr>
        <w:tblStyle w:val="a8"/>
        <w:tblW w:w="9375" w:type="dxa"/>
        <w:tblInd w:w="0" w:type="dxa"/>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Exercise interventions</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"Exercise interventions"[EET]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exercis*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intervention* OR measure* OR program* OR strategies* OR strategy* OR prevent* OR promot*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 AND #3</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 OR #4</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weight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loss OR change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Prognostic factors</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"Prognostic factors"[EET]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cases AND controls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incidence* OR "follow-up" OR "follow up" OR prognos* OR predict* OR course* OR risk* OR marker* OR "relationship between" OR "association between" OR "index case" OR "index cases" OR "case-control" OR "case control" OR cohort* OR matched* OR "dose-response</w:t>
            </w:r>
            <w:r>
              <w:rPr>
                <w:sz w:val="20"/>
                <w:szCs w:val="20"/>
              </w:rPr>
              <w:t>" OR "dose response"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#8 OR #9 OR #10</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#12</w:t>
            </w:r>
          </w:p>
        </w:tc>
        <w:tc>
          <w:tcPr>
            <w:tcW w:w="29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Combination of terms</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#5 AND #6 AND #7 AND #11</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lastRenderedPageBreak/>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9C6A81"/>
    <w:p w:rsidR="009C6A81" w:rsidRDefault="00ED5651">
      <w:pPr>
        <w:pStyle w:val="Ttulo6"/>
        <w:ind w:hanging="990"/>
      </w:pPr>
      <w:bookmarkStart w:id="18" w:name="_5ci2ay4ui3i9" w:colFirst="0" w:colLast="0"/>
      <w:bookmarkEnd w:id="18"/>
      <w:r>
        <w:t>Question 8.</w:t>
      </w:r>
    </w:p>
    <w:p w:rsidR="009C6A81" w:rsidRDefault="009C6A81">
      <w:pPr>
        <w:rPr>
          <w:rFonts w:ascii="IBM Plex Sans" w:eastAsia="IBM Plex Sans" w:hAnsi="IBM Plex Sans" w:cs="IBM Plex Sans"/>
          <w:color w:val="1E2138"/>
          <w:sz w:val="24"/>
          <w:szCs w:val="24"/>
        </w:rPr>
      </w:pPr>
    </w:p>
    <w:tbl>
      <w:tblPr>
        <w:tblStyle w:val="a9"/>
        <w:tblW w:w="9375" w:type="dxa"/>
        <w:tblInd w:w="0" w:type="dxa"/>
        <w:tblLayout w:type="fixed"/>
        <w:tblLook w:val="0600" w:firstRow="0" w:lastRow="0" w:firstColumn="0" w:lastColumn="0" w:noHBand="1" w:noVBand="1"/>
      </w:tblPr>
      <w:tblGrid>
        <w:gridCol w:w="1335"/>
        <w:gridCol w:w="1830"/>
        <w:gridCol w:w="6210"/>
      </w:tblGrid>
      <w:tr w:rsidR="009C6A81">
        <w:trPr>
          <w:trHeight w:val="415"/>
        </w:trPr>
        <w:tc>
          <w:tcPr>
            <w:tcW w:w="133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183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621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183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Questionnaires</w:t>
            </w: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"Questionnaires"[EET]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questionnaire* OR checklist* OR "check-list" OR survey*</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 OR #2</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183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Screening</w:t>
            </w: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"Screening"[EET]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early*</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detec* OR program*</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 AND #6</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asymptomatic* OR "symptom-free" OR symptomless* OR "without symptoms" OR "non-symptomatic" OR "non symptomatic" OR presymptom* OR "pre-symptomatic"</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diagnos*</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 AND #9</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screen* OR checkup* OR "check-up" OR checkup* OR "health control" OR inspection*</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#12</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#4 OR #7 OR #10 OR #11</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#13</w:t>
            </w:r>
          </w:p>
        </w:tc>
        <w:tc>
          <w:tcPr>
            <w:tcW w:w="183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Mental health conditions</w:t>
            </w: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"Mental health conditions"[EET]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#14</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mental* OR psychiatr* OR psycholog* OR behavio*</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#15</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#14 AND #30</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#16</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substance*</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#17</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addict* OR dependen* OR disorder* OR misuse OR abuse* OR problematic OR withdrawal</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#18</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#16 AND #17</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lastRenderedPageBreak/>
              <w:t>#19</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drug* AND addict*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#20</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alcohol* OR ethanol* OR drink*</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#21</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addict* OR dependen* OR disorder* OR misuse* OR abuse* OR problem* OR withdrawal* OR binge* OR consequence* OR hazardous* OR risky* OR injur* OR heavy* OR excessive*</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#22</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#20 AND #21</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#23</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posttraumatic* OR "post-traumatic" OR "post traumatic" OR traumatic*</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#24</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stress*</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#25</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#23 AND #24</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#26</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disorder* OR reaction*</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#27</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acute AND stress</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#28</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#26 AND #27</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#29</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cognit* OR memor*</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#30</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disease* OR ill* OR condition* OR disorder* OR syndrome* OR problem* OR disturbance* OR concern* OR impair* OR declin* OR deteriorati* OR complaint* OR loss</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#31</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#29 AND #30</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#32</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organic</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#33</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brain OR mental</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#34</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#32 AND #33</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#35</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progressive* AND aphasia*</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#36</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frontal AND lobe AND dementia</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#37</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pick OR picks</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#38</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disease</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#39</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#37 AND #38</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#40</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vascular OR "post-stroke" OR "post stroke" OR poststroke* OR cerebrovascular*</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#41</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dementia* OR cognitive</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lastRenderedPageBreak/>
              <w:t>#42</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#40 AND #41</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#43</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neurodevelopmental* OR "neuro-developmental"</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#44</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disorder* OR condition* OR disability*</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#45</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#43 AND #44</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#46</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pervasive* AND develop*</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#47</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self* AND harm*</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#48</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self* AND injur*</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#49</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self* AND inflict*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#50</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nonsuicidal* OR "non-suicidal" OR "non-fatal" OR "nonfatal" OR "near-lethal" OR "nearlethal" OR aggression*</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#51</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self*</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#52</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#50 AND #51</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#53</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depressi* OR mood</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#54</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mania* OR manic*</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#55</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#53 AND #54</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#56</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major* OR melancholic* OR primary*</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#57</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depressi*</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#58</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#56 AND #57</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#59</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attentio* OR hyperkine* OR hyperactiv*</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#60</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defici* OR disorder* OR dysfunct* OR problem*</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#61</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#59 AND #60</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#62</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reactive* OR adjustment*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#63</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disorder*</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#64</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#62 AND #63</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#65</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depression* AND reactive*</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#66</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anniversar* AND reaction*</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lastRenderedPageBreak/>
              <w:t>#67</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transient* AND situational* AND disturbance*</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#68</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general* AND anxiety*</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#69</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anxi* AND paroxis*</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#70</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acute AND confusion*</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#71</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personality* AND disord*</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#72</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antisocial* OR asocial* OR dissocial* OR psychopat* OR sociopat*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#73</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personalit*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#74</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#72 AND #73</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#75</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compulsive* OR obsess*</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#76</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personalit*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#77</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#75 AND #76</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#78</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dependent* AND personalit*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#79</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histrionic* AND personalit*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#80</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paranoi* AND personalit*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#81</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passiv* OR aggressive*</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#82</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personalit*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#83</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#81 AND #82</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#84</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schizoid* OR schizotyp*</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#85</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personalit*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#86</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#84 AND #85</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#87</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II OR 2</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#88</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DSM AND axis</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#89</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#87 AND #88</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#90</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negative AND sympto*</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#91</w:t>
            </w:r>
          </w:p>
        </w:tc>
        <w:tc>
          <w:tcPr>
            <w:tcW w:w="183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Mood disorders</w:t>
            </w: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"Mood disorders"[EET]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lastRenderedPageBreak/>
              <w:t>#92</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mood* OR affective*</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#93</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disorder* OR illness*</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#94</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#92 AND #93</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#95</w:t>
            </w:r>
          </w:p>
        </w:tc>
        <w:tc>
          <w:tcPr>
            <w:tcW w:w="183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Anxiety disorders</w:t>
            </w: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"Anxiety disorders"[EET]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#96</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anxi* AND disorder*</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#97</w:t>
            </w:r>
          </w:p>
        </w:tc>
        <w:tc>
          <w:tcPr>
            <w:tcW w:w="183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Eating disorders</w:t>
            </w: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"Eating disorders"[EET]</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#98</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eating* AND disorder*</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#99</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binge* AND eating*</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#100</w:t>
            </w:r>
          </w:p>
        </w:tc>
        <w:tc>
          <w:tcPr>
            <w:tcW w:w="183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Mental health conditions</w:t>
            </w: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tobacco* OR cigar* OR smok* OR smok* OR "mental health" OR obsess* OR compulsi* OR OCD* OR "drug abuse" OR "drugs abuse" OR "drug dependence" OR "drugs dependence" OR "drug problem" OR "drug problems" OR "d</w:t>
            </w:r>
            <w:r>
              <w:rPr>
                <w:sz w:val="20"/>
                <w:szCs w:val="20"/>
              </w:rPr>
              <w:t>rugs problem" OR "drugs problems" OR "drug disorder" OR "drug disorders" OR "dependence disorder" OR "dependence disorders" OR alcoholi* OR "alcohol disorders" OR "alcohol disorder" OR ptsd* OR dement* OR MCI OR BPSD OR institutionali* OR "nursing home" OR</w:t>
            </w:r>
            <w:r>
              <w:rPr>
                <w:sz w:val="20"/>
                <w:szCs w:val="20"/>
              </w:rPr>
              <w:t xml:space="preserve"> "nursing homes" OR "residential care" OR alzheimer* OR ADRD OR lewy* OR dlb OR frontotemporal* OR "fronto-temporal" OR ftld* OR ftd OR bvftd OR "als-ftd" OR "ftd-mnd" OR "multi-infarct" OR multiinfarct* OR "arteriosclerotic dementia" OR autis* OR asperger</w:t>
            </w:r>
            <w:r>
              <w:rPr>
                <w:sz w:val="20"/>
                <w:szCs w:val="20"/>
              </w:rPr>
              <w:t>* OR asd OR asds OR disintegrative* OR suicid* OR parasuicid* OR "self-harm" OR "self-harming" OR "self-harmed" OR "self-harmer" OR "self-harmers" OR "self-injury" OR "self-inflicted" OR "self-cutting" OR attempter* OR ideation* OR nssi* OR dysthymi* OR de</w:t>
            </w:r>
            <w:r>
              <w:rPr>
                <w:sz w:val="20"/>
                <w:szCs w:val="20"/>
              </w:rPr>
              <w:t xml:space="preserve">pressi* OR bipolar OR hypomani* OR "rapid cycling" OR bpad OR "bp-II" OR "bp II" OR bpII OR unipolar* OR mdd OR ADHD OR ADHS OR ADDH OR gad OR panic* OR agoraphobi* OR deliri* OR agitation* OR POCD OR "eating-disorder" OR anorexi* OR anorectic* OR bulimi* </w:t>
            </w:r>
            <w:r>
              <w:rPr>
                <w:sz w:val="20"/>
                <w:szCs w:val="20"/>
              </w:rPr>
              <w:t>OR "binge-eating" OR anorectic* OR anorexi* OR bulimi* OR borderline OR schizo* OR psychosis* OR psychotic* OR psychoses* OR dysthymi* OR depressi* OR "eating-disorder" OR anorexi* OR anorectic* OR bulimi* OR "binge-eating"</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#101</w:t>
            </w:r>
          </w:p>
        </w:tc>
        <w:tc>
          <w:tcPr>
            <w:tcW w:w="183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 xml:space="preserve">#13 OR #15 OR #18 OR #19 OR #22 OR #25 OR #28 OR #31 OR #34 OR #35 OR #36 OR #39 OR #42 OR #45 OR #46 OR #47 OR #48 OR #49 OR #52 OR #94 OR #55 OR #58 OR #61 OR #64 OR #65 OR #66 OR #67 OR #96 OR #68 OR #69 OR #70 OR #98 OR #99 OR #71 OR #74 OR #77 OR #78 </w:t>
            </w:r>
            <w:r>
              <w:rPr>
                <w:sz w:val="20"/>
                <w:szCs w:val="20"/>
              </w:rPr>
              <w:t>OR #79 OR #80 OR #83 OR #86 OR #89 OR #90 OR #91 OR #94 OR #95 OR #96 OR #97 OR #98 OR #99 OR #100</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#102</w:t>
            </w:r>
          </w:p>
        </w:tc>
        <w:tc>
          <w:tcPr>
            <w:tcW w:w="1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Obesity</w:t>
            </w:r>
          </w:p>
        </w:tc>
        <w:tc>
          <w:tcPr>
            <w:tcW w:w="62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obes*</w:t>
            </w:r>
          </w:p>
        </w:tc>
      </w:tr>
      <w:tr w:rsidR="009C6A81">
        <w:trPr>
          <w:trHeight w:val="415"/>
        </w:trPr>
        <w:tc>
          <w:tcPr>
            <w:tcW w:w="13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#103</w:t>
            </w:r>
          </w:p>
        </w:tc>
        <w:tc>
          <w:tcPr>
            <w:tcW w:w="18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 xml:space="preserve">Combination of </w:t>
            </w:r>
            <w:r>
              <w:rPr>
                <w:sz w:val="20"/>
                <w:szCs w:val="20"/>
              </w:rPr>
              <w:lastRenderedPageBreak/>
              <w:t>terms</w:t>
            </w:r>
          </w:p>
        </w:tc>
        <w:tc>
          <w:tcPr>
            <w:tcW w:w="621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lastRenderedPageBreak/>
              <w:t>#3 AND #12 AND #101 AND #102</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19" w:name="_wkw36knyky4s" w:colFirst="0" w:colLast="0"/>
      <w:bookmarkEnd w:id="19"/>
      <w:r>
        <w:t>Question 9.</w:t>
      </w:r>
    </w:p>
    <w:p w:rsidR="009C6A81" w:rsidRDefault="009C6A81">
      <w:pPr>
        <w:rPr>
          <w:rFonts w:ascii="IBM Plex Sans" w:eastAsia="IBM Plex Sans" w:hAnsi="IBM Plex Sans" w:cs="IBM Plex Sans"/>
          <w:color w:val="1E2138"/>
          <w:sz w:val="24"/>
          <w:szCs w:val="24"/>
        </w:rPr>
      </w:pPr>
    </w:p>
    <w:tbl>
      <w:tblPr>
        <w:tblStyle w:val="aa"/>
        <w:tblW w:w="9375" w:type="dxa"/>
        <w:tblInd w:w="0" w:type="dxa"/>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Behavioral interventions</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"Motivational interview"[EET]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motivat*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interview* OR counsel* OR therap* OR consult* OR intervention* OR enhance*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 AND #3</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"Self-care"[EET]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self</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care OR management OR monitoring</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 AND #7</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shared* AND decision*</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decision* OR decide OR choice OR "to inform"</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 OR #10</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#12</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aid* OR support* OR tool* OR instrument* OR intervention* OR material* OR guide OR booklet* OR leaflet* OR interactive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#13</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 AND #12</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#14</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stigma* OR "self-stigma"</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#15</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intervention* OR reduc* OR strateg*</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#16</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#14 AND #15</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#17</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"behavioral"[TITLE]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#18</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"behavioural"[TITLE]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lastRenderedPageBreak/>
              <w:t>#19</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"self-care" OR "self-management" OR "self-monitoring" OR "decision‐support" OR "decision‐aid" OR "decision‐tree" OR "shared decision-making" OR "shared decision making" OR "anti-stigma" OR antistigma*</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#20</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 xml:space="preserve">#1 OR #4 OR #5 OR #8 OR #13 OR #16 OR #17 OR #18 </w:t>
            </w:r>
            <w:r>
              <w:rPr>
                <w:sz w:val="20"/>
                <w:szCs w:val="20"/>
              </w:rPr>
              <w:t>OR #19</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#21</w:t>
            </w:r>
          </w:p>
        </w:tc>
        <w:tc>
          <w:tcPr>
            <w:tcW w:w="2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Obesity</w:t>
            </w: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obes*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#22</w:t>
            </w:r>
          </w:p>
        </w:tc>
        <w:tc>
          <w:tcPr>
            <w:tcW w:w="2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Combination of terms</w:t>
            </w: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#20 AND #21</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bottom"/>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rPr>
          <w:rFonts w:ascii="IBM Plex Sans" w:eastAsia="IBM Plex Sans" w:hAnsi="IBM Plex Sans" w:cs="IBM Plex Sans"/>
          <w:color w:val="1E2138"/>
          <w:sz w:val="24"/>
          <w:szCs w:val="24"/>
        </w:rPr>
      </w:pPr>
      <w:bookmarkStart w:id="20" w:name="_3ydam5zbvoql" w:colFirst="0" w:colLast="0"/>
      <w:bookmarkEnd w:id="20"/>
      <w:r>
        <w:t>Question 10.</w:t>
      </w:r>
    </w:p>
    <w:tbl>
      <w:tblPr>
        <w:tblStyle w:val="ab"/>
        <w:tblW w:w="9525" w:type="dxa"/>
        <w:tblInd w:w="0" w:type="dxa"/>
        <w:tblLayout w:type="fixed"/>
        <w:tblLook w:val="0600" w:firstRow="0" w:lastRow="0" w:firstColumn="0" w:lastColumn="0" w:noHBand="1" w:noVBand="1"/>
      </w:tblPr>
      <w:tblGrid>
        <w:gridCol w:w="1260"/>
        <w:gridCol w:w="2520"/>
        <w:gridCol w:w="5745"/>
      </w:tblGrid>
      <w:tr w:rsidR="009C6A81">
        <w:trPr>
          <w:trHeight w:val="415"/>
        </w:trPr>
        <w:tc>
          <w:tcPr>
            <w:tcW w:w="12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52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7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52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Group care</w:t>
            </w:r>
          </w:p>
        </w:tc>
        <w:tc>
          <w:tcPr>
            <w:tcW w:w="5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"Group care"[EET]</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52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"group"[TITLE]</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52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"group-based" OR "group intervention" OR "group interventions" OR "group format" OR "group therapy"</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52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 OR #2 OR #3</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520"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spacing w:line="276" w:lineRule="auto"/>
              <w:jc w:val="left"/>
              <w:rPr>
                <w:sz w:val="20"/>
                <w:szCs w:val="20"/>
              </w:rPr>
            </w:pPr>
          </w:p>
          <w:p w:rsidR="009C6A81" w:rsidRDefault="00ED5651">
            <w:pPr>
              <w:widowControl w:val="0"/>
              <w:spacing w:line="276" w:lineRule="auto"/>
              <w:jc w:val="left"/>
              <w:rPr>
                <w:sz w:val="20"/>
                <w:szCs w:val="20"/>
              </w:rPr>
            </w:pPr>
            <w:r>
              <w:rPr>
                <w:sz w:val="20"/>
                <w:szCs w:val="20"/>
              </w:rPr>
              <w:t>Overweight or obesity</w:t>
            </w:r>
          </w:p>
        </w:tc>
        <w:tc>
          <w:tcPr>
            <w:tcW w:w="5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"Overweight or obesity"[EET]</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252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52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52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74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weigh* OR fat OR bodyweight* OR "body-weight" OR adipos* OR waist* OR "body mass" OR BMI</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52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 OR #8</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52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 AND #9</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w:t>
            </w:r>
          </w:p>
        </w:tc>
        <w:tc>
          <w:tcPr>
            <w:tcW w:w="252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74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obes* OR overweigh* OR "over weight" OR "pre-obese"</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#12</w:t>
            </w:r>
          </w:p>
        </w:tc>
        <w:tc>
          <w:tcPr>
            <w:tcW w:w="252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745"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#5 OR #10 OR #11</w:t>
            </w:r>
          </w:p>
        </w:tc>
      </w:tr>
      <w:tr w:rsidR="009C6A81">
        <w:trPr>
          <w:trHeight w:val="415"/>
        </w:trPr>
        <w:tc>
          <w:tcPr>
            <w:tcW w:w="12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#13</w:t>
            </w:r>
          </w:p>
        </w:tc>
        <w:tc>
          <w:tcPr>
            <w:tcW w:w="25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Combination of terms</w:t>
            </w:r>
          </w:p>
        </w:tc>
        <w:tc>
          <w:tcPr>
            <w:tcW w:w="5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 AND #12</w:t>
            </w:r>
          </w:p>
        </w:tc>
      </w:tr>
      <w:tr w:rsidR="009C6A81">
        <w:trPr>
          <w:trHeight w:val="415"/>
        </w:trPr>
        <w:tc>
          <w:tcPr>
            <w:tcW w:w="952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rPr>
          <w:rFonts w:ascii="IBM Plex Sans" w:eastAsia="IBM Plex Sans" w:hAnsi="IBM Plex Sans" w:cs="IBM Plex Sans"/>
          <w:color w:val="1E2138"/>
          <w:sz w:val="24"/>
          <w:szCs w:val="24"/>
        </w:rPr>
      </w:pPr>
      <w:bookmarkStart w:id="21" w:name="_bo5ua0z4rdtp" w:colFirst="0" w:colLast="0"/>
      <w:bookmarkEnd w:id="21"/>
      <w:r>
        <w:t>Question 11.</w:t>
      </w:r>
    </w:p>
    <w:tbl>
      <w:tblPr>
        <w:tblStyle w:val="ac"/>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Phentermine</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ight="238"/>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phentermine* OR Adipex OR Duromine* OR Metermine* OR Suprenz* OR Ionamin* OR "α-methyl-amphetamine" OR "α-dimethylphenethylamine"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#2</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Overweight or obesity</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 OR "over weight" OR obes* OR ((excess* OR increas* OR overload*) AND (adipos* OR "waist-hip" OR "body mass" OR BMI OR (skinfold AND thickness)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#3</w:t>
            </w:r>
          </w:p>
        </w:tc>
        <w:tc>
          <w:tcPr>
            <w:tcW w:w="297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Combined terms</w:t>
            </w: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 AND #2</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22" w:name="_kqu9mtgi25ed" w:colFirst="0" w:colLast="0"/>
      <w:bookmarkEnd w:id="22"/>
      <w:r>
        <w:t>Question 12.</w:t>
      </w:r>
    </w:p>
    <w:p w:rsidR="009C6A81" w:rsidRDefault="009C6A81">
      <w:pPr>
        <w:rPr>
          <w:rFonts w:ascii="IBM Plex Sans" w:eastAsia="IBM Plex Sans" w:hAnsi="IBM Plex Sans" w:cs="IBM Plex Sans"/>
          <w:color w:val="1E2138"/>
          <w:sz w:val="24"/>
          <w:szCs w:val="24"/>
        </w:rPr>
      </w:pPr>
    </w:p>
    <w:tbl>
      <w:tblPr>
        <w:tblStyle w:val="ad"/>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Fenproporex</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fenproporex OR femproporex</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#2</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Overweight or obesity</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 OR "over weight" OR obes* OR ((excess* OR increas* OR overload*) AND (adipos* OR "waist-hip" OR "body mass" OR BMI OR (skinfold AND thickness)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#3</w:t>
            </w:r>
          </w:p>
        </w:tc>
        <w:tc>
          <w:tcPr>
            <w:tcW w:w="297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Combined terms</w:t>
            </w: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 AND #2</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23" w:name="_fe3vw53czljl" w:colFirst="0" w:colLast="0"/>
      <w:bookmarkEnd w:id="23"/>
      <w:r>
        <w:t>Question 13.</w:t>
      </w:r>
    </w:p>
    <w:p w:rsidR="009C6A81" w:rsidRDefault="009C6A81"/>
    <w:tbl>
      <w:tblPr>
        <w:tblStyle w:val="ae"/>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Mazindol</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ight="238"/>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mazindol* OR Mazanor* OR Sanorex*</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lastRenderedPageBreak/>
              <w:t>#2</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Overweight or obesity</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 OR "over weight" OR obes* OR ((excess* OR increas* OR overload*) AND (adipos* OR "waist-hip" OR "body mass" OR BMI OR (skinfold AND thickness)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#3</w:t>
            </w:r>
          </w:p>
        </w:tc>
        <w:tc>
          <w:tcPr>
            <w:tcW w:w="297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Combined terms</w:t>
            </w: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 AND #2</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24" w:name="_twjgda49bwu6" w:colFirst="0" w:colLast="0"/>
      <w:bookmarkEnd w:id="24"/>
      <w:r>
        <w:t>Question 14.</w:t>
      </w:r>
    </w:p>
    <w:p w:rsidR="009C6A81" w:rsidRDefault="009C6A81"/>
    <w:tbl>
      <w:tblPr>
        <w:tblStyle w:val="af"/>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Amfepramone</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ight="238"/>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amfepramone* OR diethylpropion* OR diethylcathinon* OR Tenuate* OR Tepanil* OR Nobesine*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#2</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Overweight or obesity</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 OR "over weight" OR obes* OR ((excess* OR increas* OR overload*) AND (adipos* OR "waist-hip" OR "body mass" OR BMI OR (skinfold AND thickness)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#3</w:t>
            </w:r>
          </w:p>
        </w:tc>
        <w:tc>
          <w:tcPr>
            <w:tcW w:w="297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Combined terms</w:t>
            </w: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 AND #2</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25" w:name="_7rkxfj8w4az5" w:colFirst="0" w:colLast="0"/>
      <w:bookmarkEnd w:id="25"/>
      <w:r>
        <w:t>Question 15.</w:t>
      </w:r>
    </w:p>
    <w:p w:rsidR="009C6A81" w:rsidRDefault="009C6A81">
      <w:pPr>
        <w:rPr>
          <w:rFonts w:ascii="IBM Plex Sans" w:eastAsia="IBM Plex Sans" w:hAnsi="IBM Plex Sans" w:cs="IBM Plex Sans"/>
          <w:color w:val="1E2138"/>
          <w:sz w:val="24"/>
          <w:szCs w:val="24"/>
        </w:rPr>
      </w:pPr>
    </w:p>
    <w:tbl>
      <w:tblPr>
        <w:tblStyle w:val="af0"/>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Clobenzorex</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ight="238"/>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clobenzorex* OR Asenlix* OR Dinintel* OR Finedal* OR Rexigen*</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#2</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Overweight or obesity</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 OR "over weight" OR obes* OR ((excess* OR increas* OR overload*) AND (adipos* OR "waist-hip" OR "body mass" OR BMI OR (skinfold AND thickness)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#3</w:t>
            </w:r>
          </w:p>
        </w:tc>
        <w:tc>
          <w:tcPr>
            <w:tcW w:w="297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Combined terms</w:t>
            </w: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 AND #2</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lastRenderedPageBreak/>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26" w:name="_ujaqi5tht2e" w:colFirst="0" w:colLast="0"/>
      <w:bookmarkEnd w:id="26"/>
      <w:r>
        <w:t>Question 16.</w:t>
      </w:r>
    </w:p>
    <w:p w:rsidR="009C6A81" w:rsidRDefault="009C6A81"/>
    <w:tbl>
      <w:tblPr>
        <w:tblStyle w:val="af1"/>
        <w:tblW w:w="9375" w:type="dxa"/>
        <w:tblInd w:w="0" w:type="dxa"/>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9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Liraglutide</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liraglutide* OR Victoza* OR Saxenda*</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970" w:type="dxa"/>
            <w:tcBorders>
              <w:top w:val="single" w:sz="6" w:space="0" w:color="CCCCCC"/>
              <w:left w:val="single" w:sz="6" w:space="0" w:color="CCCCCC"/>
              <w:bottom w:val="single" w:sz="6" w:space="0" w:color="CCCCCC"/>
              <w:right w:val="single" w:sz="6" w:space="0" w:color="CCCCCC"/>
            </w:tcBorders>
            <w:shd w:val="clear" w:color="auto" w:fill="FFFFFF"/>
            <w:tcMar>
              <w:top w:w="40" w:type="dxa"/>
              <w:left w:w="0" w:type="dxa"/>
              <w:bottom w:w="40" w:type="dxa"/>
              <w:right w:w="0" w:type="dxa"/>
            </w:tcMar>
            <w:vAlign w:val="center"/>
          </w:tcPr>
          <w:p w:rsidR="009C6A81" w:rsidRDefault="00ED5651">
            <w:pPr>
              <w:widowControl w:val="0"/>
              <w:spacing w:line="276" w:lineRule="auto"/>
              <w:jc w:val="left"/>
              <w:rPr>
                <w:color w:val="1F1F1F"/>
                <w:sz w:val="20"/>
                <w:szCs w:val="20"/>
              </w:rPr>
            </w:pPr>
            <w:r>
              <w:rPr>
                <w:color w:val="1F1F1F"/>
                <w:sz w:val="20"/>
                <w:szCs w:val="20"/>
              </w:rPr>
              <w:t>Semaglutide</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0" w:type="dxa"/>
              <w:bottom w:w="40" w:type="dxa"/>
              <w:right w:w="0" w:type="dxa"/>
            </w:tcMar>
            <w:vAlign w:val="center"/>
          </w:tcPr>
          <w:p w:rsidR="009C6A81" w:rsidRDefault="00ED5651">
            <w:pPr>
              <w:widowControl w:val="0"/>
              <w:spacing w:line="276" w:lineRule="auto"/>
              <w:jc w:val="left"/>
              <w:rPr>
                <w:color w:val="1F1F1F"/>
                <w:sz w:val="20"/>
                <w:szCs w:val="20"/>
              </w:rPr>
            </w:pPr>
            <w:r>
              <w:rPr>
                <w:color w:val="1F1F1F"/>
                <w:sz w:val="20"/>
                <w:szCs w:val="20"/>
              </w:rPr>
              <w:t>semaglutide* OR Ozempic*</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spacing w:line="276" w:lineRule="auto"/>
              <w:jc w:val="left"/>
              <w:rPr>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 OR #2</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Overweight or obesity</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adipos* OR "waist-hip" OR "body mass" OR BMI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 OR #6</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 AND #7</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 OR "over weight" OR obes*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 OR #9</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w:t>
            </w:r>
          </w:p>
        </w:tc>
        <w:tc>
          <w:tcPr>
            <w:tcW w:w="2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Combination of terms</w:t>
            </w: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 AND #10</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9C6A81"/>
    <w:p w:rsidR="009C6A81" w:rsidRDefault="00ED5651">
      <w:pPr>
        <w:pStyle w:val="Ttulo6"/>
        <w:ind w:hanging="990"/>
      </w:pPr>
      <w:bookmarkStart w:id="27" w:name="_ff9pkbvc5ctl" w:colFirst="0" w:colLast="0"/>
      <w:bookmarkEnd w:id="27"/>
      <w:r>
        <w:t>Question 17.</w:t>
      </w:r>
    </w:p>
    <w:p w:rsidR="009C6A81" w:rsidRDefault="009C6A81">
      <w:pPr>
        <w:rPr>
          <w:rFonts w:ascii="IBM Plex Sans" w:eastAsia="IBM Plex Sans" w:hAnsi="IBM Plex Sans" w:cs="IBM Plex Sans"/>
          <w:color w:val="1E2138"/>
          <w:sz w:val="24"/>
          <w:szCs w:val="24"/>
        </w:rPr>
      </w:pPr>
    </w:p>
    <w:tbl>
      <w:tblPr>
        <w:tblStyle w:val="af2"/>
        <w:tblW w:w="9375" w:type="dxa"/>
        <w:tblInd w:w="0" w:type="dxa"/>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Naltrexone/bupropion</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naltrexone* AND bupropion*</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"naltrexone/bupropion" OR "naltrexone-bupropion" OR "bupropion/naltrexone" OR Contrave* OR Mysimba*</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 OR #2</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lastRenderedPageBreak/>
              <w:t>#4</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Overweight or obesity</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adipos* OR "waist-hip" OR "body mass" OR BMI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 OR #6</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 AND #7</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 OR "over weight" OR obes*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 OR #9</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w:t>
            </w:r>
          </w:p>
        </w:tc>
        <w:tc>
          <w:tcPr>
            <w:tcW w:w="29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Combination of terms</w:t>
            </w: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 AND #10</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28" w:name="_5nxtyeghtkq3" w:colFirst="0" w:colLast="0"/>
      <w:bookmarkEnd w:id="28"/>
      <w:r>
        <w:t>Question 18.</w:t>
      </w:r>
    </w:p>
    <w:p w:rsidR="009C6A81" w:rsidRDefault="009C6A81"/>
    <w:p w:rsidR="009C6A81" w:rsidRDefault="009C6A81">
      <w:pPr>
        <w:rPr>
          <w:rFonts w:ascii="IBM Plex Sans" w:eastAsia="IBM Plex Sans" w:hAnsi="IBM Plex Sans" w:cs="IBM Plex Sans"/>
          <w:color w:val="1E2138"/>
          <w:sz w:val="24"/>
          <w:szCs w:val="24"/>
        </w:rPr>
      </w:pPr>
    </w:p>
    <w:tbl>
      <w:tblPr>
        <w:tblStyle w:val="af3"/>
        <w:tblW w:w="9390" w:type="dxa"/>
        <w:tblInd w:w="0" w:type="dxa"/>
        <w:tblLayout w:type="fixed"/>
        <w:tblLook w:val="0600" w:firstRow="0" w:lastRow="0" w:firstColumn="0" w:lastColumn="0" w:noHBand="1" w:noVBand="1"/>
      </w:tblPr>
      <w:tblGrid>
        <w:gridCol w:w="1275"/>
        <w:gridCol w:w="2685"/>
        <w:gridCol w:w="5430"/>
      </w:tblGrid>
      <w:tr w:rsidR="009C6A81">
        <w:trPr>
          <w:trHeight w:val="415"/>
        </w:trPr>
        <w:tc>
          <w:tcPr>
            <w:tcW w:w="127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68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43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#1</w:t>
            </w:r>
          </w:p>
        </w:tc>
        <w:tc>
          <w:tcPr>
            <w:tcW w:w="2685"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Overweight or obesity</w:t>
            </w: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"Overweight or obesity"[EET]</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#2</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#3</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#4</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weigh* OR fat OR bodyweight* OR "body-weight" OR adipos* OR waist* OR "body mass" OR BMI</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#5</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#3 OR #4</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#6</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#2 AND #5</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#7</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obes* OR overweigh* OR "over weight" OR "pre-obese"</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#8</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#1 OR #6 OR #7</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#9</w:t>
            </w:r>
          </w:p>
        </w:tc>
        <w:tc>
          <w:tcPr>
            <w:tcW w:w="2685" w:type="dxa"/>
            <w:vMerge w:val="restar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Phenotype-directed interventions</w:t>
            </w: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"Phenotype-directed interventions"[EET]</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#10</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phenotype*</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#11</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intervention* OR therap* OR treat* OR administration*</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lastRenderedPageBreak/>
              <w:t>#12</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#10 AND #11</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#13</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rsidR="009C6A81" w:rsidRDefault="00ED5651">
            <w:pPr>
              <w:widowControl w:val="0"/>
              <w:spacing w:line="276" w:lineRule="auto"/>
              <w:jc w:val="left"/>
              <w:rPr>
                <w:sz w:val="20"/>
                <w:szCs w:val="20"/>
              </w:rPr>
            </w:pPr>
            <w:r>
              <w:rPr>
                <w:sz w:val="20"/>
                <w:szCs w:val="20"/>
              </w:rPr>
              <w:t>"phenotype-directed" OR "phenotype-tailored"</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#14</w:t>
            </w:r>
          </w:p>
        </w:tc>
        <w:tc>
          <w:tcPr>
            <w:tcW w:w="2685"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43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rsidR="009C6A81" w:rsidRDefault="00ED5651">
            <w:pPr>
              <w:widowControl w:val="0"/>
              <w:spacing w:line="276" w:lineRule="auto"/>
              <w:jc w:val="left"/>
              <w:rPr>
                <w:sz w:val="20"/>
                <w:szCs w:val="20"/>
              </w:rPr>
            </w:pPr>
            <w:r>
              <w:rPr>
                <w:sz w:val="20"/>
                <w:szCs w:val="20"/>
              </w:rPr>
              <w:t>#9 OR #12 OR #13</w:t>
            </w:r>
          </w:p>
        </w:tc>
      </w:tr>
      <w:tr w:rsidR="009C6A81">
        <w:trPr>
          <w:trHeight w:val="415"/>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#15</w:t>
            </w:r>
          </w:p>
        </w:tc>
        <w:tc>
          <w:tcPr>
            <w:tcW w:w="26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Combination of terms</w:t>
            </w:r>
          </w:p>
        </w:tc>
        <w:tc>
          <w:tcPr>
            <w:tcW w:w="54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9C6A81" w:rsidRDefault="00ED5651">
            <w:pPr>
              <w:widowControl w:val="0"/>
              <w:spacing w:line="276" w:lineRule="auto"/>
              <w:jc w:val="left"/>
              <w:rPr>
                <w:sz w:val="20"/>
                <w:szCs w:val="20"/>
              </w:rPr>
            </w:pPr>
            <w:r>
              <w:rPr>
                <w:sz w:val="20"/>
                <w:szCs w:val="20"/>
              </w:rPr>
              <w:t>#8 AND #14</w:t>
            </w:r>
          </w:p>
        </w:tc>
      </w:tr>
      <w:tr w:rsidR="009C6A81">
        <w:trPr>
          <w:trHeight w:val="415"/>
        </w:trPr>
        <w:tc>
          <w:tcPr>
            <w:tcW w:w="9390"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b/>
                <w:color w:val="1E2138"/>
                <w:sz w:val="20"/>
                <w:szCs w:val="20"/>
              </w:rPr>
            </w:pPr>
            <w:r>
              <w:rPr>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b/>
                <w:color w:val="1E2138"/>
                <w:sz w:val="20"/>
                <w:szCs w:val="20"/>
              </w:rPr>
            </w:pPr>
            <w:r>
              <w:rPr>
                <w:color w:val="1E2138"/>
                <w:sz w:val="20"/>
                <w:szCs w:val="20"/>
              </w:rPr>
              <w:t>*For the sake of clarity we have combined some terms into a broader term.</w:t>
            </w:r>
            <w:r>
              <w:rPr>
                <w:b/>
                <w:color w:val="1E2138"/>
                <w:sz w:val="20"/>
                <w:szCs w:val="20"/>
              </w:rPr>
              <w:t xml:space="preserve"> </w:t>
            </w:r>
          </w:p>
        </w:tc>
      </w:tr>
    </w:tbl>
    <w:p w:rsidR="009C6A81" w:rsidRDefault="009C6A81"/>
    <w:p w:rsidR="009C6A81" w:rsidRDefault="00ED5651">
      <w:pPr>
        <w:pStyle w:val="Ttulo6"/>
        <w:ind w:hanging="990"/>
      </w:pPr>
      <w:bookmarkStart w:id="29" w:name="_tshb628gumnb" w:colFirst="0" w:colLast="0"/>
      <w:bookmarkEnd w:id="29"/>
      <w:r>
        <w:t>Question 19.</w:t>
      </w:r>
    </w:p>
    <w:p w:rsidR="009C6A81" w:rsidRDefault="009C6A81">
      <w:pPr>
        <w:rPr>
          <w:rFonts w:ascii="IBM Plex Sans" w:eastAsia="IBM Plex Sans" w:hAnsi="IBM Plex Sans" w:cs="IBM Plex Sans"/>
          <w:color w:val="1E2138"/>
          <w:sz w:val="24"/>
          <w:szCs w:val="24"/>
        </w:rPr>
      </w:pPr>
    </w:p>
    <w:tbl>
      <w:tblPr>
        <w:tblStyle w:val="af4"/>
        <w:tblW w:w="9375" w:type="dxa"/>
        <w:tblInd w:w="0" w:type="dxa"/>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 xml:space="preserve">Drug Combination </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monotherap* OR polytherapy* OR bitherap*</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 xml:space="preserve">single* OR dual* OR combin* OR double* OR triple* </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#3</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#1 OR #2</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#4</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 xml:space="preserve">intervention* OR therap* OR treatment* OR medic* OR agent* OR preparation* </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#5</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 xml:space="preserve"> "combined treatment" OR "combined therapy"</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#6</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#4 OR #5</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#7</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#3 AND #6</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#8</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Weight loss medications</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liraglutide* OR Victoza* OR Saxenda*</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#9</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semaglutide* OR Ozempic*</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#10</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"naltrexone/bupropion" OR "naltrexone-bupropion" OR "bupropion/naltrexone" OR ( naltrexone* AND bupropion* ) OR Contrave* OR Mysimba*</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orlistat* OR tetrahydrolipstatin* OR Xenical*</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#12</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 xml:space="preserve">#8 OR #9 OR #10 OR #11 </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#13</w:t>
            </w:r>
          </w:p>
        </w:tc>
        <w:tc>
          <w:tcPr>
            <w:tcW w:w="2970" w:type="dxa"/>
            <w:vMerge w:val="restart"/>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Overweight or obesity</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"Overweight or obesity"[EET]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#14</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#15</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lastRenderedPageBreak/>
              <w:t>#16</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adipos* OR "waist-hip" OR "body mass" OR BMI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#17</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#15 OR #16</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#18</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#14 AND #17</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#19</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 OR "over weight" OR obes*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#20</w:t>
            </w:r>
          </w:p>
        </w:tc>
        <w:tc>
          <w:tcPr>
            <w:tcW w:w="2970" w:type="dxa"/>
            <w:vMerge/>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9C6A81">
            <w:pPr>
              <w:widowControl w:val="0"/>
              <w:jc w:val="left"/>
              <w:rPr>
                <w:rFonts w:ascii="Arial" w:eastAsia="Arial" w:hAnsi="Arial" w:cs="Arial"/>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#13 OR #18 OR #19</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#21</w:t>
            </w:r>
          </w:p>
        </w:tc>
        <w:tc>
          <w:tcPr>
            <w:tcW w:w="297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Combination of terms</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#7 AND #12 AND #20</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 w:rsidR="009C6A81" w:rsidRDefault="00ED5651">
      <w:pPr>
        <w:pStyle w:val="Ttulo6"/>
        <w:ind w:hanging="990"/>
      </w:pPr>
      <w:bookmarkStart w:id="30" w:name="_vmj4khrjgls0" w:colFirst="0" w:colLast="0"/>
      <w:bookmarkEnd w:id="30"/>
      <w:r>
        <w:t>Question 20.</w:t>
      </w:r>
    </w:p>
    <w:p w:rsidR="009C6A81" w:rsidRDefault="009C6A81">
      <w:pPr>
        <w:rPr>
          <w:rFonts w:ascii="IBM Plex Sans" w:eastAsia="IBM Plex Sans" w:hAnsi="IBM Plex Sans" w:cs="IBM Plex Sans"/>
          <w:color w:val="1E2138"/>
          <w:sz w:val="24"/>
          <w:szCs w:val="24"/>
        </w:rPr>
      </w:pPr>
    </w:p>
    <w:tbl>
      <w:tblPr>
        <w:tblStyle w:val="af5"/>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5"/>
        <w:gridCol w:w="2970"/>
        <w:gridCol w:w="5160"/>
      </w:tblGrid>
      <w:tr w:rsidR="009C6A81">
        <w:trPr>
          <w:trHeight w:val="415"/>
        </w:trPr>
        <w:tc>
          <w:tcPr>
            <w:tcW w:w="1245"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9C6A81">
            <w:pPr>
              <w:rPr>
                <w:rFonts w:ascii="IBM Plex Sans" w:eastAsia="IBM Plex Sans" w:hAnsi="IBM Plex Sans" w:cs="IBM Plex Sans"/>
                <w:b/>
                <w:color w:val="FFFFFF"/>
              </w:rPr>
            </w:pPr>
          </w:p>
        </w:tc>
        <w:tc>
          <w:tcPr>
            <w:tcW w:w="297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jc w:val="left"/>
              <w:rPr>
                <w:rFonts w:ascii="IBM Plex Sans" w:eastAsia="IBM Plex Sans" w:hAnsi="IBM Plex Sans" w:cs="IBM Plex Sans"/>
                <w:b/>
                <w:color w:val="FFFFFF"/>
              </w:rPr>
            </w:pPr>
            <w:r>
              <w:rPr>
                <w:rFonts w:ascii="IBM Plex Sans" w:eastAsia="IBM Plex Sans" w:hAnsi="IBM Plex Sans" w:cs="IBM Plex Sans"/>
                <w:b/>
                <w:color w:val="FFFFFF"/>
              </w:rPr>
              <w:t>Search term</w:t>
            </w:r>
          </w:p>
        </w:tc>
        <w:tc>
          <w:tcPr>
            <w:tcW w:w="5160" w:type="dxa"/>
            <w:tcBorders>
              <w:top w:val="single" w:sz="8" w:space="0" w:color="CCCCCC"/>
              <w:left w:val="single" w:sz="8" w:space="0" w:color="CCCCCC"/>
              <w:bottom w:val="single" w:sz="8" w:space="0" w:color="CCCCCC"/>
              <w:right w:val="single" w:sz="8" w:space="0" w:color="CCCCCC"/>
            </w:tcBorders>
            <w:shd w:val="clear" w:color="auto" w:fill="1F2136"/>
            <w:tcMar>
              <w:top w:w="100" w:type="dxa"/>
              <w:left w:w="100" w:type="dxa"/>
              <w:bottom w:w="100" w:type="dxa"/>
              <w:right w:w="100" w:type="dxa"/>
            </w:tcMar>
            <w:vAlign w:val="center"/>
          </w:tcPr>
          <w:p w:rsidR="009C6A81" w:rsidRDefault="00ED5651">
            <w:pPr>
              <w:rPr>
                <w:rFonts w:ascii="IBM Plex Sans" w:eastAsia="IBM Plex Sans" w:hAnsi="IBM Plex Sans" w:cs="IBM Plex Sans"/>
                <w:b/>
                <w:color w:val="FFFFFF"/>
              </w:rPr>
            </w:pPr>
            <w:r>
              <w:rPr>
                <w:rFonts w:ascii="IBM Plex Sans" w:eastAsia="IBM Plex Sans" w:hAnsi="IBM Plex Sans" w:cs="IBM Plex Sans"/>
                <w:b/>
                <w:color w:val="FFFFFF"/>
              </w:rPr>
              <w:t>Search strategy</w:t>
            </w:r>
          </w:p>
        </w:tc>
      </w:tr>
      <w:tr w:rsidR="009C6A81">
        <w:trPr>
          <w:trHeight w:val="415"/>
        </w:trPr>
        <w:tc>
          <w:tcPr>
            <w:tcW w:w="1245"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w:t>
            </w:r>
          </w:p>
        </w:tc>
        <w:tc>
          <w:tcPr>
            <w:tcW w:w="297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Metformin</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right="238"/>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metformin* OR Glucophage*</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#2</w:t>
            </w:r>
          </w:p>
        </w:tc>
        <w:tc>
          <w:tcPr>
            <w:tcW w:w="2970" w:type="dxa"/>
            <w:vMerge w:val="restart"/>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SGLT-2 inhibitors</w:t>
            </w: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jc w:val="left"/>
              <w:rPr>
                <w:rFonts w:ascii="IBM Plex Sans" w:eastAsia="IBM Plex Sans" w:hAnsi="IBM Plex Sans" w:cs="IBM Plex Sans"/>
                <w:sz w:val="20"/>
                <w:szCs w:val="20"/>
              </w:rPr>
            </w:pPr>
            <w:r>
              <w:rPr>
                <w:rFonts w:ascii="IBM Plex Sans" w:eastAsia="IBM Plex Sans" w:hAnsi="IBM Plex Sans" w:cs="IBM Plex Sans"/>
                <w:sz w:val="20"/>
                <w:szCs w:val="20"/>
              </w:rPr>
              <w:t xml:space="preserve">"sglt-2" OR sglt2* ))) AND ()) OR </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#3</w:t>
            </w:r>
          </w:p>
        </w:tc>
        <w:tc>
          <w:tcPr>
            <w:tcW w:w="2970" w:type="dxa"/>
            <w:vMerge/>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shd w:val="clear" w:color="auto" w:fill="FFFFFF"/>
              <w:jc w:val="left"/>
              <w:rPr>
                <w:rFonts w:ascii="IBM Plex Sans" w:eastAsia="IBM Plex Sans" w:hAnsi="IBM Plex Sans" w:cs="IBM Plex Sans"/>
                <w:sz w:val="20"/>
                <w:szCs w:val="20"/>
              </w:rPr>
            </w:pPr>
          </w:p>
        </w:tc>
        <w:tc>
          <w:tcPr>
            <w:tcW w:w="5160" w:type="dxa"/>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"sodium/glucose" OR "sodium-glucose" OR "glucose/sodium" OR "glucose-sodium" OR "sodium glucose" OR "glucose sodium”</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#4</w:t>
            </w:r>
          </w:p>
        </w:tc>
        <w:tc>
          <w:tcPr>
            <w:tcW w:w="2970"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#2 OR #3</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#5</w:t>
            </w:r>
          </w:p>
        </w:tc>
        <w:tc>
          <w:tcPr>
            <w:tcW w:w="2970"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sz w:val="20"/>
                <w:szCs w:val="20"/>
              </w:rPr>
              <w:t>cotransport* OR "co-transporter" OR "co transporter</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#6</w:t>
            </w:r>
          </w:p>
        </w:tc>
        <w:tc>
          <w:tcPr>
            <w:tcW w:w="2970"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#4 AND #5</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#7</w:t>
            </w:r>
          </w:p>
        </w:tc>
        <w:tc>
          <w:tcPr>
            <w:tcW w:w="2970"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jc w:val="left"/>
              <w:rPr>
                <w:rFonts w:ascii="IBM Plex Sans" w:eastAsia="IBM Plex Sans" w:hAnsi="IBM Plex Sans" w:cs="IBM Plex Sans"/>
                <w:color w:val="1E2138"/>
                <w:sz w:val="20"/>
                <w:szCs w:val="20"/>
              </w:rPr>
            </w:pPr>
            <w:r>
              <w:rPr>
                <w:rFonts w:ascii="IBM Plex Sans" w:eastAsia="IBM Plex Sans" w:hAnsi="IBM Plex Sans" w:cs="IBM Plex Sans"/>
                <w:sz w:val="20"/>
                <w:szCs w:val="20"/>
              </w:rPr>
              <w:t>inhib* OR block* OR antag* OR anti*</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#8</w:t>
            </w:r>
          </w:p>
        </w:tc>
        <w:tc>
          <w:tcPr>
            <w:tcW w:w="2970"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jc w:val="left"/>
              <w:rPr>
                <w:rFonts w:ascii="IBM Plex Sans" w:eastAsia="IBM Plex Sans" w:hAnsi="IBM Plex Sans" w:cs="IBM Plex Sans"/>
                <w:color w:val="1E2138"/>
                <w:sz w:val="20"/>
                <w:szCs w:val="20"/>
              </w:rPr>
            </w:pPr>
            <w:r>
              <w:rPr>
                <w:rFonts w:ascii="IBM Plex Sans" w:eastAsia="IBM Plex Sans" w:hAnsi="IBM Plex Sans" w:cs="IBM Plex Sans"/>
                <w:sz w:val="20"/>
                <w:szCs w:val="20"/>
              </w:rPr>
              <w:t>"sglt-2i" OR sglt2i* OR "sglt 2i" OR glifozin* OR gliflozin*</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#9</w:t>
            </w:r>
          </w:p>
        </w:tc>
        <w:tc>
          <w:tcPr>
            <w:tcW w:w="2970"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jc w:val="left"/>
              <w:rPr>
                <w:rFonts w:ascii="IBM Plex Sans" w:eastAsia="IBM Plex Sans" w:hAnsi="IBM Plex Sans" w:cs="IBM Plex Sans"/>
                <w:sz w:val="20"/>
                <w:szCs w:val="20"/>
              </w:rPr>
            </w:pPr>
            <w:r>
              <w:rPr>
                <w:rFonts w:ascii="IBM Plex Sans" w:eastAsia="IBM Plex Sans" w:hAnsi="IBM Plex Sans" w:cs="IBM Plex Sans"/>
                <w:sz w:val="20"/>
                <w:szCs w:val="20"/>
              </w:rPr>
              <w:t>#7 OR #8</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#10</w:t>
            </w:r>
          </w:p>
        </w:tc>
        <w:tc>
          <w:tcPr>
            <w:tcW w:w="2970" w:type="dxa"/>
            <w:vMerge/>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jc w:val="left"/>
              <w:rPr>
                <w:rFonts w:ascii="IBM Plex Sans" w:eastAsia="IBM Plex Sans" w:hAnsi="IBM Plex Sans" w:cs="IBM Plex Sans"/>
                <w:color w:val="1E2138"/>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jc w:val="left"/>
              <w:rPr>
                <w:rFonts w:ascii="IBM Plex Sans" w:eastAsia="IBM Plex Sans" w:hAnsi="IBM Plex Sans" w:cs="IBM Plex Sans"/>
                <w:sz w:val="20"/>
                <w:szCs w:val="20"/>
              </w:rPr>
            </w:pPr>
            <w:r>
              <w:rPr>
                <w:rFonts w:ascii="IBM Plex Sans" w:eastAsia="IBM Plex Sans" w:hAnsi="IBM Plex Sans" w:cs="IBM Plex Sans"/>
                <w:sz w:val="20"/>
                <w:szCs w:val="20"/>
              </w:rPr>
              <w:t>#6 AND #9</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#11</w:t>
            </w:r>
          </w:p>
        </w:tc>
        <w:tc>
          <w:tcPr>
            <w:tcW w:w="2970" w:type="dxa"/>
            <w:vMerge w:val="restart"/>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ind w:left="141"/>
              <w:jc w:val="left"/>
              <w:rPr>
                <w:rFonts w:ascii="IBM Plex Sans" w:eastAsia="IBM Plex Sans" w:hAnsi="IBM Plex Sans" w:cs="IBM Plex Sans"/>
                <w:sz w:val="20"/>
                <w:szCs w:val="20"/>
              </w:rPr>
            </w:pPr>
            <w:r>
              <w:rPr>
                <w:rFonts w:ascii="IBM Plex Sans" w:eastAsia="IBM Plex Sans" w:hAnsi="IBM Plex Sans" w:cs="IBM Plex Sans"/>
                <w:sz w:val="20"/>
                <w:szCs w:val="20"/>
              </w:rPr>
              <w:t>Overweight or obesity</w:t>
            </w: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excess* OR increas* OR overload*</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#12</w:t>
            </w:r>
          </w:p>
        </w:tc>
        <w:tc>
          <w:tcPr>
            <w:tcW w:w="2970" w:type="dxa"/>
            <w:vMerge/>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shd w:val="clear" w:color="auto" w:fill="FFFFFF"/>
              <w:jc w:val="left"/>
              <w:rPr>
                <w:rFonts w:ascii="IBM Plex Sans" w:eastAsia="IBM Plex Sans" w:hAnsi="IBM Plex Sans" w:cs="IBM Plex Sans"/>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skinfold AND thickness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lastRenderedPageBreak/>
              <w:t>#13</w:t>
            </w:r>
          </w:p>
        </w:tc>
        <w:tc>
          <w:tcPr>
            <w:tcW w:w="2970" w:type="dxa"/>
            <w:vMerge/>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shd w:val="clear" w:color="auto" w:fill="FFFFFF"/>
              <w:jc w:val="left"/>
              <w:rPr>
                <w:rFonts w:ascii="IBM Plex Sans" w:eastAsia="IBM Plex Sans" w:hAnsi="IBM Plex Sans" w:cs="IBM Plex Sans"/>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adipos* OR "waist-hip" OR "body mass" OR BMI OR weight OR fat</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#14</w:t>
            </w:r>
          </w:p>
        </w:tc>
        <w:tc>
          <w:tcPr>
            <w:tcW w:w="2970" w:type="dxa"/>
            <w:vMerge/>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shd w:val="clear" w:color="auto" w:fill="FFFFFF"/>
              <w:jc w:val="left"/>
              <w:rPr>
                <w:rFonts w:ascii="IBM Plex Sans" w:eastAsia="IBM Plex Sans" w:hAnsi="IBM Plex Sans" w:cs="IBM Plex Sans"/>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#12 OR #13</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#15</w:t>
            </w:r>
          </w:p>
        </w:tc>
        <w:tc>
          <w:tcPr>
            <w:tcW w:w="2970" w:type="dxa"/>
            <w:vMerge/>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shd w:val="clear" w:color="auto" w:fill="FFFFFF"/>
              <w:jc w:val="left"/>
              <w:rPr>
                <w:rFonts w:ascii="IBM Plex Sans" w:eastAsia="IBM Plex Sans" w:hAnsi="IBM Plex Sans" w:cs="IBM Plex Sans"/>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#11 AND #14</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#16</w:t>
            </w:r>
          </w:p>
        </w:tc>
        <w:tc>
          <w:tcPr>
            <w:tcW w:w="2970" w:type="dxa"/>
            <w:vMerge/>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shd w:val="clear" w:color="auto" w:fill="FFFFFF"/>
              <w:jc w:val="left"/>
              <w:rPr>
                <w:rFonts w:ascii="IBM Plex Sans" w:eastAsia="IBM Plex Sans" w:hAnsi="IBM Plex Sans" w:cs="IBM Plex Sans"/>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center"/>
          </w:tcPr>
          <w:p w:rsidR="009C6A81" w:rsidRDefault="00ED5651">
            <w:pPr>
              <w:widowControl w:val="0"/>
              <w:spacing w:line="276" w:lineRule="auto"/>
              <w:jc w:val="left"/>
              <w:rPr>
                <w:sz w:val="20"/>
                <w:szCs w:val="20"/>
              </w:rPr>
            </w:pPr>
            <w:r>
              <w:rPr>
                <w:sz w:val="20"/>
                <w:szCs w:val="20"/>
              </w:rPr>
              <w:t>overweigh* OR "over weight" OR obes*</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#17</w:t>
            </w:r>
          </w:p>
        </w:tc>
        <w:tc>
          <w:tcPr>
            <w:tcW w:w="2970" w:type="dxa"/>
            <w:vMerge/>
            <w:tcBorders>
              <w:top w:val="single" w:sz="8"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9C6A81">
            <w:pPr>
              <w:widowControl w:val="0"/>
              <w:shd w:val="clear" w:color="auto" w:fill="FFFFFF"/>
              <w:jc w:val="left"/>
              <w:rPr>
                <w:rFonts w:ascii="IBM Plex Sans" w:eastAsia="IBM Plex Sans" w:hAnsi="IBM Plex Sans" w:cs="IBM Plex Sans"/>
                <w:sz w:val="20"/>
                <w:szCs w:val="20"/>
              </w:rPr>
            </w:pPr>
          </w:p>
        </w:tc>
        <w:tc>
          <w:tcPr>
            <w:tcW w:w="5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9C6A81" w:rsidRDefault="00ED5651">
            <w:pPr>
              <w:widowControl w:val="0"/>
              <w:spacing w:line="276" w:lineRule="auto"/>
              <w:jc w:val="left"/>
              <w:rPr>
                <w:sz w:val="20"/>
                <w:szCs w:val="20"/>
              </w:rPr>
            </w:pPr>
            <w:r>
              <w:rPr>
                <w:sz w:val="20"/>
                <w:szCs w:val="20"/>
              </w:rPr>
              <w:t>#15 OR #16</w:t>
            </w:r>
          </w:p>
        </w:tc>
      </w:tr>
      <w:tr w:rsidR="009C6A81">
        <w:trPr>
          <w:trHeight w:val="415"/>
        </w:trPr>
        <w:tc>
          <w:tcPr>
            <w:tcW w:w="1245"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ind w:left="141"/>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#18</w:t>
            </w:r>
          </w:p>
        </w:tc>
        <w:tc>
          <w:tcPr>
            <w:tcW w:w="297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jc w:val="left"/>
              <w:rPr>
                <w:rFonts w:ascii="IBM Plex Sans" w:eastAsia="IBM Plex Sans" w:hAnsi="IBM Plex Sans" w:cs="IBM Plex Sans"/>
                <w:color w:val="1E2138"/>
                <w:sz w:val="20"/>
                <w:szCs w:val="20"/>
              </w:rPr>
            </w:pPr>
            <w:r>
              <w:rPr>
                <w:rFonts w:ascii="IBM Plex Sans" w:eastAsia="IBM Plex Sans" w:hAnsi="IBM Plex Sans" w:cs="IBM Plex Sans"/>
                <w:color w:val="1E2138"/>
                <w:sz w:val="20"/>
                <w:szCs w:val="20"/>
              </w:rPr>
              <w:t>Combination of terms</w:t>
            </w:r>
          </w:p>
        </w:tc>
        <w:tc>
          <w:tcPr>
            <w:tcW w:w="5160" w:type="dxa"/>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hd w:val="clear" w:color="auto" w:fill="FFFFFF"/>
              <w:spacing w:after="80" w:line="288" w:lineRule="auto"/>
              <w:jc w:val="left"/>
              <w:rPr>
                <w:rFonts w:ascii="IBM Plex Sans" w:eastAsia="IBM Plex Sans" w:hAnsi="IBM Plex Sans" w:cs="IBM Plex Sans"/>
                <w:sz w:val="20"/>
                <w:szCs w:val="20"/>
              </w:rPr>
            </w:pPr>
            <w:r>
              <w:rPr>
                <w:rFonts w:ascii="IBM Plex Sans" w:eastAsia="IBM Plex Sans" w:hAnsi="IBM Plex Sans" w:cs="IBM Plex Sans"/>
                <w:sz w:val="20"/>
                <w:szCs w:val="20"/>
              </w:rPr>
              <w:t>#1 AND #10 AND#17</w:t>
            </w:r>
          </w:p>
        </w:tc>
      </w:tr>
      <w:tr w:rsidR="009C6A81">
        <w:trPr>
          <w:trHeight w:val="415"/>
        </w:trPr>
        <w:tc>
          <w:tcPr>
            <w:tcW w:w="9375" w:type="dxa"/>
            <w:gridSpan w:val="3"/>
            <w:tcBorders>
              <w:top w:val="single" w:sz="6" w:space="0" w:color="CCCCCC"/>
              <w:left w:val="single" w:sz="6" w:space="0" w:color="CCCCCC"/>
              <w:bottom w:val="single" w:sz="6" w:space="0" w:color="CCCCCC"/>
              <w:right w:val="single" w:sz="6" w:space="0" w:color="CCCCCC"/>
            </w:tcBorders>
            <w:tcMar>
              <w:top w:w="20" w:type="dxa"/>
              <w:left w:w="20" w:type="dxa"/>
              <w:bottom w:w="100" w:type="dxa"/>
              <w:right w:w="20" w:type="dxa"/>
            </w:tcMar>
            <w:vAlign w:val="center"/>
          </w:tcPr>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b/>
                <w:color w:val="1E2138"/>
                <w:sz w:val="20"/>
                <w:szCs w:val="20"/>
              </w:rPr>
              <w:t xml:space="preserve">Strategies of the individual components* of the search strategy (top level term and ‘sub-terms’ of Epistemonikos Evidence taxonomy [EET]) </w:t>
            </w:r>
          </w:p>
          <w:p w:rsidR="009C6A81" w:rsidRDefault="00ED5651">
            <w:pPr>
              <w:widowControl w:val="0"/>
              <w:spacing w:line="276" w:lineRule="auto"/>
              <w:rPr>
                <w:rFonts w:ascii="IBM Plex Sans" w:eastAsia="IBM Plex Sans" w:hAnsi="IBM Plex Sans" w:cs="IBM Plex Sans"/>
                <w:b/>
                <w:color w:val="1E2138"/>
                <w:sz w:val="20"/>
                <w:szCs w:val="20"/>
              </w:rPr>
            </w:pPr>
            <w:r>
              <w:rPr>
                <w:rFonts w:ascii="IBM Plex Sans" w:eastAsia="IBM Plex Sans" w:hAnsi="IBM Plex Sans" w:cs="IBM Plex Sans"/>
                <w:color w:val="1E2138"/>
                <w:sz w:val="20"/>
                <w:szCs w:val="20"/>
              </w:rPr>
              <w:t>*For the sake of clarity we have combined some terms into a broader term.</w:t>
            </w:r>
            <w:r>
              <w:rPr>
                <w:rFonts w:ascii="IBM Plex Sans" w:eastAsia="IBM Plex Sans" w:hAnsi="IBM Plex Sans" w:cs="IBM Plex Sans"/>
                <w:b/>
                <w:color w:val="1E2138"/>
                <w:sz w:val="20"/>
                <w:szCs w:val="20"/>
              </w:rPr>
              <w:t xml:space="preserve"> </w:t>
            </w:r>
          </w:p>
        </w:tc>
      </w:tr>
    </w:tbl>
    <w:p w:rsidR="009C6A81" w:rsidRDefault="009C6A81">
      <w:pPr>
        <w:pStyle w:val="Ttulo1"/>
        <w:ind w:left="-992"/>
      </w:pPr>
      <w:bookmarkStart w:id="31" w:name="_i0ymwip6fmjq" w:colFirst="0" w:colLast="0"/>
      <w:bookmarkEnd w:id="31"/>
    </w:p>
    <w:p w:rsidR="009C6A81" w:rsidRDefault="009C6A81">
      <w:pPr>
        <w:pStyle w:val="Ttulo2"/>
        <w:ind w:hanging="990"/>
        <w:sectPr w:rsidR="009C6A81">
          <w:pgSz w:w="12240" w:h="15840"/>
          <w:pgMar w:top="0" w:right="1701" w:bottom="1020" w:left="1701" w:header="709" w:footer="567" w:gutter="0"/>
          <w:cols w:space="720"/>
        </w:sectPr>
      </w:pPr>
      <w:bookmarkStart w:id="32" w:name="_f07sc951ix2f" w:colFirst="0" w:colLast="0"/>
      <w:bookmarkEnd w:id="32"/>
    </w:p>
    <w:p w:rsidR="009C6A81" w:rsidRDefault="00ED5651">
      <w:pPr>
        <w:pStyle w:val="Ttulo2"/>
        <w:ind w:hanging="990"/>
      </w:pPr>
      <w:bookmarkStart w:id="33" w:name="_1gf8i83" w:colFirst="0" w:colLast="0"/>
      <w:bookmarkEnd w:id="33"/>
      <w:r>
        <w:lastRenderedPageBreak/>
        <w:t>Appendix 3. Summary of Findings tables and Evidence to Decision tables.</w:t>
      </w:r>
    </w:p>
    <w:p w:rsidR="009C6A81" w:rsidRDefault="009C6A81">
      <w:pPr>
        <w:pStyle w:val="Ttulo4"/>
      </w:pPr>
      <w:bookmarkStart w:id="34" w:name="_upglbi" w:colFirst="0" w:colLast="0"/>
      <w:bookmarkEnd w:id="34"/>
    </w:p>
    <w:p w:rsidR="009C6A81" w:rsidRDefault="00ED5651">
      <w:pPr>
        <w:pStyle w:val="Ttulo6"/>
        <w:ind w:hanging="990"/>
      </w:pPr>
      <w:bookmarkStart w:id="35" w:name="_3ep43zb" w:colFirst="0" w:colLast="0"/>
      <w:bookmarkEnd w:id="35"/>
      <w:r>
        <w:t>Question 1. In adults aged 18 years or older with overweight or obesity, should cardiovascular risk scoring scales be used in primary care compared to not using them?</w:t>
      </w:r>
    </w:p>
    <w:p w:rsidR="009C6A81" w:rsidRDefault="009C6A81"/>
    <w:p w:rsidR="009C6A81" w:rsidRDefault="00ED5651">
      <w:pPr>
        <w:ind w:left="-990"/>
      </w:pPr>
      <w:r>
        <w:t>Table. Summary of findings for the effects of cardiovascular risk scores.</w:t>
      </w:r>
    </w:p>
    <w:p w:rsidR="009C6A81" w:rsidRDefault="009C6A81">
      <w:pPr>
        <w:jc w:val="left"/>
        <w:rPr>
          <w:rFonts w:ascii="Times New Roman" w:eastAsia="Times New Roman" w:hAnsi="Times New Roman" w:cs="Times New Roman"/>
          <w:color w:val="1E2138"/>
          <w:sz w:val="20"/>
          <w:szCs w:val="20"/>
        </w:rPr>
      </w:pPr>
    </w:p>
    <w:p w:rsidR="009C6A81" w:rsidRDefault="00ED5651">
      <w:pPr>
        <w:jc w:val="left"/>
        <w:rPr>
          <w:rFonts w:ascii="Times New Roman" w:eastAsia="Times New Roman" w:hAnsi="Times New Roman" w:cs="Times New Roman"/>
          <w:color w:val="1E2138"/>
          <w:sz w:val="20"/>
          <w:szCs w:val="20"/>
        </w:rPr>
      </w:pPr>
      <w:r>
        <w:rPr>
          <w:rFonts w:ascii="Times New Roman" w:eastAsia="Times New Roman" w:hAnsi="Times New Roman" w:cs="Times New Roman"/>
          <w:color w:val="1E2138"/>
          <w:sz w:val="20"/>
          <w:szCs w:val="20"/>
        </w:rPr>
        <w:t xml:space="preserve"> </w:t>
      </w:r>
    </w:p>
    <w:tbl>
      <w:tblPr>
        <w:tblStyle w:val="af6"/>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0"/>
        <w:gridCol w:w="2070"/>
        <w:gridCol w:w="1500"/>
        <w:gridCol w:w="1485"/>
        <w:gridCol w:w="1080"/>
        <w:gridCol w:w="1200"/>
      </w:tblGrid>
      <w:tr w:rsidR="009C6A81">
        <w:trPr>
          <w:trHeight w:val="435"/>
        </w:trPr>
        <w:tc>
          <w:tcPr>
            <w:tcW w:w="1500"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pBdr>
                <w:top w:val="nil"/>
                <w:left w:val="nil"/>
                <w:bottom w:val="nil"/>
                <w:right w:val="nil"/>
                <w:between w:val="nil"/>
              </w:pBdr>
              <w:jc w:val="center"/>
              <w:rPr>
                <w:b/>
                <w:color w:val="FFFFFF"/>
                <w:sz w:val="16"/>
                <w:szCs w:val="16"/>
              </w:rPr>
            </w:pPr>
            <w:r>
              <w:rPr>
                <w:b/>
                <w:color w:val="FFFFFF"/>
                <w:sz w:val="16"/>
                <w:szCs w:val="16"/>
              </w:rPr>
              <w:t>Outcomes</w:t>
            </w:r>
          </w:p>
        </w:tc>
        <w:tc>
          <w:tcPr>
            <w:tcW w:w="207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pBdr>
                <w:top w:val="nil"/>
                <w:left w:val="nil"/>
                <w:bottom w:val="nil"/>
                <w:right w:val="nil"/>
                <w:between w:val="nil"/>
              </w:pBdr>
              <w:jc w:val="center"/>
              <w:rPr>
                <w:b/>
                <w:color w:val="FFFFFF"/>
                <w:sz w:val="16"/>
                <w:szCs w:val="16"/>
              </w:rPr>
            </w:pPr>
            <w:r>
              <w:rPr>
                <w:b/>
                <w:color w:val="FFFFFF"/>
                <w:sz w:val="16"/>
                <w:szCs w:val="16"/>
              </w:rPr>
              <w:t>Key messages</w:t>
            </w:r>
          </w:p>
        </w:tc>
        <w:tc>
          <w:tcPr>
            <w:tcW w:w="2985"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pBdr>
                <w:top w:val="nil"/>
                <w:left w:val="nil"/>
                <w:bottom w:val="nil"/>
                <w:right w:val="nil"/>
                <w:between w:val="nil"/>
              </w:pBdr>
              <w:jc w:val="center"/>
              <w:rPr>
                <w:b/>
                <w:color w:val="FFFFFF"/>
                <w:sz w:val="16"/>
                <w:szCs w:val="16"/>
              </w:rPr>
            </w:pPr>
            <w:r>
              <w:rPr>
                <w:b/>
                <w:color w:val="FFFFFF"/>
                <w:sz w:val="16"/>
                <w:szCs w:val="16"/>
              </w:rPr>
              <w:t>Absolute effect</w:t>
            </w:r>
          </w:p>
        </w:tc>
        <w:tc>
          <w:tcPr>
            <w:tcW w:w="108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pBdr>
                <w:top w:val="nil"/>
                <w:left w:val="nil"/>
                <w:bottom w:val="nil"/>
                <w:right w:val="nil"/>
                <w:between w:val="nil"/>
              </w:pBdr>
              <w:jc w:val="center"/>
              <w:rPr>
                <w:b/>
                <w:color w:val="FFFFFF"/>
                <w:sz w:val="16"/>
                <w:szCs w:val="16"/>
              </w:rPr>
            </w:pPr>
            <w:r>
              <w:rPr>
                <w:b/>
                <w:color w:val="FFFFFF"/>
                <w:sz w:val="16"/>
                <w:szCs w:val="16"/>
              </w:rPr>
              <w:t>Relative effect  95%CI)</w:t>
            </w:r>
          </w:p>
        </w:tc>
        <w:tc>
          <w:tcPr>
            <w:tcW w:w="120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pBdr>
                <w:top w:val="nil"/>
                <w:left w:val="nil"/>
                <w:bottom w:val="nil"/>
                <w:right w:val="nil"/>
                <w:between w:val="nil"/>
              </w:pBdr>
              <w:jc w:val="center"/>
              <w:rPr>
                <w:b/>
                <w:color w:val="FFFFFF"/>
                <w:sz w:val="16"/>
                <w:szCs w:val="16"/>
              </w:rPr>
            </w:pPr>
            <w:r>
              <w:rPr>
                <w:b/>
                <w:color w:val="FFFFFF"/>
                <w:sz w:val="16"/>
                <w:szCs w:val="16"/>
              </w:rPr>
              <w:t>Certainty of the evidence (GRADE)</w:t>
            </w:r>
          </w:p>
        </w:tc>
      </w:tr>
      <w:tr w:rsidR="009C6A81">
        <w:trPr>
          <w:trHeight w:val="975"/>
        </w:trPr>
        <w:tc>
          <w:tcPr>
            <w:tcW w:w="1500"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07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1500"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pBdr>
                <w:top w:val="nil"/>
                <w:left w:val="nil"/>
                <w:bottom w:val="nil"/>
                <w:right w:val="nil"/>
                <w:between w:val="nil"/>
              </w:pBdr>
              <w:jc w:val="center"/>
              <w:rPr>
                <w:b/>
                <w:color w:val="FFFFFF"/>
                <w:sz w:val="16"/>
                <w:szCs w:val="16"/>
              </w:rPr>
            </w:pPr>
            <w:r>
              <w:rPr>
                <w:b/>
                <w:color w:val="FFFFFF"/>
                <w:sz w:val="16"/>
                <w:szCs w:val="16"/>
              </w:rPr>
              <w:t>Without not using cardiovascular risk scores</w:t>
            </w:r>
          </w:p>
        </w:tc>
        <w:tc>
          <w:tcPr>
            <w:tcW w:w="148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pBdr>
                <w:top w:val="nil"/>
                <w:left w:val="nil"/>
                <w:bottom w:val="nil"/>
                <w:right w:val="nil"/>
                <w:between w:val="nil"/>
              </w:pBdr>
              <w:jc w:val="center"/>
              <w:rPr>
                <w:b/>
                <w:color w:val="FFFFFF"/>
                <w:sz w:val="16"/>
                <w:szCs w:val="16"/>
              </w:rPr>
            </w:pPr>
            <w:r>
              <w:rPr>
                <w:b/>
                <w:color w:val="FFFFFF"/>
                <w:sz w:val="16"/>
                <w:szCs w:val="16"/>
              </w:rPr>
              <w:t>With cardiovascular risk scores</w:t>
            </w:r>
          </w:p>
        </w:tc>
        <w:tc>
          <w:tcPr>
            <w:tcW w:w="108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120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r>
      <w:tr w:rsidR="009C6A81">
        <w:trPr>
          <w:trHeight w:val="1875"/>
        </w:trPr>
        <w:tc>
          <w:tcPr>
            <w:tcW w:w="15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1E2138"/>
                <w:sz w:val="16"/>
                <w:szCs w:val="16"/>
              </w:rPr>
            </w:pPr>
            <w:r>
              <w:rPr>
                <w:b/>
                <w:color w:val="1E2138"/>
                <w:sz w:val="16"/>
                <w:szCs w:val="16"/>
              </w:rPr>
              <w:t>Major cardiovascular events</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6"/>
                <w:szCs w:val="16"/>
              </w:rPr>
            </w:pPr>
            <w:r>
              <w:rPr>
                <w:color w:val="1E2138"/>
                <w:sz w:val="16"/>
                <w:szCs w:val="16"/>
              </w:rPr>
              <w:t>The use of scales to assess cardiovascular risk in primary care may result in little to no difference in the incidence of major cardiovascular events, but the evidence is very uncertain.</w:t>
            </w:r>
          </w:p>
        </w:tc>
        <w:tc>
          <w:tcPr>
            <w:tcW w:w="2985"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6"/>
                <w:szCs w:val="16"/>
              </w:rPr>
            </w:pPr>
            <w:r>
              <w:rPr>
                <w:color w:val="1E2138"/>
                <w:sz w:val="16"/>
                <w:szCs w:val="16"/>
              </w:rPr>
              <w:t>A cluster randomized clinical trial involving 218,864 beneficiaries from 342 healthcare institutions reported 18.7 major cardiovascular events per 1000 person-years in the intervention group, compared to 20.3 per 1000 in the control group (HR 0.97, 90% CI:</w:t>
            </w:r>
            <w:r>
              <w:rPr>
                <w:color w:val="1E2138"/>
                <w:sz w:val="16"/>
                <w:szCs w:val="16"/>
              </w:rPr>
              <w:t xml:space="preserve"> 0.93 - 1.00; 5-year follow-up).</w:t>
            </w:r>
          </w:p>
        </w:tc>
        <w:tc>
          <w:tcPr>
            <w:tcW w:w="108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26"/>
                <w:szCs w:val="26"/>
              </w:rPr>
            </w:pPr>
            <w:r>
              <w:rPr>
                <w:color w:val="1E2138"/>
                <w:sz w:val="26"/>
                <w:szCs w:val="26"/>
              </w:rPr>
              <w:t xml:space="preserve"> </w:t>
            </w:r>
          </w:p>
        </w:tc>
        <w:tc>
          <w:tcPr>
            <w:tcW w:w="120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4"/>
                <w:szCs w:val="14"/>
              </w:rPr>
            </w:pPr>
            <w:r>
              <w:rPr>
                <w:color w:val="1E2138"/>
                <w:sz w:val="14"/>
                <w:szCs w:val="14"/>
              </w:rPr>
              <w:t>⨁</w:t>
            </w:r>
            <w:r>
              <w:rPr>
                <w:color w:val="1E2138"/>
                <w:sz w:val="14"/>
                <w:szCs w:val="14"/>
              </w:rPr>
              <w:t>◯◯◯</w:t>
            </w:r>
          </w:p>
          <w:p w:rsidR="009C6A81" w:rsidRDefault="00ED5651">
            <w:pPr>
              <w:jc w:val="center"/>
              <w:rPr>
                <w:color w:val="1E2138"/>
                <w:sz w:val="14"/>
                <w:szCs w:val="14"/>
                <w:vertAlign w:val="superscript"/>
              </w:rPr>
            </w:pPr>
            <w:r>
              <w:rPr>
                <w:color w:val="1E2138"/>
                <w:sz w:val="14"/>
                <w:szCs w:val="14"/>
              </w:rPr>
              <w:t>Very low</w:t>
            </w:r>
            <w:r>
              <w:rPr>
                <w:color w:val="1E2138"/>
                <w:sz w:val="14"/>
                <w:szCs w:val="14"/>
                <w:vertAlign w:val="superscript"/>
              </w:rPr>
              <w:t>a</w:t>
            </w:r>
          </w:p>
        </w:tc>
      </w:tr>
      <w:tr w:rsidR="009C6A81">
        <w:trPr>
          <w:trHeight w:val="495"/>
        </w:trPr>
        <w:tc>
          <w:tcPr>
            <w:tcW w:w="150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985"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20"/>
                <w:szCs w:val="20"/>
              </w:rPr>
            </w:pPr>
            <w:r>
              <w:rPr>
                <w:color w:val="1E2138"/>
                <w:sz w:val="20"/>
                <w:szCs w:val="20"/>
              </w:rPr>
              <w:t xml:space="preserve"> </w:t>
            </w:r>
          </w:p>
        </w:tc>
        <w:tc>
          <w:tcPr>
            <w:tcW w:w="108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120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r>
      <w:tr w:rsidR="009C6A81">
        <w:trPr>
          <w:trHeight w:val="1875"/>
        </w:trPr>
        <w:tc>
          <w:tcPr>
            <w:tcW w:w="15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1E2138"/>
                <w:sz w:val="16"/>
                <w:szCs w:val="16"/>
              </w:rPr>
            </w:pPr>
            <w:r>
              <w:rPr>
                <w:b/>
                <w:color w:val="1E2138"/>
                <w:sz w:val="16"/>
                <w:szCs w:val="16"/>
              </w:rPr>
              <w:t>Non-fatal major cardiovascular events</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6"/>
                <w:szCs w:val="16"/>
              </w:rPr>
            </w:pPr>
            <w:r>
              <w:rPr>
                <w:color w:val="1E2138"/>
                <w:sz w:val="16"/>
                <w:szCs w:val="16"/>
              </w:rPr>
              <w:t>The use of scales to assess cardiovascular risk in primary care may result in little to no difference in the incidence of non-fatal major cardiovascular events, but the evidence is very uncertain.</w:t>
            </w:r>
          </w:p>
        </w:tc>
        <w:tc>
          <w:tcPr>
            <w:tcW w:w="2985"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6"/>
                <w:szCs w:val="16"/>
              </w:rPr>
            </w:pPr>
            <w:r>
              <w:rPr>
                <w:color w:val="1E2138"/>
                <w:sz w:val="16"/>
                <w:szCs w:val="16"/>
              </w:rPr>
              <w:t>A cluster randomized clinical trial involving 218,864 benef</w:t>
            </w:r>
            <w:r>
              <w:rPr>
                <w:color w:val="1E2138"/>
                <w:sz w:val="16"/>
                <w:szCs w:val="16"/>
              </w:rPr>
              <w:t>iciaries from 342 healthcare institutions reported 15.8 major cardiovascular events per 1000 person-years in the intervention group, compared to 17 per 1000 in the control group (HR 0.97, 90% CI: 0.93 - 1.00; 5-year follow-up).</w:t>
            </w:r>
          </w:p>
        </w:tc>
        <w:tc>
          <w:tcPr>
            <w:tcW w:w="108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26"/>
                <w:szCs w:val="26"/>
              </w:rPr>
            </w:pPr>
            <w:r>
              <w:rPr>
                <w:color w:val="1E2138"/>
                <w:sz w:val="26"/>
                <w:szCs w:val="26"/>
              </w:rPr>
              <w:t xml:space="preserve"> </w:t>
            </w:r>
          </w:p>
        </w:tc>
        <w:tc>
          <w:tcPr>
            <w:tcW w:w="120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4"/>
                <w:szCs w:val="14"/>
              </w:rPr>
            </w:pPr>
            <w:r>
              <w:rPr>
                <w:color w:val="1E2138"/>
                <w:sz w:val="14"/>
                <w:szCs w:val="14"/>
              </w:rPr>
              <w:t>⨁</w:t>
            </w:r>
            <w:r>
              <w:rPr>
                <w:color w:val="1E2138"/>
                <w:sz w:val="14"/>
                <w:szCs w:val="14"/>
              </w:rPr>
              <w:t>◯◯◯</w:t>
            </w:r>
          </w:p>
          <w:p w:rsidR="009C6A81" w:rsidRDefault="00ED5651">
            <w:pPr>
              <w:jc w:val="center"/>
              <w:rPr>
                <w:color w:val="1E2138"/>
                <w:sz w:val="14"/>
                <w:szCs w:val="14"/>
              </w:rPr>
            </w:pPr>
            <w:r>
              <w:rPr>
                <w:color w:val="1E2138"/>
                <w:sz w:val="14"/>
                <w:szCs w:val="14"/>
              </w:rPr>
              <w:t>Very low</w:t>
            </w:r>
            <w:r>
              <w:rPr>
                <w:color w:val="1E2138"/>
                <w:sz w:val="14"/>
                <w:szCs w:val="14"/>
                <w:vertAlign w:val="superscript"/>
              </w:rPr>
              <w:t>a</w:t>
            </w:r>
          </w:p>
        </w:tc>
      </w:tr>
      <w:tr w:rsidR="009C6A81">
        <w:trPr>
          <w:trHeight w:val="495"/>
        </w:trPr>
        <w:tc>
          <w:tcPr>
            <w:tcW w:w="150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985"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20"/>
                <w:szCs w:val="20"/>
              </w:rPr>
            </w:pPr>
            <w:r>
              <w:rPr>
                <w:color w:val="1E2138"/>
                <w:sz w:val="20"/>
                <w:szCs w:val="20"/>
              </w:rPr>
              <w:t xml:space="preserve"> </w:t>
            </w:r>
          </w:p>
        </w:tc>
        <w:tc>
          <w:tcPr>
            <w:tcW w:w="108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120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r>
      <w:tr w:rsidR="009C6A81">
        <w:trPr>
          <w:trHeight w:val="495"/>
        </w:trPr>
        <w:tc>
          <w:tcPr>
            <w:tcW w:w="15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1E2138"/>
                <w:sz w:val="16"/>
                <w:szCs w:val="16"/>
              </w:rPr>
            </w:pPr>
            <w:r>
              <w:rPr>
                <w:b/>
                <w:color w:val="1E2138"/>
                <w:sz w:val="16"/>
                <w:szCs w:val="16"/>
              </w:rPr>
              <w:t>Weight change from baseline</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6"/>
                <w:szCs w:val="16"/>
              </w:rPr>
            </w:pPr>
            <w:r>
              <w:rPr>
                <w:color w:val="1E2138"/>
                <w:sz w:val="16"/>
                <w:szCs w:val="16"/>
              </w:rPr>
              <w:t>The use of scales to assess cardiovascular risk in primary care may result in little to no difference in weight reduction, but the evidence is very uncertain.</w:t>
            </w:r>
          </w:p>
        </w:tc>
        <w:tc>
          <w:tcPr>
            <w:tcW w:w="150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color w:val="1E2138"/>
                <w:sz w:val="16"/>
                <w:szCs w:val="16"/>
              </w:rPr>
            </w:pPr>
            <w:r>
              <w:rPr>
                <w:color w:val="1E2138"/>
                <w:sz w:val="16"/>
                <w:szCs w:val="16"/>
              </w:rPr>
              <w:t>73.1</w:t>
            </w:r>
          </w:p>
          <w:p w:rsidR="009C6A81" w:rsidRDefault="00ED5651">
            <w:pPr>
              <w:jc w:val="center"/>
              <w:rPr>
                <w:color w:val="1E2138"/>
                <w:sz w:val="16"/>
                <w:szCs w:val="16"/>
              </w:rPr>
            </w:pPr>
            <w:r>
              <w:rPr>
                <w:color w:val="1E2138"/>
                <w:sz w:val="16"/>
                <w:szCs w:val="16"/>
              </w:rPr>
              <w:t>kg</w:t>
            </w:r>
          </w:p>
        </w:tc>
        <w:tc>
          <w:tcPr>
            <w:tcW w:w="148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color w:val="1E2138"/>
                <w:sz w:val="16"/>
                <w:szCs w:val="16"/>
              </w:rPr>
            </w:pPr>
            <w:r>
              <w:rPr>
                <w:color w:val="1E2138"/>
                <w:sz w:val="16"/>
                <w:szCs w:val="16"/>
              </w:rPr>
              <w:t>70.1</w:t>
            </w:r>
          </w:p>
          <w:p w:rsidR="009C6A81" w:rsidRDefault="00ED5651">
            <w:pPr>
              <w:jc w:val="center"/>
              <w:rPr>
                <w:color w:val="1E2138"/>
                <w:sz w:val="16"/>
                <w:szCs w:val="16"/>
              </w:rPr>
            </w:pPr>
            <w:r>
              <w:rPr>
                <w:color w:val="1E2138"/>
                <w:sz w:val="16"/>
                <w:szCs w:val="16"/>
              </w:rPr>
              <w:t>kg</w:t>
            </w:r>
          </w:p>
        </w:tc>
        <w:tc>
          <w:tcPr>
            <w:tcW w:w="108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6"/>
                <w:szCs w:val="16"/>
              </w:rPr>
            </w:pPr>
            <w:r>
              <w:rPr>
                <w:color w:val="1E2138"/>
                <w:sz w:val="16"/>
                <w:szCs w:val="16"/>
              </w:rPr>
              <w:t>5 studies (data from 5192 events)</w:t>
            </w:r>
          </w:p>
        </w:tc>
        <w:tc>
          <w:tcPr>
            <w:tcW w:w="120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4"/>
                <w:szCs w:val="14"/>
              </w:rPr>
            </w:pPr>
            <w:r>
              <w:rPr>
                <w:color w:val="1E2138"/>
                <w:sz w:val="14"/>
                <w:szCs w:val="14"/>
              </w:rPr>
              <w:t>⨁</w:t>
            </w:r>
            <w:r>
              <w:rPr>
                <w:color w:val="1E2138"/>
                <w:sz w:val="14"/>
                <w:szCs w:val="14"/>
              </w:rPr>
              <w:t>◯◯◯</w:t>
            </w:r>
          </w:p>
          <w:p w:rsidR="009C6A81" w:rsidRDefault="00ED5651">
            <w:pPr>
              <w:jc w:val="center"/>
              <w:rPr>
                <w:color w:val="1E2138"/>
                <w:sz w:val="14"/>
                <w:szCs w:val="14"/>
              </w:rPr>
            </w:pPr>
            <w:r>
              <w:rPr>
                <w:color w:val="1E2138"/>
                <w:sz w:val="14"/>
                <w:szCs w:val="14"/>
              </w:rPr>
              <w:t>Very low</w:t>
            </w:r>
            <w:r>
              <w:rPr>
                <w:color w:val="1E2138"/>
                <w:sz w:val="14"/>
                <w:szCs w:val="14"/>
                <w:vertAlign w:val="superscript"/>
              </w:rPr>
              <w:t>b</w:t>
            </w:r>
          </w:p>
        </w:tc>
      </w:tr>
      <w:tr w:rsidR="009C6A81">
        <w:trPr>
          <w:trHeight w:val="1035"/>
        </w:trPr>
        <w:tc>
          <w:tcPr>
            <w:tcW w:w="150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985"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color w:val="1E2138"/>
                <w:sz w:val="16"/>
                <w:szCs w:val="16"/>
              </w:rPr>
            </w:pPr>
            <w:r>
              <w:rPr>
                <w:color w:val="1E2138"/>
                <w:sz w:val="16"/>
                <w:szCs w:val="16"/>
              </w:rPr>
              <w:t>3 kg less</w:t>
            </w:r>
          </w:p>
          <w:p w:rsidR="009C6A81" w:rsidRDefault="00ED5651">
            <w:pPr>
              <w:jc w:val="center"/>
              <w:rPr>
                <w:color w:val="1E2138"/>
                <w:sz w:val="10"/>
                <w:szCs w:val="10"/>
              </w:rPr>
            </w:pPr>
            <w:r>
              <w:rPr>
                <w:color w:val="1E2138"/>
                <w:sz w:val="10"/>
                <w:szCs w:val="10"/>
              </w:rPr>
              <w:t>(IC 95 % 0.97 less to 0.43 more)</w:t>
            </w:r>
          </w:p>
          <w:p w:rsidR="009C6A81" w:rsidRDefault="00ED5651">
            <w:pPr>
              <w:jc w:val="center"/>
              <w:rPr>
                <w:color w:val="1E2138"/>
                <w:sz w:val="20"/>
                <w:szCs w:val="20"/>
              </w:rPr>
            </w:pPr>
            <w:r>
              <w:rPr>
                <w:color w:val="1E2138"/>
                <w:sz w:val="20"/>
                <w:szCs w:val="20"/>
              </w:rPr>
              <w:t xml:space="preserve"> </w:t>
            </w:r>
          </w:p>
          <w:p w:rsidR="009C6A81" w:rsidRDefault="00ED5651">
            <w:pPr>
              <w:jc w:val="center"/>
              <w:rPr>
                <w:color w:val="1E2138"/>
                <w:sz w:val="16"/>
                <w:szCs w:val="16"/>
              </w:rPr>
            </w:pPr>
            <w:r>
              <w:rPr>
                <w:color w:val="1E2138"/>
                <w:sz w:val="16"/>
                <w:szCs w:val="16"/>
              </w:rPr>
              <w:t>SMD -0.20</w:t>
            </w:r>
          </w:p>
          <w:p w:rsidR="009C6A81" w:rsidRDefault="00ED5651">
            <w:pPr>
              <w:jc w:val="center"/>
              <w:rPr>
                <w:color w:val="1E2138"/>
                <w:sz w:val="16"/>
                <w:szCs w:val="16"/>
              </w:rPr>
            </w:pPr>
            <w:r>
              <w:rPr>
                <w:color w:val="1E2138"/>
                <w:sz w:val="16"/>
                <w:szCs w:val="16"/>
              </w:rPr>
              <w:t>(-0.7 to 0.31)</w:t>
            </w:r>
          </w:p>
        </w:tc>
        <w:tc>
          <w:tcPr>
            <w:tcW w:w="108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120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r>
      <w:tr w:rsidR="009C6A81">
        <w:trPr>
          <w:trHeight w:val="1695"/>
        </w:trPr>
        <w:tc>
          <w:tcPr>
            <w:tcW w:w="15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1E2138"/>
                <w:sz w:val="16"/>
                <w:szCs w:val="16"/>
              </w:rPr>
            </w:pPr>
            <w:r>
              <w:rPr>
                <w:b/>
                <w:color w:val="1E2138"/>
                <w:sz w:val="16"/>
                <w:szCs w:val="16"/>
              </w:rPr>
              <w:lastRenderedPageBreak/>
              <w:t>Unintended consequences (depression and anxiety)</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6"/>
                <w:szCs w:val="16"/>
              </w:rPr>
            </w:pPr>
            <w:r>
              <w:rPr>
                <w:color w:val="1E2138"/>
                <w:sz w:val="16"/>
                <w:szCs w:val="16"/>
              </w:rPr>
              <w:t>The use of scales to assess cardiovascular risk in primary care may result in little to no difference in depression and anxiety scores but the evidence is very uncertain</w:t>
            </w:r>
          </w:p>
        </w:tc>
        <w:tc>
          <w:tcPr>
            <w:tcW w:w="2985"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6"/>
                <w:szCs w:val="16"/>
              </w:rPr>
            </w:pPr>
            <w:r>
              <w:rPr>
                <w:color w:val="1E2138"/>
                <w:sz w:val="16"/>
                <w:szCs w:val="16"/>
              </w:rPr>
              <w:t>Three clinical trials with a total of 1,602 participants reported this outcome. No sig</w:t>
            </w:r>
            <w:r>
              <w:rPr>
                <w:color w:val="1E2138"/>
                <w:sz w:val="16"/>
                <w:szCs w:val="16"/>
              </w:rPr>
              <w:t>nificant differences were found in depression and anxiety levels between participants who received the intervention and those assigned to the control group.</w:t>
            </w:r>
          </w:p>
        </w:tc>
        <w:tc>
          <w:tcPr>
            <w:tcW w:w="108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26"/>
                <w:szCs w:val="26"/>
              </w:rPr>
            </w:pPr>
            <w:r>
              <w:rPr>
                <w:color w:val="1E2138"/>
                <w:sz w:val="26"/>
                <w:szCs w:val="26"/>
              </w:rPr>
              <w:t xml:space="preserve"> </w:t>
            </w:r>
          </w:p>
        </w:tc>
        <w:tc>
          <w:tcPr>
            <w:tcW w:w="120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4"/>
                <w:szCs w:val="14"/>
              </w:rPr>
            </w:pPr>
            <w:r>
              <w:rPr>
                <w:color w:val="1E2138"/>
                <w:sz w:val="14"/>
                <w:szCs w:val="14"/>
              </w:rPr>
              <w:t>⨁</w:t>
            </w:r>
            <w:r>
              <w:rPr>
                <w:color w:val="1E2138"/>
                <w:sz w:val="14"/>
                <w:szCs w:val="14"/>
              </w:rPr>
              <w:t>◯◯◯</w:t>
            </w:r>
          </w:p>
          <w:p w:rsidR="009C6A81" w:rsidRDefault="00ED5651">
            <w:pPr>
              <w:jc w:val="center"/>
              <w:rPr>
                <w:color w:val="1E2138"/>
                <w:sz w:val="14"/>
                <w:szCs w:val="14"/>
              </w:rPr>
            </w:pPr>
            <w:r>
              <w:rPr>
                <w:color w:val="1E2138"/>
                <w:sz w:val="14"/>
                <w:szCs w:val="14"/>
              </w:rPr>
              <w:t>Very low</w:t>
            </w:r>
            <w:r>
              <w:rPr>
                <w:color w:val="1E2138"/>
                <w:sz w:val="14"/>
                <w:szCs w:val="14"/>
                <w:vertAlign w:val="superscript"/>
              </w:rPr>
              <w:t>b</w:t>
            </w:r>
          </w:p>
        </w:tc>
      </w:tr>
      <w:tr w:rsidR="009C6A81">
        <w:trPr>
          <w:trHeight w:val="495"/>
        </w:trPr>
        <w:tc>
          <w:tcPr>
            <w:tcW w:w="150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985"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20"/>
                <w:szCs w:val="20"/>
              </w:rPr>
            </w:pPr>
            <w:r>
              <w:rPr>
                <w:color w:val="1E2138"/>
                <w:sz w:val="20"/>
                <w:szCs w:val="20"/>
              </w:rPr>
              <w:t xml:space="preserve"> </w:t>
            </w:r>
          </w:p>
        </w:tc>
        <w:tc>
          <w:tcPr>
            <w:tcW w:w="108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120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r>
      <w:tr w:rsidR="009C6A81">
        <w:trPr>
          <w:trHeight w:val="495"/>
        </w:trPr>
        <w:tc>
          <w:tcPr>
            <w:tcW w:w="15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1E2138"/>
                <w:sz w:val="16"/>
                <w:szCs w:val="16"/>
              </w:rPr>
            </w:pPr>
            <w:r>
              <w:rPr>
                <w:b/>
                <w:color w:val="1E2138"/>
                <w:sz w:val="16"/>
                <w:szCs w:val="16"/>
              </w:rPr>
              <w:t>Cardiovascular risk change from baseline</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6"/>
                <w:szCs w:val="16"/>
              </w:rPr>
            </w:pPr>
            <w:r>
              <w:rPr>
                <w:color w:val="1E2138"/>
                <w:sz w:val="16"/>
                <w:szCs w:val="16"/>
              </w:rPr>
              <w:t>The use of scales to assess cardiovascular risk in primary care may result in little to no difference in cardiovascular risk reduction, but the evidence is very uncertain.</w:t>
            </w:r>
          </w:p>
        </w:tc>
        <w:tc>
          <w:tcPr>
            <w:tcW w:w="150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color w:val="1E2138"/>
                <w:sz w:val="16"/>
                <w:szCs w:val="16"/>
              </w:rPr>
            </w:pPr>
            <w:r>
              <w:rPr>
                <w:color w:val="1E2138"/>
                <w:sz w:val="16"/>
                <w:szCs w:val="16"/>
              </w:rPr>
              <w:t>2.68</w:t>
            </w:r>
          </w:p>
          <w:p w:rsidR="009C6A81" w:rsidRDefault="00ED5651">
            <w:pPr>
              <w:jc w:val="center"/>
              <w:rPr>
                <w:color w:val="1E2138"/>
                <w:sz w:val="16"/>
                <w:szCs w:val="16"/>
              </w:rPr>
            </w:pPr>
            <w:r>
              <w:rPr>
                <w:color w:val="1E2138"/>
                <w:sz w:val="16"/>
                <w:szCs w:val="16"/>
              </w:rPr>
              <w:t>points</w:t>
            </w:r>
          </w:p>
        </w:tc>
        <w:tc>
          <w:tcPr>
            <w:tcW w:w="148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color w:val="1E2138"/>
                <w:sz w:val="16"/>
                <w:szCs w:val="16"/>
              </w:rPr>
            </w:pPr>
            <w:r>
              <w:rPr>
                <w:color w:val="1E2138"/>
                <w:sz w:val="16"/>
                <w:szCs w:val="16"/>
              </w:rPr>
              <w:t>2.48</w:t>
            </w:r>
          </w:p>
          <w:p w:rsidR="009C6A81" w:rsidRDefault="00ED5651">
            <w:pPr>
              <w:jc w:val="center"/>
              <w:rPr>
                <w:color w:val="1E2138"/>
                <w:sz w:val="16"/>
                <w:szCs w:val="16"/>
              </w:rPr>
            </w:pPr>
            <w:r>
              <w:rPr>
                <w:color w:val="1E2138"/>
                <w:sz w:val="16"/>
                <w:szCs w:val="16"/>
              </w:rPr>
              <w:t>points</w:t>
            </w:r>
          </w:p>
        </w:tc>
        <w:tc>
          <w:tcPr>
            <w:tcW w:w="108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6"/>
                <w:szCs w:val="16"/>
              </w:rPr>
            </w:pPr>
            <w:r>
              <w:rPr>
                <w:color w:val="1E2138"/>
                <w:sz w:val="16"/>
                <w:szCs w:val="16"/>
              </w:rPr>
              <w:t>5 studies (data from 5865 events)</w:t>
            </w:r>
          </w:p>
        </w:tc>
        <w:tc>
          <w:tcPr>
            <w:tcW w:w="120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1E2138"/>
                <w:sz w:val="14"/>
                <w:szCs w:val="14"/>
              </w:rPr>
            </w:pPr>
            <w:r>
              <w:rPr>
                <w:color w:val="1E2138"/>
                <w:sz w:val="14"/>
                <w:szCs w:val="14"/>
              </w:rPr>
              <w:t>⨁</w:t>
            </w:r>
            <w:r>
              <w:rPr>
                <w:color w:val="1E2138"/>
                <w:sz w:val="14"/>
                <w:szCs w:val="14"/>
              </w:rPr>
              <w:t>◯◯◯</w:t>
            </w:r>
          </w:p>
          <w:p w:rsidR="009C6A81" w:rsidRDefault="00ED5651">
            <w:pPr>
              <w:jc w:val="center"/>
              <w:rPr>
                <w:color w:val="1E2138"/>
                <w:sz w:val="14"/>
                <w:szCs w:val="14"/>
              </w:rPr>
            </w:pPr>
            <w:r>
              <w:rPr>
                <w:color w:val="1E2138"/>
                <w:sz w:val="14"/>
                <w:szCs w:val="14"/>
              </w:rPr>
              <w:t>Very low</w:t>
            </w:r>
            <w:r>
              <w:rPr>
                <w:color w:val="1E2138"/>
                <w:sz w:val="14"/>
                <w:szCs w:val="14"/>
                <w:vertAlign w:val="superscript"/>
              </w:rPr>
              <w:t>b</w:t>
            </w:r>
          </w:p>
        </w:tc>
      </w:tr>
      <w:tr w:rsidR="009C6A81">
        <w:trPr>
          <w:trHeight w:val="1035"/>
        </w:trPr>
        <w:tc>
          <w:tcPr>
            <w:tcW w:w="1500"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07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2985" w:type="dxa"/>
            <w:gridSpan w:val="2"/>
            <w:tcBorders>
              <w:top w:val="nil"/>
              <w:left w:val="nil"/>
              <w:bottom w:val="single" w:sz="8"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color w:val="1E2138"/>
                <w:sz w:val="16"/>
                <w:szCs w:val="16"/>
              </w:rPr>
            </w:pPr>
            <w:r>
              <w:rPr>
                <w:color w:val="1E2138"/>
                <w:sz w:val="16"/>
                <w:szCs w:val="16"/>
              </w:rPr>
              <w:t>0.2 points less</w:t>
            </w:r>
          </w:p>
          <w:p w:rsidR="009C6A81" w:rsidRDefault="00ED5651">
            <w:pPr>
              <w:jc w:val="center"/>
              <w:rPr>
                <w:color w:val="1E2138"/>
                <w:sz w:val="10"/>
                <w:szCs w:val="10"/>
              </w:rPr>
            </w:pPr>
            <w:r>
              <w:rPr>
                <w:color w:val="1E2138"/>
                <w:sz w:val="10"/>
                <w:szCs w:val="10"/>
              </w:rPr>
              <w:t>(IC 95 % 0.46 less to 0.01 more)</w:t>
            </w:r>
          </w:p>
          <w:p w:rsidR="009C6A81" w:rsidRDefault="00ED5651">
            <w:pPr>
              <w:jc w:val="center"/>
              <w:rPr>
                <w:color w:val="1E2138"/>
                <w:sz w:val="20"/>
                <w:szCs w:val="20"/>
              </w:rPr>
            </w:pPr>
            <w:r>
              <w:rPr>
                <w:color w:val="1E2138"/>
                <w:sz w:val="20"/>
                <w:szCs w:val="20"/>
              </w:rPr>
              <w:t xml:space="preserve"> </w:t>
            </w:r>
          </w:p>
          <w:p w:rsidR="009C6A81" w:rsidRDefault="00ED5651">
            <w:pPr>
              <w:jc w:val="center"/>
              <w:rPr>
                <w:color w:val="1E2138"/>
                <w:sz w:val="16"/>
                <w:szCs w:val="16"/>
              </w:rPr>
            </w:pPr>
            <w:r>
              <w:rPr>
                <w:color w:val="1E2138"/>
                <w:sz w:val="16"/>
                <w:szCs w:val="16"/>
              </w:rPr>
              <w:t>SMD -0.23</w:t>
            </w:r>
          </w:p>
          <w:p w:rsidR="009C6A81" w:rsidRDefault="00ED5651">
            <w:pPr>
              <w:jc w:val="center"/>
              <w:rPr>
                <w:color w:val="1E2138"/>
                <w:sz w:val="16"/>
                <w:szCs w:val="16"/>
              </w:rPr>
            </w:pPr>
            <w:r>
              <w:rPr>
                <w:color w:val="1E2138"/>
                <w:sz w:val="16"/>
                <w:szCs w:val="16"/>
              </w:rPr>
              <w:t>(-0.53 to 0.07)</w:t>
            </w:r>
          </w:p>
        </w:tc>
        <w:tc>
          <w:tcPr>
            <w:tcW w:w="108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c>
          <w:tcPr>
            <w:tcW w:w="120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jc w:val="left"/>
              <w:rPr>
                <w:rFonts w:ascii="Times New Roman" w:eastAsia="Times New Roman" w:hAnsi="Times New Roman" w:cs="Times New Roman"/>
                <w:color w:val="1E2138"/>
                <w:sz w:val="20"/>
                <w:szCs w:val="20"/>
              </w:rPr>
            </w:pPr>
          </w:p>
        </w:tc>
      </w:tr>
      <w:tr w:rsidR="009C6A81">
        <w:trPr>
          <w:trHeight w:val="495"/>
        </w:trPr>
        <w:tc>
          <w:tcPr>
            <w:tcW w:w="8835"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pBdr>
                <w:top w:val="nil"/>
                <w:left w:val="nil"/>
                <w:bottom w:val="nil"/>
                <w:right w:val="nil"/>
                <w:between w:val="nil"/>
              </w:pBdr>
              <w:jc w:val="left"/>
              <w:rPr>
                <w:sz w:val="16"/>
                <w:szCs w:val="16"/>
              </w:rPr>
            </w:pPr>
            <w:r>
              <w:rPr>
                <w:sz w:val="16"/>
                <w:szCs w:val="16"/>
              </w:rPr>
              <w:t>CI: 95% confidence interval; SMD: standardized mean difference</w:t>
            </w:r>
          </w:p>
          <w:p w:rsidR="009C6A81" w:rsidRDefault="009C6A81">
            <w:pPr>
              <w:pBdr>
                <w:top w:val="nil"/>
                <w:left w:val="nil"/>
                <w:bottom w:val="nil"/>
                <w:right w:val="nil"/>
                <w:between w:val="nil"/>
              </w:pBdr>
              <w:jc w:val="left"/>
              <w:rPr>
                <w:b/>
                <w:sz w:val="16"/>
                <w:szCs w:val="16"/>
              </w:rPr>
            </w:pPr>
          </w:p>
          <w:p w:rsidR="009C6A81" w:rsidRDefault="00ED5651">
            <w:pPr>
              <w:pBdr>
                <w:top w:val="nil"/>
                <w:left w:val="nil"/>
                <w:bottom w:val="nil"/>
                <w:right w:val="nil"/>
                <w:between w:val="nil"/>
              </w:pBdr>
              <w:jc w:val="left"/>
              <w:rPr>
                <w:b/>
                <w:sz w:val="16"/>
                <w:szCs w:val="16"/>
              </w:rPr>
            </w:pPr>
            <w:r>
              <w:rPr>
                <w:b/>
                <w:sz w:val="16"/>
                <w:szCs w:val="16"/>
              </w:rPr>
              <w:t>EXPLANATION</w:t>
            </w:r>
          </w:p>
          <w:p w:rsidR="009C6A81" w:rsidRDefault="00ED5651">
            <w:pPr>
              <w:pBdr>
                <w:top w:val="nil"/>
                <w:left w:val="nil"/>
                <w:bottom w:val="nil"/>
                <w:right w:val="nil"/>
                <w:between w:val="nil"/>
              </w:pBdr>
              <w:spacing w:before="120"/>
              <w:rPr>
                <w:sz w:val="16"/>
                <w:szCs w:val="16"/>
              </w:rPr>
            </w:pPr>
            <w:r>
              <w:rPr>
                <w:sz w:val="16"/>
                <w:szCs w:val="16"/>
              </w:rPr>
              <w:t>a. It was downgraded because of serious risk of bias and very  serious indirectness.</w:t>
            </w:r>
          </w:p>
          <w:p w:rsidR="009C6A81" w:rsidRDefault="00ED5651">
            <w:pPr>
              <w:pBdr>
                <w:top w:val="nil"/>
                <w:left w:val="nil"/>
                <w:bottom w:val="nil"/>
                <w:right w:val="nil"/>
                <w:between w:val="nil"/>
              </w:pBdr>
              <w:spacing w:before="120"/>
              <w:rPr>
                <w:b/>
                <w:sz w:val="16"/>
                <w:szCs w:val="16"/>
              </w:rPr>
            </w:pPr>
            <w:r>
              <w:rPr>
                <w:sz w:val="16"/>
                <w:szCs w:val="16"/>
              </w:rPr>
              <w:t>b. It was downgraded due to serious risk of bias, imprecision, inconsistency and indirectness.</w:t>
            </w:r>
          </w:p>
        </w:tc>
      </w:tr>
    </w:tbl>
    <w:p w:rsidR="009C6A81" w:rsidRDefault="009C6A81">
      <w:pPr>
        <w:jc w:val="left"/>
        <w:rPr>
          <w:highlight w:val="yellow"/>
        </w:rPr>
      </w:pPr>
    </w:p>
    <w:p w:rsidR="009C6A81" w:rsidRDefault="00ED5651">
      <w:pPr>
        <w:ind w:left="-990" w:firstLine="990"/>
        <w:rPr>
          <w:highlight w:val="yellow"/>
        </w:rPr>
      </w:pPr>
      <w:r>
        <w:t xml:space="preserve">An interactive version of this Summary of Findings table is available at the </w:t>
      </w:r>
      <w:hyperlink r:id="rId14" w:anchor="/finding/66523cf2e3089d04c1109dfa">
        <w:r>
          <w:rPr>
            <w:color w:val="1155CC"/>
            <w:u w:val="single"/>
          </w:rPr>
          <w:t>iSoF platform</w:t>
        </w:r>
      </w:hyperlink>
      <w:r>
        <w:t>.</w:t>
      </w:r>
    </w:p>
    <w:p w:rsidR="009C6A81" w:rsidRDefault="009C6A81">
      <w:pPr>
        <w:ind w:left="-990"/>
      </w:pPr>
    </w:p>
    <w:p w:rsidR="009C6A81" w:rsidRDefault="009C6A81">
      <w:pPr>
        <w:ind w:left="-990"/>
      </w:pPr>
    </w:p>
    <w:p w:rsidR="009C6A81" w:rsidRDefault="00ED5651">
      <w:pPr>
        <w:ind w:left="-990"/>
      </w:pPr>
      <w:r>
        <w:t xml:space="preserve">Table. Summary of EtD judgments for cardiovascular risk scores. </w:t>
      </w:r>
    </w:p>
    <w:p w:rsidR="009C6A81" w:rsidRDefault="009C6A81">
      <w:pPr>
        <w:jc w:val="left"/>
        <w:rPr>
          <w:rFonts w:ascii="Lato" w:eastAsia="Lato" w:hAnsi="Lato" w:cs="Lato"/>
          <w:b/>
          <w:sz w:val="16"/>
          <w:szCs w:val="16"/>
        </w:rPr>
      </w:pPr>
    </w:p>
    <w:tbl>
      <w:tblPr>
        <w:tblStyle w:val="af7"/>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1005"/>
        <w:gridCol w:w="1095"/>
        <w:gridCol w:w="930"/>
        <w:gridCol w:w="1155"/>
        <w:gridCol w:w="1005"/>
        <w:gridCol w:w="1110"/>
        <w:gridCol w:w="975"/>
      </w:tblGrid>
      <w:tr w:rsidR="009C6A81">
        <w:trPr>
          <w:trHeight w:val="525"/>
        </w:trPr>
        <w:tc>
          <w:tcPr>
            <w:tcW w:w="1575"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100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9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93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115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yes</w:t>
            </w:r>
          </w:p>
        </w:tc>
        <w:tc>
          <w:tcPr>
            <w:tcW w:w="100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no</w:t>
            </w:r>
          </w:p>
        </w:tc>
        <w:tc>
          <w:tcPr>
            <w:tcW w:w="111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w:t>
            </w:r>
          </w:p>
        </w:tc>
        <w:tc>
          <w:tcPr>
            <w:tcW w:w="975"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525"/>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Small</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Large</w:t>
            </w:r>
          </w:p>
        </w:tc>
        <w:tc>
          <w:tcPr>
            <w:tcW w:w="97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525"/>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Small</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Large</w:t>
            </w:r>
          </w:p>
        </w:tc>
        <w:tc>
          <w:tcPr>
            <w:tcW w:w="97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660"/>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included studies</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Low</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High</w:t>
            </w:r>
          </w:p>
        </w:tc>
        <w:tc>
          <w:tcPr>
            <w:tcW w:w="111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97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1065"/>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Important uncertainty or variability</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no important uncertainty or variability</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important uncertainty or variability</w:t>
            </w:r>
          </w:p>
        </w:tc>
        <w:tc>
          <w:tcPr>
            <w:tcW w:w="100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111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97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1065"/>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Balance of effects</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Favours the comparison</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favours the comparison</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Does not favour either the intervention or the comparison</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Favours the intervention</w:t>
            </w:r>
          </w:p>
        </w:tc>
      </w:tr>
      <w:tr w:rsidR="009C6A81">
        <w:trPr>
          <w:trHeight w:val="660"/>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Large costs</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 costs</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Negligible costs or savings</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 savings</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Large savings</w:t>
            </w:r>
          </w:p>
        </w:tc>
      </w:tr>
      <w:tr w:rsidR="009C6A81">
        <w:trPr>
          <w:trHeight w:val="660"/>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Very low</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Low</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High</w:t>
            </w:r>
          </w:p>
        </w:tc>
        <w:tc>
          <w:tcPr>
            <w:tcW w:w="111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97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1065"/>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Favours the comparison</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favours the comparison</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Does not favour either the intervention or the comparison</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Favours the intervention</w:t>
            </w:r>
          </w:p>
        </w:tc>
      </w:tr>
      <w:tr w:rsidR="009C6A81">
        <w:trPr>
          <w:trHeight w:val="525"/>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Reduced</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reduced</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no impact</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increased</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Increased</w:t>
            </w:r>
          </w:p>
        </w:tc>
      </w:tr>
      <w:tr w:rsidR="009C6A81">
        <w:trPr>
          <w:trHeight w:val="525"/>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Yes</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no</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w:t>
            </w:r>
          </w:p>
        </w:tc>
        <w:tc>
          <w:tcPr>
            <w:tcW w:w="97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525"/>
        </w:trPr>
        <w:tc>
          <w:tcPr>
            <w:tcW w:w="157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9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Yes</w:t>
            </w:r>
          </w:p>
        </w:tc>
        <w:tc>
          <w:tcPr>
            <w:tcW w:w="115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100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no</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w:t>
            </w:r>
          </w:p>
        </w:tc>
        <w:tc>
          <w:tcPr>
            <w:tcW w:w="97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bl>
    <w:p w:rsidR="009C6A81" w:rsidRDefault="009C6A81">
      <w:pPr>
        <w:jc w:val="left"/>
        <w:rPr>
          <w:b/>
          <w:sz w:val="18"/>
          <w:szCs w:val="18"/>
        </w:rPr>
      </w:pPr>
    </w:p>
    <w:p w:rsidR="009C6A81" w:rsidRDefault="009C6A81">
      <w:pPr>
        <w:jc w:val="left"/>
        <w:rPr>
          <w:b/>
          <w:sz w:val="18"/>
          <w:szCs w:val="18"/>
        </w:rPr>
      </w:pPr>
    </w:p>
    <w:p w:rsidR="009C6A81" w:rsidRDefault="009C6A81">
      <w:pPr>
        <w:jc w:val="left"/>
        <w:rPr>
          <w:b/>
          <w:sz w:val="18"/>
          <w:szCs w:val="18"/>
        </w:rPr>
      </w:pPr>
    </w:p>
    <w:p w:rsidR="009C6A81" w:rsidRDefault="00ED5651">
      <w:pPr>
        <w:jc w:val="left"/>
        <w:rPr>
          <w:b/>
          <w:sz w:val="18"/>
          <w:szCs w:val="18"/>
        </w:rPr>
      </w:pPr>
      <w:r>
        <w:rPr>
          <w:b/>
          <w:sz w:val="18"/>
          <w:szCs w:val="18"/>
        </w:rPr>
        <w:t>Formato de referencia</w:t>
      </w:r>
    </w:p>
    <w:tbl>
      <w:tblPr>
        <w:tblStyle w:val="af8"/>
        <w:tblW w:w="87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90"/>
        <w:gridCol w:w="990"/>
        <w:gridCol w:w="1110"/>
        <w:gridCol w:w="930"/>
        <w:gridCol w:w="1170"/>
        <w:gridCol w:w="1020"/>
        <w:gridCol w:w="1035"/>
        <w:gridCol w:w="915"/>
      </w:tblGrid>
      <w:tr w:rsidR="009C6A81">
        <w:trPr>
          <w:trHeight w:val="525"/>
        </w:trPr>
        <w:tc>
          <w:tcPr>
            <w:tcW w:w="1590"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Problema</w:t>
            </w:r>
          </w:p>
        </w:tc>
        <w:tc>
          <w:tcPr>
            <w:tcW w:w="99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lo sé</w:t>
            </w:r>
          </w:p>
        </w:tc>
        <w:tc>
          <w:tcPr>
            <w:tcW w:w="111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Es variable</w:t>
            </w:r>
          </w:p>
        </w:tc>
        <w:tc>
          <w:tcPr>
            <w:tcW w:w="93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Sí</w:t>
            </w:r>
          </w:p>
        </w:tc>
        <w:tc>
          <w:tcPr>
            <w:tcW w:w="117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Probablemente sí</w:t>
            </w:r>
          </w:p>
        </w:tc>
        <w:tc>
          <w:tcPr>
            <w:tcW w:w="102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Probablemente no</w:t>
            </w:r>
          </w:p>
        </w:tc>
        <w:tc>
          <w:tcPr>
            <w:tcW w:w="103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w:t>
            </w:r>
          </w:p>
        </w:tc>
        <w:tc>
          <w:tcPr>
            <w:tcW w:w="915"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49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Efectos deseados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lo sé</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Es variable</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Pequeña</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Moderada</w:t>
            </w:r>
          </w:p>
        </w:tc>
        <w:tc>
          <w:tcPr>
            <w:tcW w:w="103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Grande</w:t>
            </w:r>
          </w:p>
        </w:tc>
        <w:tc>
          <w:tcPr>
            <w:tcW w:w="91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49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Efectos no deseados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lo sé</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Es variable</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Pequeña</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Moderada</w:t>
            </w:r>
          </w:p>
        </w:tc>
        <w:tc>
          <w:tcPr>
            <w:tcW w:w="103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Grande</w:t>
            </w:r>
          </w:p>
        </w:tc>
        <w:tc>
          <w:tcPr>
            <w:tcW w:w="91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660"/>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Certeza de la evidencia</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hay estudios incluidos</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Muy baja</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Baja</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Moderada</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Alta</w:t>
            </w:r>
          </w:p>
        </w:tc>
        <w:tc>
          <w:tcPr>
            <w:tcW w:w="103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91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930"/>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Valores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Existe incertidumbre o variabilidad importante</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Posiblemente existe incertidumbre o variabilidad importante</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Probablemente no existe incertidumbre o variabilidad importante</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existe incertidumbre o variabilidad importante</w:t>
            </w:r>
          </w:p>
        </w:tc>
        <w:tc>
          <w:tcPr>
            <w:tcW w:w="102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103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91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930"/>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Balance de los efectos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lo</w:t>
            </w:r>
            <w:r>
              <w:rPr>
                <w:b/>
                <w:color w:val="BBBBBB"/>
                <w:sz w:val="12"/>
                <w:szCs w:val="12"/>
              </w:rPr>
              <w:t xml:space="preserve"> sé</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Es variable</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Favorece a la comparación</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Probablemente favorece a la comparación</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favorece ni a la intervención ni a la comparación</w:t>
            </w:r>
          </w:p>
        </w:tc>
        <w:tc>
          <w:tcPr>
            <w:tcW w:w="103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Probablemente favorece a la intervención</w:t>
            </w:r>
          </w:p>
        </w:tc>
        <w:tc>
          <w:tcPr>
            <w:tcW w:w="91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Favorece a la intervención</w:t>
            </w:r>
          </w:p>
        </w:tc>
      </w:tr>
      <w:tr w:rsidR="009C6A81">
        <w:trPr>
          <w:trHeight w:val="660"/>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Recursos requeridos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lo sé</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Es variable</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Alto costo</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Costo moderado</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Costo mínimo o incluso ahorro</w:t>
            </w:r>
          </w:p>
        </w:tc>
        <w:tc>
          <w:tcPr>
            <w:tcW w:w="103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Ahorro moderado</w:t>
            </w:r>
          </w:p>
        </w:tc>
        <w:tc>
          <w:tcPr>
            <w:tcW w:w="91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Ahorro de gran magnitud</w:t>
            </w:r>
          </w:p>
        </w:tc>
      </w:tr>
      <w:tr w:rsidR="009C6A81">
        <w:trPr>
          <w:trHeight w:val="660"/>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Certeza de la evidencia sobre los recursos requeridos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hay estudios incluidos</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Muy baja</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Baja</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Moderada</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Alta</w:t>
            </w:r>
          </w:p>
        </w:tc>
        <w:tc>
          <w:tcPr>
            <w:tcW w:w="103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91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930"/>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Costo efectividad</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lo sé</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Es variable</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Favorece a la comparación</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Probablemente favorece a la comparación</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favorece ni a la intervención ni a la comparación</w:t>
            </w:r>
          </w:p>
        </w:tc>
        <w:tc>
          <w:tcPr>
            <w:tcW w:w="103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Probablemente favorece a la intervención</w:t>
            </w:r>
          </w:p>
        </w:tc>
        <w:tc>
          <w:tcPr>
            <w:tcW w:w="91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Favorece a la intervención</w:t>
            </w:r>
          </w:p>
        </w:tc>
      </w:tr>
      <w:tr w:rsidR="009C6A81">
        <w:trPr>
          <w:trHeight w:val="660"/>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Equidad</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lo sé</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Es variable</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Se reducirá</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Probablemente se reducirá</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Probablemente no habrá impacto</w:t>
            </w:r>
          </w:p>
        </w:tc>
        <w:tc>
          <w:tcPr>
            <w:tcW w:w="103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Probablemente aumentará</w:t>
            </w:r>
          </w:p>
        </w:tc>
        <w:tc>
          <w:tcPr>
            <w:tcW w:w="91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Aumentará</w:t>
            </w:r>
          </w:p>
        </w:tc>
      </w:tr>
      <w:tr w:rsidR="009C6A81">
        <w:trPr>
          <w:trHeight w:val="52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Aceptabilidad</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lo sé</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Es variable</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Sí</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Probablemente sí</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Probablemente no</w:t>
            </w:r>
          </w:p>
        </w:tc>
        <w:tc>
          <w:tcPr>
            <w:tcW w:w="103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w:t>
            </w:r>
          </w:p>
        </w:tc>
        <w:tc>
          <w:tcPr>
            <w:tcW w:w="91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52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Factibilidad</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lo sé</w:t>
            </w:r>
          </w:p>
        </w:tc>
        <w:tc>
          <w:tcPr>
            <w:tcW w:w="111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Es variable</w:t>
            </w:r>
          </w:p>
        </w:tc>
        <w:tc>
          <w:tcPr>
            <w:tcW w:w="93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Sí</w:t>
            </w:r>
          </w:p>
        </w:tc>
        <w:tc>
          <w:tcPr>
            <w:tcW w:w="117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Probablemente sí</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Probablemente no</w:t>
            </w:r>
          </w:p>
        </w:tc>
        <w:tc>
          <w:tcPr>
            <w:tcW w:w="103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w:t>
            </w:r>
          </w:p>
        </w:tc>
        <w:tc>
          <w:tcPr>
            <w:tcW w:w="91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bl>
    <w:p w:rsidR="009C6A81" w:rsidRDefault="009C6A81">
      <w:pPr>
        <w:jc w:val="left"/>
      </w:pPr>
    </w:p>
    <w:p w:rsidR="009C6A81" w:rsidRDefault="009C6A81"/>
    <w:p w:rsidR="009C6A81" w:rsidRDefault="009C6A81"/>
    <w:p w:rsidR="009C6A81" w:rsidRDefault="00ED5651">
      <w:pPr>
        <w:pStyle w:val="Ttulo6"/>
        <w:ind w:hanging="990"/>
      </w:pPr>
      <w:bookmarkStart w:id="36" w:name="_worqfjz801t5" w:colFirst="0" w:colLast="0"/>
      <w:bookmarkEnd w:id="36"/>
      <w:r>
        <w:t xml:space="preserve">Question 2. </w:t>
      </w:r>
      <w:r>
        <w:t>In women of reproductive age who wish to become pregnant and have pregestational obesity, should they be referred to a multidisciplinary program compared to conventional treatment?</w:t>
      </w:r>
    </w:p>
    <w:p w:rsidR="009C6A81" w:rsidRDefault="009C6A81"/>
    <w:p w:rsidR="009C6A81" w:rsidRDefault="00ED5651">
      <w:pPr>
        <w:ind w:left="-990"/>
      </w:pPr>
      <w:r>
        <w:t>Table. Summary of findings for the effects of referring to a multidiscipli</w:t>
      </w:r>
      <w:r>
        <w:t>nary program</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9"/>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5"/>
        <w:gridCol w:w="2055"/>
        <w:gridCol w:w="1650"/>
        <w:gridCol w:w="1575"/>
        <w:gridCol w:w="1050"/>
        <w:gridCol w:w="960"/>
      </w:tblGrid>
      <w:tr w:rsidR="009C6A81">
        <w:trPr>
          <w:trHeight w:val="435"/>
        </w:trPr>
        <w:tc>
          <w:tcPr>
            <w:tcW w:w="1545"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05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3225"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105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6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795"/>
        </w:trPr>
        <w:tc>
          <w:tcPr>
            <w:tcW w:w="1545"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05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650"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conventional treatment</w:t>
            </w:r>
          </w:p>
        </w:tc>
        <w:tc>
          <w:tcPr>
            <w:tcW w:w="157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multidisciplinary program</w:t>
            </w:r>
          </w:p>
        </w:tc>
        <w:tc>
          <w:tcPr>
            <w:tcW w:w="105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6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615"/>
        </w:trPr>
        <w:tc>
          <w:tcPr>
            <w:tcW w:w="15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Live birth</w:t>
            </w:r>
          </w:p>
        </w:tc>
        <w:tc>
          <w:tcPr>
            <w:tcW w:w="20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Being referred to a multidisciplinary program may increase the live birth rate, but the evidence is very uncertain.</w:t>
            </w:r>
          </w:p>
        </w:tc>
        <w:tc>
          <w:tcPr>
            <w:tcW w:w="165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475</w:t>
            </w:r>
          </w:p>
          <w:p w:rsidR="009C6A81" w:rsidRDefault="00ED5651">
            <w:pPr>
              <w:jc w:val="center"/>
              <w:rPr>
                <w:sz w:val="16"/>
                <w:szCs w:val="16"/>
              </w:rPr>
            </w:pPr>
            <w:r>
              <w:rPr>
                <w:sz w:val="16"/>
                <w:szCs w:val="16"/>
              </w:rPr>
              <w:t>per 1000</w:t>
            </w:r>
          </w:p>
        </w:tc>
        <w:tc>
          <w:tcPr>
            <w:tcW w:w="157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618</w:t>
            </w:r>
          </w:p>
          <w:p w:rsidR="009C6A81" w:rsidRDefault="00ED5651">
            <w:pPr>
              <w:jc w:val="center"/>
              <w:rPr>
                <w:sz w:val="16"/>
                <w:szCs w:val="16"/>
              </w:rPr>
            </w:pPr>
            <w:r>
              <w:rPr>
                <w:sz w:val="16"/>
                <w:szCs w:val="16"/>
              </w:rPr>
              <w:t>per 1000</w:t>
            </w:r>
          </w:p>
        </w:tc>
        <w:tc>
          <w:tcPr>
            <w:tcW w:w="105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1,3</w:t>
            </w:r>
          </w:p>
          <w:p w:rsidR="009C6A81" w:rsidRDefault="00ED5651">
            <w:pPr>
              <w:jc w:val="center"/>
              <w:rPr>
                <w:sz w:val="10"/>
                <w:szCs w:val="10"/>
              </w:rPr>
            </w:pPr>
            <w:r>
              <w:rPr>
                <w:sz w:val="10"/>
                <w:szCs w:val="10"/>
              </w:rPr>
              <w:t>(0,77 to 2,17)</w:t>
            </w:r>
          </w:p>
          <w:p w:rsidR="009C6A81" w:rsidRDefault="00ED5651">
            <w:pPr>
              <w:jc w:val="center"/>
              <w:rPr>
                <w:sz w:val="20"/>
                <w:szCs w:val="20"/>
              </w:rPr>
            </w:pPr>
            <w:r>
              <w:rPr>
                <w:sz w:val="20"/>
                <w:szCs w:val="20"/>
              </w:rPr>
              <w:t xml:space="preserve"> </w:t>
            </w:r>
          </w:p>
          <w:p w:rsidR="009C6A81" w:rsidRDefault="00ED5651">
            <w:pPr>
              <w:jc w:val="center"/>
              <w:rPr>
                <w:sz w:val="10"/>
                <w:szCs w:val="10"/>
              </w:rPr>
            </w:pPr>
            <w:r>
              <w:rPr>
                <w:sz w:val="10"/>
                <w:szCs w:val="10"/>
              </w:rPr>
              <w:t>4 studies (data from 759 persons)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540"/>
        </w:trPr>
        <w:tc>
          <w:tcPr>
            <w:tcW w:w="154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5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225"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143 persons more per 1000</w:t>
            </w:r>
          </w:p>
          <w:p w:rsidR="009C6A81" w:rsidRDefault="00ED5651">
            <w:pPr>
              <w:jc w:val="center"/>
              <w:rPr>
                <w:sz w:val="10"/>
                <w:szCs w:val="10"/>
              </w:rPr>
            </w:pPr>
            <w:r>
              <w:rPr>
                <w:sz w:val="10"/>
                <w:szCs w:val="10"/>
              </w:rPr>
              <w:t>(95% IC: 109 less a 556 more persons)</w:t>
            </w:r>
          </w:p>
        </w:tc>
        <w:tc>
          <w:tcPr>
            <w:tcW w:w="105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15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Neonatal mortality</w:t>
            </w:r>
          </w:p>
        </w:tc>
        <w:tc>
          <w:tcPr>
            <w:tcW w:w="20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Being referred to a multidisciplinary program may result in a slight </w:t>
            </w:r>
            <w:r>
              <w:rPr>
                <w:sz w:val="16"/>
                <w:szCs w:val="16"/>
              </w:rPr>
              <w:lastRenderedPageBreak/>
              <w:t>reduction in neonatal mortality.</w:t>
            </w:r>
          </w:p>
        </w:tc>
        <w:tc>
          <w:tcPr>
            <w:tcW w:w="165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lastRenderedPageBreak/>
              <w:t>18</w:t>
            </w:r>
          </w:p>
          <w:p w:rsidR="009C6A81" w:rsidRDefault="00ED5651">
            <w:pPr>
              <w:jc w:val="center"/>
              <w:rPr>
                <w:sz w:val="16"/>
                <w:szCs w:val="16"/>
              </w:rPr>
            </w:pPr>
            <w:r>
              <w:rPr>
                <w:sz w:val="16"/>
                <w:szCs w:val="16"/>
              </w:rPr>
              <w:t>per 1000</w:t>
            </w:r>
          </w:p>
        </w:tc>
        <w:tc>
          <w:tcPr>
            <w:tcW w:w="157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w:t>
            </w:r>
          </w:p>
          <w:p w:rsidR="009C6A81" w:rsidRDefault="00ED5651">
            <w:pPr>
              <w:jc w:val="center"/>
              <w:rPr>
                <w:sz w:val="16"/>
                <w:szCs w:val="16"/>
              </w:rPr>
            </w:pPr>
            <w:r>
              <w:rPr>
                <w:sz w:val="16"/>
                <w:szCs w:val="16"/>
              </w:rPr>
              <w:t>per 1000</w:t>
            </w:r>
          </w:p>
        </w:tc>
        <w:tc>
          <w:tcPr>
            <w:tcW w:w="105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0,11</w:t>
            </w:r>
          </w:p>
          <w:p w:rsidR="009C6A81" w:rsidRDefault="00ED5651">
            <w:pPr>
              <w:jc w:val="center"/>
              <w:rPr>
                <w:sz w:val="10"/>
                <w:szCs w:val="10"/>
              </w:rPr>
            </w:pPr>
            <w:r>
              <w:rPr>
                <w:sz w:val="10"/>
                <w:szCs w:val="10"/>
              </w:rPr>
              <w:t>(0,01 to 0,92)</w:t>
            </w:r>
          </w:p>
          <w:p w:rsidR="009C6A81" w:rsidRDefault="00ED5651">
            <w:pPr>
              <w:jc w:val="center"/>
              <w:rPr>
                <w:sz w:val="20"/>
                <w:szCs w:val="20"/>
              </w:rPr>
            </w:pPr>
            <w:r>
              <w:rPr>
                <w:sz w:val="20"/>
                <w:szCs w:val="20"/>
              </w:rPr>
              <w:t xml:space="preserve"> </w:t>
            </w:r>
          </w:p>
          <w:p w:rsidR="009C6A81" w:rsidRDefault="00ED5651">
            <w:pPr>
              <w:jc w:val="center"/>
              <w:rPr>
                <w:sz w:val="10"/>
                <w:szCs w:val="10"/>
              </w:rPr>
            </w:pPr>
            <w:r>
              <w:rPr>
                <w:sz w:val="10"/>
                <w:szCs w:val="10"/>
              </w:rPr>
              <w:lastRenderedPageBreak/>
              <w:t>2 studies (data from 456 persons)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lastRenderedPageBreak/>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b</w:t>
            </w:r>
          </w:p>
        </w:tc>
      </w:tr>
      <w:tr w:rsidR="009C6A81">
        <w:trPr>
          <w:trHeight w:val="540"/>
        </w:trPr>
        <w:tc>
          <w:tcPr>
            <w:tcW w:w="154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5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225"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16 persons less per 1000</w:t>
            </w:r>
          </w:p>
          <w:p w:rsidR="009C6A81" w:rsidRDefault="00ED5651">
            <w:pPr>
              <w:jc w:val="center"/>
              <w:rPr>
                <w:sz w:val="10"/>
                <w:szCs w:val="10"/>
              </w:rPr>
            </w:pPr>
            <w:r>
              <w:rPr>
                <w:sz w:val="10"/>
                <w:szCs w:val="10"/>
              </w:rPr>
              <w:t>( 95% CI: 19  a 1 less person)</w:t>
            </w:r>
          </w:p>
        </w:tc>
        <w:tc>
          <w:tcPr>
            <w:tcW w:w="105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75"/>
        </w:trPr>
        <w:tc>
          <w:tcPr>
            <w:tcW w:w="15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Miscarriage</w:t>
            </w:r>
          </w:p>
        </w:tc>
        <w:tc>
          <w:tcPr>
            <w:tcW w:w="20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Being referred to a multidisciplinary program may result in a slight increase in miscarriage.</w:t>
            </w:r>
          </w:p>
        </w:tc>
        <w:tc>
          <w:tcPr>
            <w:tcW w:w="165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75</w:t>
            </w:r>
          </w:p>
          <w:p w:rsidR="009C6A81" w:rsidRDefault="00ED5651">
            <w:pPr>
              <w:jc w:val="center"/>
              <w:rPr>
                <w:sz w:val="16"/>
                <w:szCs w:val="16"/>
              </w:rPr>
            </w:pPr>
            <w:r>
              <w:rPr>
                <w:sz w:val="16"/>
                <w:szCs w:val="16"/>
              </w:rPr>
              <w:t>per 1000</w:t>
            </w:r>
          </w:p>
        </w:tc>
        <w:tc>
          <w:tcPr>
            <w:tcW w:w="157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102</w:t>
            </w:r>
          </w:p>
          <w:p w:rsidR="009C6A81" w:rsidRDefault="00ED5651">
            <w:pPr>
              <w:jc w:val="center"/>
              <w:rPr>
                <w:sz w:val="16"/>
                <w:szCs w:val="16"/>
              </w:rPr>
            </w:pPr>
            <w:r>
              <w:rPr>
                <w:sz w:val="16"/>
                <w:szCs w:val="16"/>
              </w:rPr>
              <w:t>per 1000</w:t>
            </w:r>
          </w:p>
        </w:tc>
        <w:tc>
          <w:tcPr>
            <w:tcW w:w="105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1,36</w:t>
            </w:r>
          </w:p>
          <w:p w:rsidR="009C6A81" w:rsidRDefault="00ED5651">
            <w:pPr>
              <w:jc w:val="center"/>
              <w:rPr>
                <w:sz w:val="10"/>
                <w:szCs w:val="10"/>
              </w:rPr>
            </w:pPr>
            <w:r>
              <w:rPr>
                <w:sz w:val="10"/>
                <w:szCs w:val="10"/>
              </w:rPr>
              <w:t>(0,86 to 2,15)</w:t>
            </w:r>
          </w:p>
          <w:p w:rsidR="009C6A81" w:rsidRDefault="00ED5651">
            <w:pPr>
              <w:jc w:val="center"/>
              <w:rPr>
                <w:sz w:val="20"/>
                <w:szCs w:val="20"/>
              </w:rPr>
            </w:pPr>
            <w:r>
              <w:rPr>
                <w:sz w:val="20"/>
                <w:szCs w:val="20"/>
              </w:rPr>
              <w:t xml:space="preserve"> </w:t>
            </w:r>
          </w:p>
          <w:p w:rsidR="009C6A81" w:rsidRDefault="00ED5651">
            <w:pPr>
              <w:jc w:val="center"/>
              <w:rPr>
                <w:sz w:val="10"/>
                <w:szCs w:val="10"/>
              </w:rPr>
            </w:pPr>
            <w:r>
              <w:rPr>
                <w:sz w:val="10"/>
                <w:szCs w:val="10"/>
              </w:rPr>
              <w:t>5 studies (data from 1060 persons)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c</w:t>
            </w:r>
          </w:p>
        </w:tc>
      </w:tr>
      <w:tr w:rsidR="009C6A81">
        <w:trPr>
          <w:trHeight w:val="600"/>
        </w:trPr>
        <w:tc>
          <w:tcPr>
            <w:tcW w:w="154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5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225"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27 persons more per 1000</w:t>
            </w:r>
          </w:p>
          <w:p w:rsidR="009C6A81" w:rsidRDefault="00ED5651">
            <w:pPr>
              <w:jc w:val="center"/>
              <w:rPr>
                <w:sz w:val="10"/>
                <w:szCs w:val="10"/>
              </w:rPr>
            </w:pPr>
            <w:r>
              <w:rPr>
                <w:sz w:val="10"/>
                <w:szCs w:val="10"/>
              </w:rPr>
              <w:t>(95% CI: 10 less a 86 more persons)</w:t>
            </w:r>
          </w:p>
        </w:tc>
        <w:tc>
          <w:tcPr>
            <w:tcW w:w="105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75"/>
        </w:trPr>
        <w:tc>
          <w:tcPr>
            <w:tcW w:w="15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Clinical pregnancy</w:t>
            </w:r>
          </w:p>
        </w:tc>
        <w:tc>
          <w:tcPr>
            <w:tcW w:w="20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Being referred to a multidisciplinary program may increase clinical pregnancy rates, but the evidence is very uncertain.</w:t>
            </w:r>
          </w:p>
        </w:tc>
        <w:tc>
          <w:tcPr>
            <w:tcW w:w="165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499</w:t>
            </w:r>
          </w:p>
          <w:p w:rsidR="009C6A81" w:rsidRDefault="00ED5651">
            <w:pPr>
              <w:jc w:val="center"/>
              <w:rPr>
                <w:sz w:val="16"/>
                <w:szCs w:val="16"/>
              </w:rPr>
            </w:pPr>
            <w:r>
              <w:rPr>
                <w:sz w:val="16"/>
                <w:szCs w:val="16"/>
              </w:rPr>
              <w:t>per 1000</w:t>
            </w:r>
          </w:p>
        </w:tc>
        <w:tc>
          <w:tcPr>
            <w:tcW w:w="157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614</w:t>
            </w:r>
          </w:p>
          <w:p w:rsidR="009C6A81" w:rsidRDefault="00ED5651">
            <w:pPr>
              <w:jc w:val="center"/>
              <w:rPr>
                <w:sz w:val="16"/>
                <w:szCs w:val="16"/>
              </w:rPr>
            </w:pPr>
            <w:r>
              <w:rPr>
                <w:sz w:val="16"/>
                <w:szCs w:val="16"/>
              </w:rPr>
              <w:t>per 1000</w:t>
            </w:r>
          </w:p>
        </w:tc>
        <w:tc>
          <w:tcPr>
            <w:tcW w:w="105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1,23</w:t>
            </w:r>
          </w:p>
          <w:p w:rsidR="009C6A81" w:rsidRDefault="00ED5651">
            <w:pPr>
              <w:jc w:val="center"/>
              <w:rPr>
                <w:sz w:val="10"/>
                <w:szCs w:val="10"/>
              </w:rPr>
            </w:pPr>
            <w:r>
              <w:rPr>
                <w:sz w:val="10"/>
                <w:szCs w:val="10"/>
              </w:rPr>
              <w:t>(0,98 to 1,55)</w:t>
            </w:r>
          </w:p>
          <w:p w:rsidR="009C6A81" w:rsidRDefault="00ED5651">
            <w:pPr>
              <w:jc w:val="center"/>
              <w:rPr>
                <w:sz w:val="20"/>
                <w:szCs w:val="20"/>
              </w:rPr>
            </w:pPr>
            <w:r>
              <w:rPr>
                <w:sz w:val="20"/>
                <w:szCs w:val="20"/>
              </w:rPr>
              <w:t xml:space="preserve"> </w:t>
            </w:r>
          </w:p>
          <w:p w:rsidR="009C6A81" w:rsidRDefault="00ED5651">
            <w:pPr>
              <w:jc w:val="center"/>
              <w:rPr>
                <w:sz w:val="10"/>
                <w:szCs w:val="10"/>
              </w:rPr>
            </w:pPr>
            <w:r>
              <w:rPr>
                <w:sz w:val="10"/>
                <w:szCs w:val="10"/>
              </w:rPr>
              <w:t>7 studies (data from 1226 persons)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600"/>
        </w:trPr>
        <w:tc>
          <w:tcPr>
            <w:tcW w:w="154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5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225"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115 persons more per 1000</w:t>
            </w:r>
          </w:p>
          <w:p w:rsidR="009C6A81" w:rsidRDefault="00ED5651">
            <w:pPr>
              <w:jc w:val="center"/>
              <w:rPr>
                <w:sz w:val="10"/>
                <w:szCs w:val="10"/>
              </w:rPr>
            </w:pPr>
            <w:r>
              <w:rPr>
                <w:sz w:val="10"/>
                <w:szCs w:val="10"/>
              </w:rPr>
              <w:t>(95% CI: 10 less a 275 more persons)</w:t>
            </w:r>
          </w:p>
        </w:tc>
        <w:tc>
          <w:tcPr>
            <w:tcW w:w="105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15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Gestational diabetes</w:t>
            </w:r>
          </w:p>
        </w:tc>
        <w:tc>
          <w:tcPr>
            <w:tcW w:w="20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Being referred to a multidisciplinary program may have little to no effect on gestational diabetes incidence, but the evidence is very uncertain.</w:t>
            </w:r>
          </w:p>
        </w:tc>
        <w:tc>
          <w:tcPr>
            <w:tcW w:w="165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247</w:t>
            </w:r>
          </w:p>
          <w:p w:rsidR="009C6A81" w:rsidRDefault="00ED5651">
            <w:pPr>
              <w:jc w:val="center"/>
              <w:rPr>
                <w:sz w:val="16"/>
                <w:szCs w:val="16"/>
              </w:rPr>
            </w:pPr>
            <w:r>
              <w:rPr>
                <w:sz w:val="16"/>
                <w:szCs w:val="16"/>
              </w:rPr>
              <w:t>per 1000</w:t>
            </w:r>
          </w:p>
        </w:tc>
        <w:tc>
          <w:tcPr>
            <w:tcW w:w="157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245</w:t>
            </w:r>
          </w:p>
          <w:p w:rsidR="009C6A81" w:rsidRDefault="00ED5651">
            <w:pPr>
              <w:jc w:val="center"/>
              <w:rPr>
                <w:sz w:val="16"/>
                <w:szCs w:val="16"/>
              </w:rPr>
            </w:pPr>
            <w:r>
              <w:rPr>
                <w:sz w:val="16"/>
                <w:szCs w:val="16"/>
              </w:rPr>
              <w:t>per 1000</w:t>
            </w:r>
          </w:p>
        </w:tc>
        <w:tc>
          <w:tcPr>
            <w:tcW w:w="105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0,99</w:t>
            </w:r>
          </w:p>
          <w:p w:rsidR="009C6A81" w:rsidRDefault="00ED5651">
            <w:pPr>
              <w:jc w:val="center"/>
              <w:rPr>
                <w:sz w:val="10"/>
                <w:szCs w:val="10"/>
              </w:rPr>
            </w:pPr>
            <w:r>
              <w:rPr>
                <w:sz w:val="10"/>
                <w:szCs w:val="10"/>
              </w:rPr>
              <w:t>(0,75 to 1,31)</w:t>
            </w:r>
          </w:p>
          <w:p w:rsidR="009C6A81" w:rsidRDefault="00ED5651">
            <w:pPr>
              <w:jc w:val="center"/>
              <w:rPr>
                <w:sz w:val="20"/>
                <w:szCs w:val="20"/>
              </w:rPr>
            </w:pPr>
            <w:r>
              <w:rPr>
                <w:sz w:val="20"/>
                <w:szCs w:val="20"/>
              </w:rPr>
              <w:t xml:space="preserve"> </w:t>
            </w:r>
          </w:p>
          <w:p w:rsidR="009C6A81" w:rsidRDefault="00ED5651">
            <w:pPr>
              <w:jc w:val="center"/>
              <w:rPr>
                <w:sz w:val="10"/>
                <w:szCs w:val="10"/>
              </w:rPr>
            </w:pPr>
            <w:r>
              <w:rPr>
                <w:sz w:val="10"/>
                <w:szCs w:val="10"/>
              </w:rPr>
              <w:t>5 studies (data from 726 persons)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540"/>
        </w:trPr>
        <w:tc>
          <w:tcPr>
            <w:tcW w:w="154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5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225"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2 persons less per 1000</w:t>
            </w:r>
          </w:p>
          <w:p w:rsidR="009C6A81" w:rsidRDefault="00ED5651">
            <w:pPr>
              <w:jc w:val="center"/>
              <w:rPr>
                <w:sz w:val="10"/>
                <w:szCs w:val="10"/>
              </w:rPr>
            </w:pPr>
            <w:r>
              <w:rPr>
                <w:sz w:val="10"/>
                <w:szCs w:val="10"/>
              </w:rPr>
              <w:t>(95% CI: 62 less a 76 more persons)</w:t>
            </w:r>
          </w:p>
        </w:tc>
        <w:tc>
          <w:tcPr>
            <w:tcW w:w="105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15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Gestational weight gain</w:t>
            </w:r>
          </w:p>
        </w:tc>
        <w:tc>
          <w:tcPr>
            <w:tcW w:w="20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Being referred to a multidisciplinary program may reduce gestational weight gain, but the evidence is very uncertain.</w:t>
            </w:r>
          </w:p>
        </w:tc>
        <w:tc>
          <w:tcPr>
            <w:tcW w:w="165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10.5</w:t>
            </w:r>
          </w:p>
          <w:p w:rsidR="009C6A81" w:rsidRDefault="00ED5651">
            <w:pPr>
              <w:jc w:val="center"/>
              <w:rPr>
                <w:sz w:val="16"/>
                <w:szCs w:val="16"/>
              </w:rPr>
            </w:pPr>
            <w:r>
              <w:rPr>
                <w:sz w:val="16"/>
                <w:szCs w:val="16"/>
              </w:rPr>
              <w:t>kg</w:t>
            </w:r>
          </w:p>
        </w:tc>
        <w:tc>
          <w:tcPr>
            <w:tcW w:w="157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6.55</w:t>
            </w:r>
          </w:p>
          <w:p w:rsidR="009C6A81" w:rsidRDefault="00ED5651">
            <w:pPr>
              <w:jc w:val="center"/>
              <w:rPr>
                <w:sz w:val="16"/>
                <w:szCs w:val="16"/>
              </w:rPr>
            </w:pPr>
            <w:r>
              <w:rPr>
                <w:sz w:val="16"/>
                <w:szCs w:val="16"/>
              </w:rPr>
              <w:t>kg</w:t>
            </w:r>
          </w:p>
        </w:tc>
        <w:tc>
          <w:tcPr>
            <w:tcW w:w="105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0"/>
                <w:szCs w:val="10"/>
              </w:rPr>
            </w:pPr>
            <w:r>
              <w:rPr>
                <w:sz w:val="10"/>
                <w:szCs w:val="10"/>
              </w:rPr>
              <w:t>3 studies (data from 353 persons)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1035"/>
        </w:trPr>
        <w:tc>
          <w:tcPr>
            <w:tcW w:w="154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5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225"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3.95 kg less</w:t>
            </w:r>
          </w:p>
          <w:p w:rsidR="009C6A81" w:rsidRDefault="00ED5651">
            <w:pPr>
              <w:jc w:val="center"/>
              <w:rPr>
                <w:sz w:val="10"/>
                <w:szCs w:val="10"/>
              </w:rPr>
            </w:pPr>
            <w:r>
              <w:rPr>
                <w:sz w:val="10"/>
                <w:szCs w:val="10"/>
              </w:rPr>
              <w:t>(IC 95 % 1.07 more to 8.98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-3.95</w:t>
            </w:r>
          </w:p>
          <w:p w:rsidR="009C6A81" w:rsidRDefault="00ED5651">
            <w:pPr>
              <w:jc w:val="center"/>
              <w:rPr>
                <w:sz w:val="16"/>
                <w:szCs w:val="16"/>
              </w:rPr>
            </w:pPr>
            <w:r>
              <w:rPr>
                <w:sz w:val="16"/>
                <w:szCs w:val="16"/>
              </w:rPr>
              <w:t>(-8.98 to 1.07)</w:t>
            </w:r>
          </w:p>
        </w:tc>
        <w:tc>
          <w:tcPr>
            <w:tcW w:w="105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15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w:t>
            </w:r>
          </w:p>
        </w:tc>
        <w:tc>
          <w:tcPr>
            <w:tcW w:w="20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Being referred to a multidisciplinary program may have little to no effect on body weight, but the evidence is very uncertain.</w:t>
            </w:r>
          </w:p>
        </w:tc>
        <w:tc>
          <w:tcPr>
            <w:tcW w:w="165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83.6</w:t>
            </w:r>
          </w:p>
          <w:p w:rsidR="009C6A81" w:rsidRDefault="00ED5651">
            <w:pPr>
              <w:jc w:val="center"/>
              <w:rPr>
                <w:sz w:val="16"/>
                <w:szCs w:val="16"/>
              </w:rPr>
            </w:pPr>
            <w:r>
              <w:rPr>
                <w:sz w:val="16"/>
                <w:szCs w:val="16"/>
              </w:rPr>
              <w:t>kg</w:t>
            </w:r>
          </w:p>
        </w:tc>
        <w:tc>
          <w:tcPr>
            <w:tcW w:w="157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82.36</w:t>
            </w:r>
          </w:p>
          <w:p w:rsidR="009C6A81" w:rsidRDefault="00ED5651">
            <w:pPr>
              <w:jc w:val="center"/>
              <w:rPr>
                <w:sz w:val="16"/>
                <w:szCs w:val="16"/>
              </w:rPr>
            </w:pPr>
            <w:r>
              <w:rPr>
                <w:sz w:val="16"/>
                <w:szCs w:val="16"/>
              </w:rPr>
              <w:t>kg</w:t>
            </w:r>
          </w:p>
        </w:tc>
        <w:tc>
          <w:tcPr>
            <w:tcW w:w="105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0"/>
                <w:szCs w:val="10"/>
              </w:rPr>
            </w:pPr>
            <w:r>
              <w:rPr>
                <w:sz w:val="10"/>
                <w:szCs w:val="10"/>
              </w:rPr>
              <w:t>5 studies (data from 941 persons)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1035"/>
        </w:trPr>
        <w:tc>
          <w:tcPr>
            <w:tcW w:w="1545"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5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225" w:type="dxa"/>
            <w:gridSpan w:val="2"/>
            <w:tcBorders>
              <w:top w:val="nil"/>
              <w:left w:val="nil"/>
              <w:bottom w:val="single" w:sz="8"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1.24 kg less</w:t>
            </w:r>
          </w:p>
          <w:p w:rsidR="009C6A81" w:rsidRDefault="00ED5651">
            <w:pPr>
              <w:jc w:val="center"/>
              <w:rPr>
                <w:sz w:val="10"/>
                <w:szCs w:val="10"/>
              </w:rPr>
            </w:pPr>
            <w:r>
              <w:rPr>
                <w:sz w:val="10"/>
                <w:szCs w:val="10"/>
              </w:rPr>
              <w:t>(IC 95 % 3.9 less to 1.42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-1.24</w:t>
            </w:r>
          </w:p>
          <w:p w:rsidR="009C6A81" w:rsidRDefault="00ED5651">
            <w:pPr>
              <w:jc w:val="center"/>
              <w:rPr>
                <w:sz w:val="16"/>
                <w:szCs w:val="16"/>
              </w:rPr>
            </w:pPr>
            <w:r>
              <w:rPr>
                <w:sz w:val="16"/>
                <w:szCs w:val="16"/>
              </w:rPr>
              <w:t>(-3.9 to 1.42)</w:t>
            </w:r>
          </w:p>
        </w:tc>
        <w:tc>
          <w:tcPr>
            <w:tcW w:w="105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8835"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RR: Relative risk; OR: odds ratio; CI: 95% confidence interval</w:t>
            </w:r>
          </w:p>
          <w:p w:rsidR="009C6A81" w:rsidRDefault="009C6A81">
            <w:pPr>
              <w:jc w:val="left"/>
              <w:rPr>
                <w:b/>
                <w:sz w:val="16"/>
                <w:szCs w:val="16"/>
              </w:rPr>
            </w:pPr>
          </w:p>
          <w:p w:rsidR="009C6A81" w:rsidRDefault="00ED5651">
            <w:pPr>
              <w:jc w:val="left"/>
              <w:rPr>
                <w:b/>
                <w:sz w:val="16"/>
                <w:szCs w:val="16"/>
              </w:rPr>
            </w:pPr>
            <w:r>
              <w:rPr>
                <w:b/>
                <w:sz w:val="16"/>
                <w:szCs w:val="16"/>
              </w:rPr>
              <w:t>EXPLANATION</w:t>
            </w:r>
          </w:p>
          <w:p w:rsidR="009C6A81" w:rsidRDefault="00ED5651">
            <w:pPr>
              <w:spacing w:before="120"/>
              <w:rPr>
                <w:sz w:val="16"/>
                <w:szCs w:val="16"/>
              </w:rPr>
            </w:pPr>
            <w:r>
              <w:rPr>
                <w:sz w:val="16"/>
                <w:szCs w:val="16"/>
              </w:rPr>
              <w:t>a. It was downgraded due to serious risk of bias, imprecision and inconsistency.</w:t>
            </w:r>
          </w:p>
          <w:p w:rsidR="009C6A81" w:rsidRDefault="00ED5651">
            <w:pPr>
              <w:spacing w:before="120"/>
              <w:rPr>
                <w:sz w:val="16"/>
                <w:szCs w:val="16"/>
              </w:rPr>
            </w:pPr>
            <w:r>
              <w:rPr>
                <w:sz w:val="16"/>
                <w:szCs w:val="16"/>
              </w:rPr>
              <w:t>b. It was downgraded due to very serious imprecision.</w:t>
            </w:r>
          </w:p>
          <w:p w:rsidR="009C6A81" w:rsidRDefault="00ED5651">
            <w:pPr>
              <w:spacing w:before="120"/>
              <w:rPr>
                <w:b/>
                <w:sz w:val="16"/>
                <w:szCs w:val="16"/>
              </w:rPr>
            </w:pPr>
            <w:r>
              <w:rPr>
                <w:sz w:val="16"/>
                <w:szCs w:val="16"/>
              </w:rPr>
              <w:t>c. It was downgraded due to serious risk of bias and  imprecision.</w:t>
            </w:r>
          </w:p>
        </w:tc>
      </w:tr>
    </w:tbl>
    <w:p w:rsidR="009C6A81" w:rsidRDefault="00ED5651">
      <w:r>
        <w:rPr>
          <w:sz w:val="20"/>
          <w:szCs w:val="20"/>
        </w:rPr>
        <w:t xml:space="preserve"> </w:t>
      </w:r>
    </w:p>
    <w:p w:rsidR="009C6A81" w:rsidRDefault="009C6A81">
      <w:pPr>
        <w:ind w:left="-990"/>
      </w:pPr>
    </w:p>
    <w:p w:rsidR="009C6A81" w:rsidRDefault="00ED5651">
      <w:pPr>
        <w:ind w:left="-990"/>
        <w:rPr>
          <w:highlight w:val="yellow"/>
        </w:rPr>
      </w:pPr>
      <w:r>
        <w:t>An interactive version of this Summary of Findings table is available at the</w:t>
      </w:r>
      <w:hyperlink r:id="rId15" w:anchor="/finding/66534982e3089d04b934e5b1">
        <w:r>
          <w:rPr>
            <w:color w:val="1155CC"/>
            <w:u w:val="single"/>
          </w:rPr>
          <w:t xml:space="preserve"> </w:t>
        </w:r>
      </w:hyperlink>
      <w:hyperlink r:id="rId16" w:anchor="/finding/66534982e3089d04b934e5b1">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the effects of referring to a multidisciplinary program. </w:t>
      </w:r>
    </w:p>
    <w:p w:rsidR="009C6A81" w:rsidRDefault="009C6A81">
      <w:pPr>
        <w:ind w:left="-990"/>
      </w:pPr>
    </w:p>
    <w:p w:rsidR="009C6A81" w:rsidRDefault="00ED5651">
      <w:pPr>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bl>
      <w:tblPr>
        <w:tblStyle w:val="afa"/>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90"/>
        <w:gridCol w:w="1125"/>
        <w:gridCol w:w="1065"/>
        <w:gridCol w:w="1065"/>
        <w:gridCol w:w="975"/>
        <w:gridCol w:w="1020"/>
        <w:gridCol w:w="1020"/>
        <w:gridCol w:w="990"/>
      </w:tblGrid>
      <w:tr w:rsidR="009C6A81">
        <w:trPr>
          <w:trHeight w:val="525"/>
        </w:trPr>
        <w:tc>
          <w:tcPr>
            <w:tcW w:w="1590"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112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6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106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7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yes</w:t>
            </w:r>
          </w:p>
        </w:tc>
        <w:tc>
          <w:tcPr>
            <w:tcW w:w="102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no</w:t>
            </w:r>
          </w:p>
        </w:tc>
        <w:tc>
          <w:tcPr>
            <w:tcW w:w="102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w:t>
            </w:r>
          </w:p>
        </w:tc>
        <w:tc>
          <w:tcPr>
            <w:tcW w:w="990"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52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Trivial</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Large</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52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Small</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Large</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660"/>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included studies</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Low</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High</w:t>
            </w:r>
          </w:p>
        </w:tc>
        <w:tc>
          <w:tcPr>
            <w:tcW w:w="102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106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Important uncertainty or variability</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no important uncertainty or variability</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 important uncertainty or variability</w:t>
            </w:r>
          </w:p>
        </w:tc>
        <w:tc>
          <w:tcPr>
            <w:tcW w:w="102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102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106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Favours the comparison</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favours the comparison</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Does not favour either the intervention or the comparison</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Favours the intervention</w:t>
            </w:r>
          </w:p>
        </w:tc>
      </w:tr>
      <w:tr w:rsidR="009C6A81">
        <w:trPr>
          <w:trHeight w:val="660"/>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Varies</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Large costs</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 costs</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Negligible costs or savings</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 savings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Large savings</w:t>
            </w:r>
          </w:p>
        </w:tc>
      </w:tr>
      <w:tr w:rsidR="009C6A81">
        <w:trPr>
          <w:trHeight w:val="660"/>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Very low</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Low</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Moderate</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High</w:t>
            </w:r>
          </w:p>
        </w:tc>
        <w:tc>
          <w:tcPr>
            <w:tcW w:w="102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106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Favours the comparison</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favours the comparison</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Does not favour either the intervention or the comparison</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Favours the intervention</w:t>
            </w:r>
          </w:p>
        </w:tc>
      </w:tr>
      <w:tr w:rsidR="009C6A81">
        <w:trPr>
          <w:trHeight w:val="52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Reduced</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reduced</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no impact</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increased</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Increased</w:t>
            </w:r>
          </w:p>
        </w:tc>
      </w:tr>
      <w:tr w:rsidR="009C6A81">
        <w:trPr>
          <w:trHeight w:val="52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Yes</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no</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r w:rsidR="009C6A81">
        <w:trPr>
          <w:trHeight w:val="525"/>
        </w:trPr>
        <w:tc>
          <w:tcPr>
            <w:tcW w:w="1590"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112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Don't know</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Varies</w:t>
            </w:r>
          </w:p>
        </w:tc>
        <w:tc>
          <w:tcPr>
            <w:tcW w:w="106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Yes</w:t>
            </w:r>
          </w:p>
        </w:tc>
        <w:tc>
          <w:tcPr>
            <w:tcW w:w="97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Probably yes</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102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color w:val="BBBBBB"/>
                <w:sz w:val="12"/>
                <w:szCs w:val="12"/>
              </w:rPr>
            </w:pPr>
            <w:r>
              <w:rPr>
                <w:b/>
                <w:color w:val="BBBBBB"/>
                <w:sz w:val="12"/>
                <w:szCs w:val="12"/>
              </w:rPr>
              <w:t>No</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b/>
                <w:sz w:val="20"/>
                <w:szCs w:val="20"/>
              </w:rPr>
            </w:pPr>
            <w:r>
              <w:rPr>
                <w:b/>
                <w:sz w:val="20"/>
                <w:szCs w:val="20"/>
              </w:rPr>
              <w:t xml:space="preserve"> </w:t>
            </w:r>
          </w:p>
        </w:tc>
      </w:tr>
    </w:tbl>
    <w:p w:rsidR="009C6A81" w:rsidRDefault="009C6A81">
      <w:pPr>
        <w:jc w:val="left"/>
        <w:rPr>
          <w:b/>
          <w:sz w:val="18"/>
          <w:szCs w:val="18"/>
        </w:rPr>
      </w:pPr>
    </w:p>
    <w:p w:rsidR="009C6A81" w:rsidRDefault="009C6A81">
      <w:pPr>
        <w:jc w:val="left"/>
        <w:rPr>
          <w:b/>
          <w:sz w:val="18"/>
          <w:szCs w:val="18"/>
        </w:rPr>
      </w:pPr>
    </w:p>
    <w:p w:rsidR="009C6A81" w:rsidRDefault="00ED5651">
      <w:pPr>
        <w:pStyle w:val="Ttulo6"/>
        <w:ind w:hanging="990"/>
      </w:pPr>
      <w:bookmarkStart w:id="37" w:name="_fw5ci3xmvi84" w:colFirst="0" w:colLast="0"/>
      <w:bookmarkEnd w:id="37"/>
      <w:r>
        <w:t xml:space="preserve">Question 3. </w:t>
      </w:r>
      <w:r>
        <w:t>Should adults aged 18 and older with grade 2 obesity be referred to a multidisciplinary program compared to not referring them?</w:t>
      </w:r>
    </w:p>
    <w:p w:rsidR="009C6A81" w:rsidRDefault="009C6A81"/>
    <w:p w:rsidR="009C6A81" w:rsidRDefault="00ED5651">
      <w:pPr>
        <w:ind w:left="-990"/>
      </w:pPr>
      <w:r>
        <w:lastRenderedPageBreak/>
        <w:t>Table. Summary of findings for the effects of referring to a multidisciplinary program.</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b"/>
        <w:tblW w:w="883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61"/>
        <w:gridCol w:w="2397"/>
        <w:gridCol w:w="1477"/>
        <w:gridCol w:w="1477"/>
        <w:gridCol w:w="990"/>
        <w:gridCol w:w="930"/>
      </w:tblGrid>
      <w:tr w:rsidR="009C6A81">
        <w:trPr>
          <w:trHeight w:val="435"/>
        </w:trPr>
        <w:tc>
          <w:tcPr>
            <w:tcW w:w="1560"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39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954"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9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3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795"/>
        </w:trPr>
        <w:tc>
          <w:tcPr>
            <w:tcW w:w="1560"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39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477"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conventional treatment</w:t>
            </w:r>
          </w:p>
        </w:tc>
        <w:tc>
          <w:tcPr>
            <w:tcW w:w="1477"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multidisciplinary program</w:t>
            </w:r>
          </w:p>
        </w:tc>
        <w:tc>
          <w:tcPr>
            <w:tcW w:w="99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3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495"/>
        </w:trPr>
        <w:tc>
          <w:tcPr>
            <w:tcW w:w="156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 from baseline</w:t>
            </w:r>
          </w:p>
        </w:tc>
        <w:tc>
          <w:tcPr>
            <w:tcW w:w="23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Being referred to a multidisciplinary program may result in little to no difference in body weight.</w:t>
            </w:r>
          </w:p>
        </w:tc>
        <w:tc>
          <w:tcPr>
            <w:tcW w:w="147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111.2</w:t>
            </w:r>
          </w:p>
          <w:p w:rsidR="009C6A81" w:rsidRDefault="00ED5651">
            <w:pPr>
              <w:jc w:val="center"/>
              <w:rPr>
                <w:sz w:val="16"/>
                <w:szCs w:val="16"/>
              </w:rPr>
            </w:pPr>
            <w:r>
              <w:rPr>
                <w:sz w:val="16"/>
                <w:szCs w:val="16"/>
              </w:rPr>
              <w:t>kg</w:t>
            </w:r>
          </w:p>
        </w:tc>
        <w:tc>
          <w:tcPr>
            <w:tcW w:w="147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109.16</w:t>
            </w:r>
          </w:p>
          <w:p w:rsidR="009C6A81" w:rsidRDefault="00ED5651">
            <w:pPr>
              <w:jc w:val="center"/>
              <w:rPr>
                <w:sz w:val="16"/>
                <w:szCs w:val="16"/>
              </w:rPr>
            </w:pPr>
            <w:r>
              <w:rPr>
                <w:sz w:val="16"/>
                <w:szCs w:val="16"/>
              </w:rPr>
              <w:t>kg</w:t>
            </w:r>
          </w:p>
        </w:tc>
        <w:tc>
          <w:tcPr>
            <w:tcW w:w="99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3 studies (data from 469 patients)</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1035"/>
        </w:trPr>
        <w:tc>
          <w:tcPr>
            <w:tcW w:w="156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3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2.04 kg less</w:t>
            </w:r>
          </w:p>
          <w:p w:rsidR="009C6A81" w:rsidRDefault="00ED5651">
            <w:pPr>
              <w:jc w:val="center"/>
              <w:rPr>
                <w:sz w:val="10"/>
                <w:szCs w:val="10"/>
              </w:rPr>
            </w:pPr>
            <w:r>
              <w:rPr>
                <w:sz w:val="10"/>
                <w:szCs w:val="10"/>
              </w:rPr>
              <w:t>(IC 95 % 1.86 more to 2.21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-2.04</w:t>
            </w:r>
          </w:p>
          <w:p w:rsidR="009C6A81" w:rsidRDefault="00ED5651">
            <w:pPr>
              <w:jc w:val="center"/>
              <w:rPr>
                <w:sz w:val="16"/>
                <w:szCs w:val="16"/>
              </w:rPr>
            </w:pPr>
            <w:r>
              <w:rPr>
                <w:sz w:val="16"/>
                <w:szCs w:val="16"/>
              </w:rPr>
              <w:t>(-2.21 to -1.86)</w:t>
            </w:r>
          </w:p>
        </w:tc>
        <w:tc>
          <w:tcPr>
            <w:tcW w:w="99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156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over 5%</w:t>
            </w:r>
          </w:p>
        </w:tc>
        <w:tc>
          <w:tcPr>
            <w:tcW w:w="23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Being referred to a multidisciplinary program may result in an increase in the number of patients achieving a body weight reduction of more than 5%.</w:t>
            </w:r>
          </w:p>
        </w:tc>
        <w:tc>
          <w:tcPr>
            <w:tcW w:w="147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221</w:t>
            </w:r>
          </w:p>
          <w:p w:rsidR="009C6A81" w:rsidRDefault="00ED5651">
            <w:pPr>
              <w:jc w:val="center"/>
              <w:rPr>
                <w:sz w:val="16"/>
                <w:szCs w:val="16"/>
              </w:rPr>
            </w:pPr>
            <w:r>
              <w:rPr>
                <w:sz w:val="16"/>
                <w:szCs w:val="16"/>
              </w:rPr>
              <w:t>per 1000</w:t>
            </w:r>
          </w:p>
        </w:tc>
        <w:tc>
          <w:tcPr>
            <w:tcW w:w="147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305</w:t>
            </w:r>
          </w:p>
          <w:p w:rsidR="009C6A81" w:rsidRDefault="00ED5651">
            <w:pPr>
              <w:jc w:val="center"/>
              <w:rPr>
                <w:sz w:val="16"/>
                <w:szCs w:val="16"/>
              </w:rPr>
            </w:pPr>
            <w:r>
              <w:rPr>
                <w:sz w:val="16"/>
                <w:szCs w:val="16"/>
              </w:rPr>
              <w:t>per 1000</w:t>
            </w:r>
          </w:p>
        </w:tc>
        <w:tc>
          <w:tcPr>
            <w:tcW w:w="99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1,38</w:t>
            </w:r>
          </w:p>
          <w:p w:rsidR="009C6A81" w:rsidRDefault="00ED5651">
            <w:pPr>
              <w:jc w:val="center"/>
              <w:rPr>
                <w:sz w:val="10"/>
                <w:szCs w:val="10"/>
              </w:rPr>
            </w:pPr>
            <w:r>
              <w:rPr>
                <w:sz w:val="10"/>
                <w:szCs w:val="10"/>
              </w:rPr>
              <w:t>(0,97 to 1,98)</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2 studies (data from 420 patients)</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540"/>
        </w:trPr>
        <w:tc>
          <w:tcPr>
            <w:tcW w:w="156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3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84 patients more per 1000</w:t>
            </w:r>
          </w:p>
          <w:p w:rsidR="009C6A81" w:rsidRDefault="00ED5651">
            <w:pPr>
              <w:jc w:val="center"/>
              <w:rPr>
                <w:sz w:val="10"/>
                <w:szCs w:val="10"/>
              </w:rPr>
            </w:pPr>
            <w:r>
              <w:rPr>
                <w:sz w:val="10"/>
                <w:szCs w:val="10"/>
              </w:rPr>
              <w:t>(95% CI: 7 less a 217 more patients)</w:t>
            </w:r>
          </w:p>
        </w:tc>
        <w:tc>
          <w:tcPr>
            <w:tcW w:w="99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156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over 10%</w:t>
            </w:r>
          </w:p>
        </w:tc>
        <w:tc>
          <w:tcPr>
            <w:tcW w:w="23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Being referred to a multidisciplinary program may result in an increase in the number of patients achieving a body weight reduction of more than 10%, but the evidence is very uncertain.</w:t>
            </w:r>
          </w:p>
        </w:tc>
        <w:tc>
          <w:tcPr>
            <w:tcW w:w="147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62</w:t>
            </w:r>
          </w:p>
          <w:p w:rsidR="009C6A81" w:rsidRDefault="00ED5651">
            <w:pPr>
              <w:jc w:val="center"/>
              <w:rPr>
                <w:sz w:val="16"/>
                <w:szCs w:val="16"/>
              </w:rPr>
            </w:pPr>
            <w:r>
              <w:rPr>
                <w:sz w:val="16"/>
                <w:szCs w:val="16"/>
              </w:rPr>
              <w:t>per 1000</w:t>
            </w:r>
          </w:p>
        </w:tc>
        <w:tc>
          <w:tcPr>
            <w:tcW w:w="147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139</w:t>
            </w:r>
          </w:p>
          <w:p w:rsidR="009C6A81" w:rsidRDefault="00ED5651">
            <w:pPr>
              <w:jc w:val="center"/>
              <w:rPr>
                <w:sz w:val="16"/>
                <w:szCs w:val="16"/>
              </w:rPr>
            </w:pPr>
            <w:r>
              <w:rPr>
                <w:sz w:val="16"/>
                <w:szCs w:val="16"/>
              </w:rPr>
              <w:t>per 1000</w:t>
            </w:r>
          </w:p>
        </w:tc>
        <w:tc>
          <w:tcPr>
            <w:tcW w:w="99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2,25</w:t>
            </w:r>
          </w:p>
          <w:p w:rsidR="009C6A81" w:rsidRDefault="00ED5651">
            <w:pPr>
              <w:jc w:val="center"/>
              <w:rPr>
                <w:sz w:val="10"/>
                <w:szCs w:val="10"/>
              </w:rPr>
            </w:pPr>
            <w:r>
              <w:rPr>
                <w:sz w:val="10"/>
                <w:szCs w:val="10"/>
              </w:rPr>
              <w:t>(1,08 to 4,7)</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1 studies (data from 390 patients)</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540"/>
        </w:trPr>
        <w:tc>
          <w:tcPr>
            <w:tcW w:w="156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3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77 patients more per 1000</w:t>
            </w:r>
          </w:p>
          <w:p w:rsidR="009C6A81" w:rsidRDefault="00ED5651">
            <w:pPr>
              <w:jc w:val="center"/>
              <w:rPr>
                <w:sz w:val="10"/>
                <w:szCs w:val="10"/>
              </w:rPr>
            </w:pPr>
            <w:r>
              <w:rPr>
                <w:sz w:val="10"/>
                <w:szCs w:val="10"/>
              </w:rPr>
              <w:t>(95% CI: 5  a 228 more patients)</w:t>
            </w:r>
          </w:p>
        </w:tc>
        <w:tc>
          <w:tcPr>
            <w:tcW w:w="99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515"/>
        </w:trPr>
        <w:tc>
          <w:tcPr>
            <w:tcW w:w="156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Health-related quality of life</w:t>
            </w:r>
          </w:p>
        </w:tc>
        <w:tc>
          <w:tcPr>
            <w:tcW w:w="23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being referred to a multidisciplinary program on quality of life.</w:t>
            </w:r>
          </w:p>
        </w:tc>
        <w:tc>
          <w:tcPr>
            <w:tcW w:w="295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randomized clinical trial  with a total of 49 participants reported this outcome. No significant difference was observed in the quality o</w:t>
            </w:r>
            <w:r>
              <w:rPr>
                <w:sz w:val="16"/>
                <w:szCs w:val="16"/>
              </w:rPr>
              <w:t>f life between the participants assigned to the intervention and those assigned to the control group.</w:t>
            </w:r>
          </w:p>
        </w:tc>
        <w:tc>
          <w:tcPr>
            <w:tcW w:w="99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c</w:t>
            </w:r>
          </w:p>
        </w:tc>
      </w:tr>
      <w:tr w:rsidR="009C6A81">
        <w:trPr>
          <w:trHeight w:val="495"/>
        </w:trPr>
        <w:tc>
          <w:tcPr>
            <w:tcW w:w="156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3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055"/>
        </w:trPr>
        <w:tc>
          <w:tcPr>
            <w:tcW w:w="156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Serious adverse events</w:t>
            </w:r>
          </w:p>
        </w:tc>
        <w:tc>
          <w:tcPr>
            <w:tcW w:w="23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Being referred to a multidisciplinary program may have little to no effect on serious adverse events but the evidence is very uncertain.</w:t>
            </w:r>
          </w:p>
        </w:tc>
        <w:tc>
          <w:tcPr>
            <w:tcW w:w="295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randomized clinical trial with a total of 49 participants reported this outcome. No significant difference in serious</w:t>
            </w:r>
            <w:r>
              <w:rPr>
                <w:sz w:val="16"/>
                <w:szCs w:val="16"/>
              </w:rPr>
              <w:t xml:space="preserve"> adverse events was observed between those assigned to the intervention and those assigned to the control group (Relative Risk 1.24, 95% CI: 0.78 - 1.96). No deaths were reported in this study.</w:t>
            </w:r>
          </w:p>
        </w:tc>
        <w:tc>
          <w:tcPr>
            <w:tcW w:w="99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c</w:t>
            </w:r>
          </w:p>
        </w:tc>
      </w:tr>
      <w:tr w:rsidR="009C6A81">
        <w:trPr>
          <w:trHeight w:val="495"/>
        </w:trPr>
        <w:tc>
          <w:tcPr>
            <w:tcW w:w="1560"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39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9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785"/>
        </w:trPr>
        <w:tc>
          <w:tcPr>
            <w:tcW w:w="8831"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lastRenderedPageBreak/>
              <w:t xml:space="preserve">RR: Relative risk; OR: odds ratio; 95% CI: 95% confidence interval; MD: mean difference </w:t>
            </w:r>
          </w:p>
          <w:p w:rsidR="009C6A81" w:rsidRDefault="009C6A81">
            <w:pPr>
              <w:jc w:val="left"/>
              <w:rPr>
                <w:b/>
                <w:sz w:val="16"/>
                <w:szCs w:val="16"/>
              </w:rPr>
            </w:pPr>
          </w:p>
          <w:p w:rsidR="009C6A81" w:rsidRDefault="00ED5651">
            <w:pPr>
              <w:jc w:val="left"/>
              <w:rPr>
                <w:b/>
                <w:sz w:val="16"/>
                <w:szCs w:val="16"/>
              </w:rPr>
            </w:pPr>
            <w:r>
              <w:rPr>
                <w:b/>
                <w:sz w:val="16"/>
                <w:szCs w:val="16"/>
              </w:rPr>
              <w:t>EXPLANATION</w:t>
            </w:r>
          </w:p>
          <w:p w:rsidR="009C6A81" w:rsidRDefault="00ED5651">
            <w:pPr>
              <w:spacing w:before="120"/>
              <w:rPr>
                <w:sz w:val="16"/>
                <w:szCs w:val="16"/>
              </w:rPr>
            </w:pPr>
            <w:r>
              <w:rPr>
                <w:sz w:val="16"/>
                <w:szCs w:val="16"/>
              </w:rPr>
              <w:t>a. It was downgraded due to serious risk of bias and  imprecision.</w:t>
            </w:r>
          </w:p>
          <w:p w:rsidR="009C6A81" w:rsidRDefault="00ED5651">
            <w:pPr>
              <w:spacing w:before="120"/>
              <w:rPr>
                <w:sz w:val="16"/>
                <w:szCs w:val="16"/>
              </w:rPr>
            </w:pPr>
            <w:r>
              <w:rPr>
                <w:sz w:val="16"/>
                <w:szCs w:val="16"/>
              </w:rPr>
              <w:t>b. It was downgraded due to serious risk of bias, imprecision, and the inability to assess inconsistency because it is only one study.</w:t>
            </w:r>
          </w:p>
          <w:p w:rsidR="009C6A81" w:rsidRDefault="00ED5651">
            <w:pPr>
              <w:spacing w:before="120"/>
              <w:rPr>
                <w:sz w:val="16"/>
                <w:szCs w:val="16"/>
              </w:rPr>
            </w:pPr>
            <w:r>
              <w:rPr>
                <w:sz w:val="16"/>
                <w:szCs w:val="16"/>
              </w:rPr>
              <w:t>c. It was downgraded due to serious risk of bias  and the inability to assess imprecision and inconsistency.</w:t>
            </w:r>
          </w:p>
        </w:tc>
      </w:tr>
    </w:tbl>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An inte</w:t>
      </w:r>
      <w:r>
        <w:t xml:space="preserve">ractive version of this Summary of Findings table is available at the </w:t>
      </w:r>
      <w:hyperlink r:id="rId17" w:anchor="/finding/66539c4ee3089d04b934e5b3">
        <w:r>
          <w:rPr>
            <w:color w:val="1155CC"/>
            <w:u w:val="single"/>
          </w:rPr>
          <w:t>iSoF platform</w:t>
        </w:r>
      </w:hyperlink>
      <w:r>
        <w:t>.</w:t>
      </w:r>
    </w:p>
    <w:p w:rsidR="009C6A81" w:rsidRDefault="009C6A81">
      <w:pPr>
        <w:ind w:left="-990"/>
      </w:pPr>
    </w:p>
    <w:p w:rsidR="009C6A81" w:rsidRDefault="00ED5651">
      <w:pPr>
        <w:ind w:left="-990"/>
      </w:pPr>
      <w:r>
        <w:t>Table. Summary of EtD judgments for the effects of referring to a multidisciplin</w:t>
      </w:r>
      <w:r>
        <w:t xml:space="preserve">ary program.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c"/>
        <w:tblW w:w="884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84"/>
        <w:gridCol w:w="1037"/>
        <w:gridCol w:w="1037"/>
        <w:gridCol w:w="1037"/>
        <w:gridCol w:w="1037"/>
        <w:gridCol w:w="1037"/>
        <w:gridCol w:w="1037"/>
        <w:gridCol w:w="1037"/>
      </w:tblGrid>
      <w:tr w:rsidR="009C6A81">
        <w:trPr>
          <w:trHeight w:val="525"/>
        </w:trPr>
        <w:tc>
          <w:tcPr>
            <w:tcW w:w="1584"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103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3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3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103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103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3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37"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 costs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Equity</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reduced</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58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103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3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38" w:name="_s2ngdxrzkxax" w:colFirst="0" w:colLast="0"/>
      <w:bookmarkEnd w:id="38"/>
      <w:r>
        <w:t>Question 4. In adults aged 18 and older with overweight or obesity, should meal plans be prescribed by a dietitian compared to a primary care physician?</w:t>
      </w:r>
    </w:p>
    <w:p w:rsidR="009C6A81" w:rsidRDefault="009C6A81"/>
    <w:p w:rsidR="009C6A81" w:rsidRDefault="00ED5651">
      <w:pPr>
        <w:ind w:left="-990"/>
      </w:pPr>
      <w:r>
        <w:t>Table. Summary of findings for the effects of meal plan prescribed by a dietitian.</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d"/>
        <w:tblW w:w="885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36"/>
        <w:gridCol w:w="2133"/>
        <w:gridCol w:w="1507"/>
        <w:gridCol w:w="1507"/>
        <w:gridCol w:w="1095"/>
        <w:gridCol w:w="975"/>
      </w:tblGrid>
      <w:tr w:rsidR="009C6A81">
        <w:trPr>
          <w:trHeight w:val="435"/>
        </w:trPr>
        <w:tc>
          <w:tcPr>
            <w:tcW w:w="1635"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133"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3014"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109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 xml:space="preserve">Relative effect </w:t>
            </w:r>
          </w:p>
          <w:p w:rsidR="009C6A81" w:rsidRDefault="00ED5651">
            <w:pPr>
              <w:jc w:val="center"/>
              <w:rPr>
                <w:b/>
                <w:color w:val="FFFFFF"/>
                <w:sz w:val="16"/>
                <w:szCs w:val="16"/>
              </w:rPr>
            </w:pPr>
            <w:r>
              <w:rPr>
                <w:b/>
                <w:color w:val="FFFFFF"/>
                <w:sz w:val="16"/>
                <w:szCs w:val="16"/>
              </w:rPr>
              <w:t>(95% CI)</w:t>
            </w:r>
          </w:p>
        </w:tc>
        <w:tc>
          <w:tcPr>
            <w:tcW w:w="97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1073"/>
        </w:trPr>
        <w:tc>
          <w:tcPr>
            <w:tcW w:w="1635"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133"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507"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Meal plan prescribed by a primary care physician</w:t>
            </w:r>
          </w:p>
        </w:tc>
        <w:tc>
          <w:tcPr>
            <w:tcW w:w="1507"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meal plan prescribed by a dietitian</w:t>
            </w:r>
          </w:p>
        </w:tc>
        <w:tc>
          <w:tcPr>
            <w:tcW w:w="109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7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495"/>
        </w:trPr>
        <w:tc>
          <w:tcPr>
            <w:tcW w:w="163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 from baseline</w:t>
            </w:r>
          </w:p>
        </w:tc>
        <w:tc>
          <w:tcPr>
            <w:tcW w:w="213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prescription of a meal plan by a dietitian may have little to no effect on body weight but the evidence is very uncertain.</w:t>
            </w:r>
          </w:p>
        </w:tc>
        <w:tc>
          <w:tcPr>
            <w:tcW w:w="150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106.4</w:t>
            </w:r>
          </w:p>
          <w:p w:rsidR="009C6A81" w:rsidRDefault="00ED5651">
            <w:pPr>
              <w:jc w:val="center"/>
              <w:rPr>
                <w:sz w:val="16"/>
                <w:szCs w:val="16"/>
              </w:rPr>
            </w:pPr>
            <w:r>
              <w:rPr>
                <w:sz w:val="16"/>
                <w:szCs w:val="16"/>
              </w:rPr>
              <w:t>kg</w:t>
            </w:r>
          </w:p>
        </w:tc>
        <w:tc>
          <w:tcPr>
            <w:tcW w:w="150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106</w:t>
            </w:r>
          </w:p>
          <w:p w:rsidR="009C6A81" w:rsidRDefault="00ED5651">
            <w:pPr>
              <w:jc w:val="center"/>
              <w:rPr>
                <w:sz w:val="16"/>
                <w:szCs w:val="16"/>
              </w:rPr>
            </w:pPr>
            <w:r>
              <w:rPr>
                <w:sz w:val="16"/>
                <w:szCs w:val="16"/>
              </w:rPr>
              <w:t>kg</w:t>
            </w:r>
          </w:p>
        </w:tc>
        <w:tc>
          <w:tcPr>
            <w:tcW w:w="109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6 studies (data from 744 patients)</w:t>
            </w:r>
          </w:p>
        </w:tc>
        <w:tc>
          <w:tcPr>
            <w:tcW w:w="97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1035"/>
        </w:trPr>
        <w:tc>
          <w:tcPr>
            <w:tcW w:w="163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3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1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0.4 kg less</w:t>
            </w:r>
          </w:p>
          <w:p w:rsidR="009C6A81" w:rsidRDefault="00ED5651">
            <w:pPr>
              <w:jc w:val="center"/>
              <w:rPr>
                <w:sz w:val="10"/>
                <w:szCs w:val="10"/>
              </w:rPr>
            </w:pPr>
            <w:r>
              <w:rPr>
                <w:sz w:val="10"/>
                <w:szCs w:val="10"/>
              </w:rPr>
              <w:t>( 95 % CI 1.35 less to 2.12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-0.39</w:t>
            </w:r>
          </w:p>
          <w:p w:rsidR="009C6A81" w:rsidRDefault="00ED5651">
            <w:pPr>
              <w:jc w:val="center"/>
              <w:rPr>
                <w:sz w:val="16"/>
                <w:szCs w:val="16"/>
              </w:rPr>
            </w:pPr>
            <w:r>
              <w:rPr>
                <w:sz w:val="16"/>
                <w:szCs w:val="16"/>
              </w:rPr>
              <w:t>(-2.12 to 1.35)</w:t>
            </w:r>
          </w:p>
        </w:tc>
        <w:tc>
          <w:tcPr>
            <w:tcW w:w="109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3315"/>
        </w:trPr>
        <w:tc>
          <w:tcPr>
            <w:tcW w:w="163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over 5%</w:t>
            </w:r>
          </w:p>
        </w:tc>
        <w:tc>
          <w:tcPr>
            <w:tcW w:w="213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prescription of a meal plan by a dietitian may increase the number of people achieving a weight loss greater than 5%.</w:t>
            </w:r>
          </w:p>
        </w:tc>
        <w:tc>
          <w:tcPr>
            <w:tcW w:w="301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clinical trial with a total of 57 participants reported this outcome. Of the 27 participants who received the intervention, 19 achieved a weight loss of 5% or more compared to 12 of the 30 participants in the control group (relative risk 1.76; 95% CI: 1.</w:t>
            </w:r>
            <w:r>
              <w:rPr>
                <w:sz w:val="16"/>
                <w:szCs w:val="16"/>
              </w:rPr>
              <w:t>06 - 2.91). No differences were observed in the number of people who achieved a weight loss of 10% or more between the two groups (RR 1.48; 95% CI: 0.36 - 6.03).</w:t>
            </w:r>
          </w:p>
        </w:tc>
        <w:tc>
          <w:tcPr>
            <w:tcW w:w="109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7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b</w:t>
            </w:r>
          </w:p>
        </w:tc>
      </w:tr>
      <w:tr w:rsidR="009C6A81">
        <w:trPr>
          <w:trHeight w:val="495"/>
        </w:trPr>
        <w:tc>
          <w:tcPr>
            <w:tcW w:w="163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3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1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9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3495"/>
        </w:trPr>
        <w:tc>
          <w:tcPr>
            <w:tcW w:w="163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Health-related quality of life</w:t>
            </w:r>
          </w:p>
        </w:tc>
        <w:tc>
          <w:tcPr>
            <w:tcW w:w="213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prescription of a meal plan by a dietitian may increase quality of life but the evidence is very uncertain.</w:t>
            </w:r>
          </w:p>
        </w:tc>
        <w:tc>
          <w:tcPr>
            <w:tcW w:w="301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clinical trial (Wolf AM, 2004) with a total of 117 participants reported this outcome. Nutritional counseling guided by a dietitian was associ</w:t>
            </w:r>
            <w:r>
              <w:rPr>
                <w:sz w:val="16"/>
                <w:szCs w:val="16"/>
              </w:rPr>
              <w:t>ated with significant improvement in seven of the nine quality of life domains evaluated using the SF-36 tool. The domains with the greatest reported changes were emotional (mean difference 15.1; 95% CI: 3.4 - 26.8) and physical (mean difference 10; 95% CI</w:t>
            </w:r>
            <w:r>
              <w:rPr>
                <w:sz w:val="16"/>
                <w:szCs w:val="16"/>
              </w:rPr>
              <w:t>: 1.2 - 24.7).</w:t>
            </w:r>
          </w:p>
        </w:tc>
        <w:tc>
          <w:tcPr>
            <w:tcW w:w="109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7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c</w:t>
            </w:r>
          </w:p>
        </w:tc>
      </w:tr>
      <w:tr w:rsidR="009C6A81">
        <w:trPr>
          <w:trHeight w:val="495"/>
        </w:trPr>
        <w:tc>
          <w:tcPr>
            <w:tcW w:w="163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3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1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9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35"/>
        </w:trPr>
        <w:tc>
          <w:tcPr>
            <w:tcW w:w="163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Healthy nutrition habits</w:t>
            </w:r>
          </w:p>
        </w:tc>
        <w:tc>
          <w:tcPr>
            <w:tcW w:w="213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prescription of a meal plan by a dietitian may increase the adherence to healthy nutrition habits, but the evidence is very uncertain.</w:t>
            </w:r>
          </w:p>
        </w:tc>
        <w:tc>
          <w:tcPr>
            <w:tcW w:w="301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Three clinical trials reported this outcome. One trial with 136 participants found that nutritional counseling was associated with greater adherence to a nutritional plan at six months (mean difference 5.24; 95% CI: 2.56 - 7.93; p &lt; 0.001; PAID score 0-60,</w:t>
            </w:r>
            <w:r>
              <w:rPr>
                <w:sz w:val="16"/>
                <w:szCs w:val="16"/>
              </w:rPr>
              <w:t xml:space="preserve"> higher score indicates greater adherence). Another trial with 57 patients reported no significant differences in caloric intake between groups (p &gt; 0.30). A third trial with 25 participants found that those who attended group counseling with a dietitian h</w:t>
            </w:r>
            <w:r>
              <w:rPr>
                <w:sz w:val="16"/>
                <w:szCs w:val="16"/>
              </w:rPr>
              <w:t>ad a significant reduction in fat consumption at 18 months (p &lt; 0.001), while the control group showed no significant changes.</w:t>
            </w:r>
          </w:p>
        </w:tc>
        <w:tc>
          <w:tcPr>
            <w:tcW w:w="109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7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d</w:t>
            </w:r>
          </w:p>
        </w:tc>
      </w:tr>
      <w:tr w:rsidR="009C6A81">
        <w:trPr>
          <w:trHeight w:val="495"/>
        </w:trPr>
        <w:tc>
          <w:tcPr>
            <w:tcW w:w="163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3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1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9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3675"/>
        </w:trPr>
        <w:tc>
          <w:tcPr>
            <w:tcW w:w="163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Physical activity</w:t>
            </w:r>
          </w:p>
        </w:tc>
        <w:tc>
          <w:tcPr>
            <w:tcW w:w="213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prescription of a meal plan by a dietitian may increase levels of physical activity, but the evidence is very uncertain.</w:t>
            </w:r>
          </w:p>
        </w:tc>
        <w:tc>
          <w:tcPr>
            <w:tcW w:w="301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Two clinical trials with a total of 359 participants reported this outcome. One trial, involving 25 participants, indicated that the intervention led to a greater increase in weekly steps walked compared to the control group (p &lt; 0.05). Another trial, with</w:t>
            </w:r>
            <w:r>
              <w:rPr>
                <w:sz w:val="16"/>
                <w:szCs w:val="16"/>
              </w:rPr>
              <w:t xml:space="preserve"> 334 participants, found that participants receiving the intervention experienced a significant increase in minutes walked (p = 0.032), whereas no significant changes were observed in the control group.</w:t>
            </w:r>
          </w:p>
        </w:tc>
        <w:tc>
          <w:tcPr>
            <w:tcW w:w="109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7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e</w:t>
            </w:r>
          </w:p>
        </w:tc>
      </w:tr>
      <w:tr w:rsidR="009C6A81">
        <w:trPr>
          <w:trHeight w:val="495"/>
        </w:trPr>
        <w:tc>
          <w:tcPr>
            <w:tcW w:w="1635"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33"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14"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09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7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830"/>
        </w:trPr>
        <w:tc>
          <w:tcPr>
            <w:tcW w:w="8852"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 xml:space="preserve">RR: Relative risk; OR: odds ratio; 95% CI: 95% confidence interval; MD: mean difference </w:t>
            </w:r>
          </w:p>
          <w:p w:rsidR="009C6A81" w:rsidRDefault="009C6A81">
            <w:pPr>
              <w:jc w:val="left"/>
              <w:rPr>
                <w:b/>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due to serious risk of bias, imprecision and indirectness.</w:t>
            </w:r>
          </w:p>
          <w:p w:rsidR="009C6A81" w:rsidRDefault="00ED5651">
            <w:pPr>
              <w:spacing w:before="120"/>
              <w:rPr>
                <w:b/>
                <w:sz w:val="16"/>
                <w:szCs w:val="16"/>
              </w:rPr>
            </w:pPr>
            <w:r>
              <w:rPr>
                <w:sz w:val="16"/>
                <w:szCs w:val="16"/>
              </w:rPr>
              <w:t>b. It was downgraded due to very serious imprecision.</w:t>
            </w:r>
          </w:p>
          <w:p w:rsidR="009C6A81" w:rsidRDefault="00ED5651">
            <w:pPr>
              <w:spacing w:before="120"/>
              <w:rPr>
                <w:sz w:val="16"/>
                <w:szCs w:val="16"/>
              </w:rPr>
            </w:pPr>
            <w:r>
              <w:rPr>
                <w:sz w:val="16"/>
                <w:szCs w:val="16"/>
              </w:rPr>
              <w:t>c. It was downgraded</w:t>
            </w:r>
            <w:r>
              <w:rPr>
                <w:sz w:val="16"/>
                <w:szCs w:val="16"/>
              </w:rPr>
              <w:t xml:space="preserve"> due to serious risk of bias, imprecision, and the impossibility to assess inconsistency.</w:t>
            </w:r>
          </w:p>
          <w:p w:rsidR="009C6A81" w:rsidRDefault="00ED5651">
            <w:pPr>
              <w:spacing w:before="120"/>
              <w:rPr>
                <w:sz w:val="16"/>
                <w:szCs w:val="16"/>
              </w:rPr>
            </w:pPr>
            <w:r>
              <w:rPr>
                <w:sz w:val="16"/>
                <w:szCs w:val="16"/>
              </w:rPr>
              <w:t>d. It was downgraded due serious imprecision and inconsistency.</w:t>
            </w:r>
          </w:p>
          <w:p w:rsidR="009C6A81" w:rsidRDefault="00ED5651">
            <w:pPr>
              <w:spacing w:before="120"/>
              <w:rPr>
                <w:sz w:val="16"/>
                <w:szCs w:val="16"/>
              </w:rPr>
            </w:pPr>
            <w:r>
              <w:rPr>
                <w:sz w:val="16"/>
                <w:szCs w:val="16"/>
              </w:rPr>
              <w:t>e. It was downgraded due serious risk of bias, imprecision and inconsistency.</w:t>
            </w:r>
          </w:p>
          <w:p w:rsidR="009C6A81" w:rsidRDefault="009C6A81">
            <w:pPr>
              <w:spacing w:before="120"/>
              <w:rPr>
                <w:sz w:val="16"/>
                <w:szCs w:val="16"/>
              </w:rPr>
            </w:pPr>
          </w:p>
        </w:tc>
      </w:tr>
    </w:tbl>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18" w:anchor="/finding/6653f267e3089d04c1109dfb">
        <w:r>
          <w:rPr>
            <w:color w:val="1155CC"/>
            <w:u w:val="single"/>
          </w:rPr>
          <w:t>iSoF platform</w:t>
        </w:r>
      </w:hyperlink>
      <w:r>
        <w:t>.</w:t>
      </w:r>
    </w:p>
    <w:p w:rsidR="009C6A81" w:rsidRDefault="009C6A81">
      <w:pPr>
        <w:ind w:left="-990"/>
      </w:pPr>
    </w:p>
    <w:p w:rsidR="009C6A81" w:rsidRDefault="00ED5651">
      <w:pPr>
        <w:ind w:left="-990"/>
      </w:pPr>
      <w:r>
        <w:t>Table. Summary of EtD judgments for the effects of meal plan prescribed b</w:t>
      </w:r>
      <w:r>
        <w:t xml:space="preserve">y a dietitian.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e"/>
        <w:tblW w:w="88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24"/>
        <w:gridCol w:w="1045"/>
        <w:gridCol w:w="1045"/>
        <w:gridCol w:w="1046"/>
        <w:gridCol w:w="1046"/>
        <w:gridCol w:w="1046"/>
        <w:gridCol w:w="1046"/>
        <w:gridCol w:w="1046"/>
      </w:tblGrid>
      <w:tr w:rsidR="009C6A81">
        <w:trPr>
          <w:trHeight w:val="525"/>
        </w:trPr>
        <w:tc>
          <w:tcPr>
            <w:tcW w:w="1524"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104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4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4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104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104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4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45"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Values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 costs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reduced</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Varies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52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4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4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9C6A81">
      <w:pPr>
        <w:ind w:left="-990"/>
      </w:pPr>
    </w:p>
    <w:p w:rsidR="009C6A81" w:rsidRDefault="009C6A81">
      <w:pPr>
        <w:ind w:left="-990"/>
      </w:pPr>
    </w:p>
    <w:p w:rsidR="009C6A81" w:rsidRDefault="009C6A81">
      <w:pPr>
        <w:ind w:left="-990"/>
      </w:pPr>
    </w:p>
    <w:p w:rsidR="009C6A81" w:rsidRDefault="00ED5651">
      <w:pPr>
        <w:pStyle w:val="Ttulo6"/>
        <w:ind w:hanging="990"/>
      </w:pPr>
      <w:bookmarkStart w:id="39" w:name="_okyaeldcbgv5" w:colFirst="0" w:colLast="0"/>
      <w:bookmarkEnd w:id="39"/>
      <w:r>
        <w:t>Question 5. In Mexican adults 18 years of age or older with overweight or obesity, should the milpa diet be used compared to a balanced hypoenergetic diet?</w:t>
      </w:r>
    </w:p>
    <w:p w:rsidR="009C6A81" w:rsidRDefault="009C6A81"/>
    <w:p w:rsidR="009C6A81" w:rsidRDefault="00ED5651">
      <w:pPr>
        <w:ind w:left="-990"/>
      </w:pPr>
      <w:r>
        <w:t>Table. Summary of findings for the effects of milpa diet.</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16"/>
        <w:gridCol w:w="2206"/>
        <w:gridCol w:w="1567"/>
        <w:gridCol w:w="1567"/>
        <w:gridCol w:w="997"/>
        <w:gridCol w:w="997"/>
      </w:tblGrid>
      <w:tr w:rsidR="009C6A81">
        <w:trPr>
          <w:trHeight w:val="435"/>
        </w:trPr>
        <w:tc>
          <w:tcPr>
            <w:tcW w:w="1515"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20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3134"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9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9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795"/>
        </w:trPr>
        <w:tc>
          <w:tcPr>
            <w:tcW w:w="1515"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20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567"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balanced hypoenergetic diet</w:t>
            </w:r>
          </w:p>
        </w:tc>
        <w:tc>
          <w:tcPr>
            <w:tcW w:w="1567"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milpa diet</w:t>
            </w:r>
          </w:p>
        </w:tc>
        <w:tc>
          <w:tcPr>
            <w:tcW w:w="99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9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2415"/>
        </w:trPr>
        <w:tc>
          <w:tcPr>
            <w:tcW w:w="151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Comorbidity management (randomized trials)</w:t>
            </w:r>
          </w:p>
        </w:tc>
        <w:tc>
          <w:tcPr>
            <w:tcW w:w="22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milpa diet may have little or no effect on the control of comorbidities, but the evidence is very uncertain.</w:t>
            </w:r>
          </w:p>
        </w:tc>
        <w:tc>
          <w:tcPr>
            <w:tcW w:w="313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randomized crossover trial compared the use of a traditional Mexican diet with a U.S. diet for 24 days in 53 adult women. Compared to the U.</w:t>
            </w:r>
            <w:r>
              <w:rPr>
                <w:sz w:val="16"/>
                <w:szCs w:val="16"/>
              </w:rPr>
              <w:t>S. diet, the traditional Mexican diet showed a slight decrease in insulin, HOMA-IR and IGFBP-3 levels.</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495"/>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2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13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055"/>
        </w:trPr>
        <w:tc>
          <w:tcPr>
            <w:tcW w:w="151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Comorbidity management (observational studies)</w:t>
            </w:r>
          </w:p>
        </w:tc>
        <w:tc>
          <w:tcPr>
            <w:tcW w:w="22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the milpa diet on the control of comorbidities.</w:t>
            </w:r>
          </w:p>
        </w:tc>
        <w:tc>
          <w:tcPr>
            <w:tcW w:w="313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Based on three observational studies, the use of a traditional Mexican diet could decrease the chance of prediabetes (OR: 0.49; 95% CI: 0.31 to 0.79), while </w:t>
            </w:r>
            <w:r>
              <w:rPr>
                <w:sz w:val="16"/>
                <w:szCs w:val="16"/>
              </w:rPr>
              <w:t>it could have little or no effect on laboratory parameters.</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495"/>
        </w:trPr>
        <w:tc>
          <w:tcPr>
            <w:tcW w:w="151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2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13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395"/>
        </w:trPr>
        <w:tc>
          <w:tcPr>
            <w:tcW w:w="151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w:t>
            </w:r>
          </w:p>
        </w:tc>
        <w:tc>
          <w:tcPr>
            <w:tcW w:w="22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the milpa diet on body weight.</w:t>
            </w:r>
          </w:p>
        </w:tc>
        <w:tc>
          <w:tcPr>
            <w:tcW w:w="313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According to two observational studies, a traditional Mexican diet may have little or no effect on body weight when comparing a traditional Mexican diet versus a diet with a higher proportion of milk and baked goods (mean difference for BMI: 0.40; 95% CI: </w:t>
            </w:r>
            <w:r>
              <w:rPr>
                <w:sz w:val="16"/>
                <w:szCs w:val="16"/>
              </w:rPr>
              <w:t>-0.85 to 1.65), although there could be a greater chance of being overweight or obese in those following other diets compared to the traditional Mexican diet (OR: 1.14; 95% CI: 1.02 to 1.26 for overweight, and OR: 1.20; 95% CI: 1.09 to 1.31 for obesity).</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495"/>
        </w:trPr>
        <w:tc>
          <w:tcPr>
            <w:tcW w:w="1515"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20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134"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9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9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703"/>
        </w:trPr>
        <w:tc>
          <w:tcPr>
            <w:tcW w:w="8848"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lastRenderedPageBreak/>
              <w:t xml:space="preserve">OR: odds ratio; CI: 95% confidence interval; BMI: body mass index. </w:t>
            </w:r>
          </w:p>
          <w:p w:rsidR="009C6A81" w:rsidRDefault="009C6A81">
            <w:pPr>
              <w:jc w:val="left"/>
              <w:rPr>
                <w:b/>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because of serious risk of bias, imprecision and indirectness.</w:t>
            </w:r>
          </w:p>
          <w:p w:rsidR="009C6A81" w:rsidRDefault="00ED5651">
            <w:pPr>
              <w:spacing w:before="120"/>
              <w:rPr>
                <w:b/>
                <w:sz w:val="16"/>
                <w:szCs w:val="16"/>
              </w:rPr>
            </w:pPr>
            <w:r>
              <w:rPr>
                <w:sz w:val="16"/>
                <w:szCs w:val="16"/>
              </w:rPr>
              <w:t>b. It was downgraded because of study design, imprecision and indirectness.</w:t>
            </w:r>
          </w:p>
        </w:tc>
      </w:tr>
      <w:tr w:rsidR="009C6A81">
        <w:trPr>
          <w:trHeight w:val="215"/>
        </w:trPr>
        <w:tc>
          <w:tcPr>
            <w:tcW w:w="1515"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2205"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1567"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1567"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997"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997"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r>
    </w:tbl>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19" w:anchor="/finding/66870348e3089d04aed6d8c8">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the effects of milpa diet.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0"/>
        <w:tblW w:w="88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03"/>
        <w:gridCol w:w="1007"/>
        <w:gridCol w:w="1007"/>
        <w:gridCol w:w="1007"/>
        <w:gridCol w:w="1007"/>
        <w:gridCol w:w="1007"/>
        <w:gridCol w:w="1007"/>
        <w:gridCol w:w="1007"/>
      </w:tblGrid>
      <w:tr w:rsidR="009C6A81">
        <w:trPr>
          <w:trHeight w:val="525"/>
        </w:trPr>
        <w:tc>
          <w:tcPr>
            <w:tcW w:w="1802"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100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100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100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07"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07"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comparison</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Varies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costs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Cost-effectiveness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Does not favour either the intervention or the comparison</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 impact</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Varies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02"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Varies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07"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07"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40" w:name="_feqlp38zauk" w:colFirst="0" w:colLast="0"/>
      <w:bookmarkEnd w:id="40"/>
      <w:r>
        <w:t xml:space="preserve">Question 6. </w:t>
      </w:r>
      <w:r>
        <w:t>In adults aged 18 and older with overweight or obesity, should interventions aimed at controlling sedentary behaviors be used compared to not using them?</w:t>
      </w:r>
    </w:p>
    <w:p w:rsidR="009C6A81" w:rsidRDefault="009C6A81"/>
    <w:p w:rsidR="009C6A81" w:rsidRDefault="00ED5651">
      <w:pPr>
        <w:ind w:left="-990"/>
      </w:pPr>
      <w:r>
        <w:t>Table. Summary of findings for the effects of sedentary behavior interventions.</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1"/>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57"/>
        <w:gridCol w:w="1983"/>
        <w:gridCol w:w="1500"/>
        <w:gridCol w:w="1500"/>
        <w:gridCol w:w="1020"/>
        <w:gridCol w:w="1020"/>
      </w:tblGrid>
      <w:tr w:rsidR="009C6A81">
        <w:trPr>
          <w:trHeight w:val="435"/>
        </w:trPr>
        <w:tc>
          <w:tcPr>
            <w:tcW w:w="1857"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1983"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3000"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102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102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855"/>
        </w:trPr>
        <w:tc>
          <w:tcPr>
            <w:tcW w:w="1857"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983"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500"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Without sedentary behavior interventions</w:t>
            </w:r>
          </w:p>
        </w:tc>
        <w:tc>
          <w:tcPr>
            <w:tcW w:w="1500"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sedentary behavior interventions</w:t>
            </w:r>
          </w:p>
        </w:tc>
        <w:tc>
          <w:tcPr>
            <w:tcW w:w="102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02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495"/>
        </w:trPr>
        <w:tc>
          <w:tcPr>
            <w:tcW w:w="1857"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w:t>
            </w:r>
          </w:p>
        </w:tc>
        <w:tc>
          <w:tcPr>
            <w:tcW w:w="198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sedentary behavior interventions may result in little to no difference in body weight</w:t>
            </w:r>
          </w:p>
        </w:tc>
        <w:tc>
          <w:tcPr>
            <w:tcW w:w="150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100</w:t>
            </w:r>
          </w:p>
          <w:p w:rsidR="009C6A81" w:rsidRDefault="00ED5651">
            <w:pPr>
              <w:jc w:val="center"/>
              <w:rPr>
                <w:sz w:val="16"/>
                <w:szCs w:val="16"/>
              </w:rPr>
            </w:pPr>
            <w:r>
              <w:rPr>
                <w:sz w:val="16"/>
                <w:szCs w:val="16"/>
              </w:rPr>
              <w:t>kg</w:t>
            </w:r>
          </w:p>
        </w:tc>
        <w:tc>
          <w:tcPr>
            <w:tcW w:w="150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99.8</w:t>
            </w:r>
          </w:p>
          <w:p w:rsidR="009C6A81" w:rsidRDefault="00ED5651">
            <w:pPr>
              <w:jc w:val="center"/>
              <w:rPr>
                <w:sz w:val="16"/>
                <w:szCs w:val="16"/>
              </w:rPr>
            </w:pPr>
            <w:r>
              <w:rPr>
                <w:sz w:val="16"/>
                <w:szCs w:val="16"/>
              </w:rPr>
              <w:t>kg</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6 studies (data from 542 patients)</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1035"/>
        </w:trPr>
        <w:tc>
          <w:tcPr>
            <w:tcW w:w="1857"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8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0.2 kg less</w:t>
            </w:r>
          </w:p>
          <w:p w:rsidR="009C6A81" w:rsidRDefault="00ED5651">
            <w:pPr>
              <w:jc w:val="center"/>
              <w:rPr>
                <w:sz w:val="10"/>
                <w:szCs w:val="10"/>
              </w:rPr>
            </w:pPr>
            <w:r>
              <w:rPr>
                <w:sz w:val="10"/>
                <w:szCs w:val="10"/>
              </w:rPr>
              <w:t>(IC 95 % 0.88 less to 0.49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-0.20</w:t>
            </w:r>
          </w:p>
          <w:p w:rsidR="009C6A81" w:rsidRDefault="00ED5651">
            <w:pPr>
              <w:jc w:val="center"/>
              <w:rPr>
                <w:sz w:val="16"/>
                <w:szCs w:val="16"/>
              </w:rPr>
            </w:pPr>
            <w:r>
              <w:rPr>
                <w:sz w:val="16"/>
                <w:szCs w:val="16"/>
              </w:rPr>
              <w:t>(-0.88 to 0.49)</w:t>
            </w: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75"/>
        </w:trPr>
        <w:tc>
          <w:tcPr>
            <w:tcW w:w="1857"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Sedentary time</w:t>
            </w:r>
          </w:p>
        </w:tc>
        <w:tc>
          <w:tcPr>
            <w:tcW w:w="198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sedentary behavior interventions may result in little to no difference in sedentary time, but the evidence is very uncertain</w:t>
            </w:r>
          </w:p>
        </w:tc>
        <w:tc>
          <w:tcPr>
            <w:tcW w:w="150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660</w:t>
            </w:r>
          </w:p>
          <w:p w:rsidR="009C6A81" w:rsidRDefault="00ED5651">
            <w:pPr>
              <w:jc w:val="center"/>
              <w:rPr>
                <w:sz w:val="16"/>
                <w:szCs w:val="16"/>
              </w:rPr>
            </w:pPr>
            <w:r>
              <w:rPr>
                <w:sz w:val="16"/>
                <w:szCs w:val="16"/>
              </w:rPr>
              <w:t>minutes per day</w:t>
            </w:r>
          </w:p>
        </w:tc>
        <w:tc>
          <w:tcPr>
            <w:tcW w:w="150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659.94</w:t>
            </w:r>
          </w:p>
          <w:p w:rsidR="009C6A81" w:rsidRDefault="00ED5651">
            <w:pPr>
              <w:jc w:val="center"/>
              <w:rPr>
                <w:sz w:val="16"/>
                <w:szCs w:val="16"/>
              </w:rPr>
            </w:pPr>
            <w:r>
              <w:rPr>
                <w:sz w:val="16"/>
                <w:szCs w:val="16"/>
              </w:rPr>
              <w:t>minutes per day</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4 studies (data from 299 patients)</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1035"/>
        </w:trPr>
        <w:tc>
          <w:tcPr>
            <w:tcW w:w="1857"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8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0.06 minutes per day less</w:t>
            </w:r>
          </w:p>
          <w:p w:rsidR="009C6A81" w:rsidRDefault="00ED5651">
            <w:pPr>
              <w:jc w:val="center"/>
              <w:rPr>
                <w:sz w:val="10"/>
                <w:szCs w:val="10"/>
              </w:rPr>
            </w:pPr>
            <w:r>
              <w:rPr>
                <w:sz w:val="10"/>
                <w:szCs w:val="10"/>
              </w:rPr>
              <w:t>(IC 95 % 0.06 less to 0.5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-0.06</w:t>
            </w:r>
          </w:p>
          <w:p w:rsidR="009C6A81" w:rsidRDefault="00ED5651">
            <w:pPr>
              <w:jc w:val="center"/>
              <w:rPr>
                <w:sz w:val="16"/>
                <w:szCs w:val="16"/>
              </w:rPr>
            </w:pPr>
            <w:r>
              <w:rPr>
                <w:sz w:val="16"/>
                <w:szCs w:val="16"/>
              </w:rPr>
              <w:t>(0.06 to 0.5)</w:t>
            </w: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75"/>
        </w:trPr>
        <w:tc>
          <w:tcPr>
            <w:tcW w:w="1857"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Moderate-to-vigorous physical activity</w:t>
            </w:r>
          </w:p>
        </w:tc>
        <w:tc>
          <w:tcPr>
            <w:tcW w:w="198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The use of sedentary behavior interventions may result in little to no </w:t>
            </w:r>
            <w:r>
              <w:rPr>
                <w:sz w:val="16"/>
                <w:szCs w:val="16"/>
              </w:rPr>
              <w:lastRenderedPageBreak/>
              <w:t>difference in moderate-to-vigorous physical activity, but the evidence is very uncertain</w:t>
            </w:r>
          </w:p>
        </w:tc>
        <w:tc>
          <w:tcPr>
            <w:tcW w:w="150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lastRenderedPageBreak/>
              <w:t>46.3</w:t>
            </w:r>
          </w:p>
          <w:p w:rsidR="009C6A81" w:rsidRDefault="00ED5651">
            <w:pPr>
              <w:jc w:val="center"/>
              <w:rPr>
                <w:sz w:val="16"/>
                <w:szCs w:val="16"/>
              </w:rPr>
            </w:pPr>
            <w:r>
              <w:rPr>
                <w:sz w:val="16"/>
                <w:szCs w:val="16"/>
              </w:rPr>
              <w:t>minutes per day</w:t>
            </w:r>
          </w:p>
        </w:tc>
        <w:tc>
          <w:tcPr>
            <w:tcW w:w="150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43.4</w:t>
            </w:r>
          </w:p>
          <w:p w:rsidR="009C6A81" w:rsidRDefault="00ED5651">
            <w:pPr>
              <w:jc w:val="center"/>
              <w:rPr>
                <w:sz w:val="16"/>
                <w:szCs w:val="16"/>
              </w:rPr>
            </w:pPr>
            <w:r>
              <w:rPr>
                <w:sz w:val="16"/>
                <w:szCs w:val="16"/>
              </w:rPr>
              <w:t>minutes per day</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3 studies (data from </w:t>
            </w:r>
            <w:r>
              <w:rPr>
                <w:sz w:val="16"/>
                <w:szCs w:val="16"/>
              </w:rPr>
              <w:lastRenderedPageBreak/>
              <w:t>419 patients)</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lastRenderedPageBreak/>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1035"/>
        </w:trPr>
        <w:tc>
          <w:tcPr>
            <w:tcW w:w="1857"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8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2.9 minutes per day less</w:t>
            </w:r>
          </w:p>
          <w:p w:rsidR="009C6A81" w:rsidRDefault="00ED5651">
            <w:pPr>
              <w:jc w:val="center"/>
              <w:rPr>
                <w:sz w:val="10"/>
                <w:szCs w:val="10"/>
              </w:rPr>
            </w:pPr>
            <w:r>
              <w:rPr>
                <w:sz w:val="10"/>
                <w:szCs w:val="10"/>
              </w:rPr>
              <w:t>(IC 95 % 11.9 less to 6.02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2.90</w:t>
            </w:r>
          </w:p>
          <w:p w:rsidR="009C6A81" w:rsidRDefault="00ED5651">
            <w:pPr>
              <w:jc w:val="center"/>
              <w:rPr>
                <w:sz w:val="16"/>
                <w:szCs w:val="16"/>
              </w:rPr>
            </w:pPr>
            <w:r>
              <w:rPr>
                <w:sz w:val="16"/>
                <w:szCs w:val="16"/>
              </w:rPr>
              <w:t>(-11.9 to 6.02)</w:t>
            </w: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1857"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Physical activity</w:t>
            </w:r>
          </w:p>
        </w:tc>
        <w:tc>
          <w:tcPr>
            <w:tcW w:w="198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sedentary behavior interventions may result in an increase in steps per day.</w:t>
            </w:r>
          </w:p>
        </w:tc>
        <w:tc>
          <w:tcPr>
            <w:tcW w:w="150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7108</w:t>
            </w:r>
          </w:p>
          <w:p w:rsidR="009C6A81" w:rsidRDefault="00ED5651">
            <w:pPr>
              <w:jc w:val="center"/>
              <w:rPr>
                <w:sz w:val="16"/>
                <w:szCs w:val="16"/>
              </w:rPr>
            </w:pPr>
            <w:r>
              <w:rPr>
                <w:sz w:val="16"/>
                <w:szCs w:val="16"/>
              </w:rPr>
              <w:t>steps</w:t>
            </w:r>
          </w:p>
        </w:tc>
        <w:tc>
          <w:tcPr>
            <w:tcW w:w="150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6394</w:t>
            </w:r>
          </w:p>
          <w:p w:rsidR="009C6A81" w:rsidRDefault="00ED5651">
            <w:pPr>
              <w:jc w:val="center"/>
              <w:rPr>
                <w:sz w:val="16"/>
                <w:szCs w:val="16"/>
              </w:rPr>
            </w:pPr>
            <w:r>
              <w:rPr>
                <w:sz w:val="16"/>
                <w:szCs w:val="16"/>
              </w:rPr>
              <w:t>steps</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6 studies (data from 401 patients)</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c</w:t>
            </w:r>
          </w:p>
        </w:tc>
      </w:tr>
      <w:tr w:rsidR="009C6A81">
        <w:trPr>
          <w:trHeight w:val="1035"/>
        </w:trPr>
        <w:tc>
          <w:tcPr>
            <w:tcW w:w="1857"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8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714 steps less</w:t>
            </w:r>
          </w:p>
          <w:p w:rsidR="009C6A81" w:rsidRDefault="00ED5651">
            <w:pPr>
              <w:jc w:val="center"/>
              <w:rPr>
                <w:sz w:val="10"/>
                <w:szCs w:val="10"/>
              </w:rPr>
            </w:pPr>
            <w:r>
              <w:rPr>
                <w:sz w:val="10"/>
                <w:szCs w:val="10"/>
              </w:rPr>
              <w:t>(IC 95 % 247 more to 1181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714.00</w:t>
            </w:r>
          </w:p>
          <w:p w:rsidR="009C6A81" w:rsidRDefault="00ED5651">
            <w:pPr>
              <w:jc w:val="center"/>
              <w:rPr>
                <w:sz w:val="16"/>
                <w:szCs w:val="16"/>
              </w:rPr>
            </w:pPr>
            <w:r>
              <w:rPr>
                <w:sz w:val="16"/>
                <w:szCs w:val="16"/>
              </w:rPr>
              <w:t>(247 to 1181)</w:t>
            </w: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415"/>
        </w:trPr>
        <w:tc>
          <w:tcPr>
            <w:tcW w:w="1857"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Health-related quality of life</w:t>
            </w:r>
          </w:p>
        </w:tc>
        <w:tc>
          <w:tcPr>
            <w:tcW w:w="198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sedentary behavior interventions may result in little to no difference in quality of life.</w:t>
            </w:r>
          </w:p>
        </w:tc>
        <w:tc>
          <w:tcPr>
            <w:tcW w:w="300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clinical trial with a total of 111 participants reported this outcome. No significant differences were found in quality of life measured with the EQ-5D VAS tool between participants who received the intervention and those assigned to the control group (r</w:t>
            </w:r>
            <w:r>
              <w:rPr>
                <w:sz w:val="16"/>
                <w:szCs w:val="16"/>
              </w:rPr>
              <w:t>elative risk -2.21, 95% CI: -9.10 to 4.68).</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495"/>
        </w:trPr>
        <w:tc>
          <w:tcPr>
            <w:tcW w:w="1857"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8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755"/>
        </w:trPr>
        <w:tc>
          <w:tcPr>
            <w:tcW w:w="1857"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Anxiety and depression symptoms</w:t>
            </w:r>
          </w:p>
        </w:tc>
        <w:tc>
          <w:tcPr>
            <w:tcW w:w="198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sedentary behavior interventions may result in little to no difference in anxiety and depression symptoms.</w:t>
            </w:r>
          </w:p>
        </w:tc>
        <w:tc>
          <w:tcPr>
            <w:tcW w:w="300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Two clinical trials with a total of 195 participants reported this outcome.  No significant differences were found in the reporting of depression-related symptoms measured with the HADS score tool between participants who received the intervention and thos</w:t>
            </w:r>
            <w:r>
              <w:rPr>
                <w:sz w:val="16"/>
                <w:szCs w:val="16"/>
              </w:rPr>
              <w:t xml:space="preserve">e assigned to the control group (relative risk -0.30, 95% CI: -1.00 - 0.39).  No significant differences were found in the reporting of anxiety-related symptoms measured with the HADS score tool between participants who received the intervention and those </w:t>
            </w:r>
            <w:r>
              <w:rPr>
                <w:sz w:val="16"/>
                <w:szCs w:val="16"/>
              </w:rPr>
              <w:t>assigned to the control group (relative risk -0.28, 95% CI: -1.12 - 0.57).</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495"/>
        </w:trPr>
        <w:tc>
          <w:tcPr>
            <w:tcW w:w="1857"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83"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02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3135"/>
        </w:trPr>
        <w:tc>
          <w:tcPr>
            <w:tcW w:w="1857"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Adverse events</w:t>
            </w:r>
          </w:p>
        </w:tc>
        <w:tc>
          <w:tcPr>
            <w:tcW w:w="1983"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sedentary behavior interventions may result in little to no difference in adverse events.</w:t>
            </w:r>
          </w:p>
        </w:tc>
        <w:tc>
          <w:tcPr>
            <w:tcW w:w="300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Three clinical trials with a total of 454 participants reported this outcome.  The reported adverse events were related to muscle or musculoskeletal pain or injuries. However, no significant differences were found in the reporting of participants who recei</w:t>
            </w:r>
            <w:r>
              <w:rPr>
                <w:sz w:val="16"/>
                <w:szCs w:val="16"/>
              </w:rPr>
              <w:t>ved the intervention compared to those assigned to the control group in any of these studies.</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2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495"/>
        </w:trPr>
        <w:tc>
          <w:tcPr>
            <w:tcW w:w="1857"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83"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02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02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851"/>
        </w:trPr>
        <w:tc>
          <w:tcPr>
            <w:tcW w:w="8880"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 xml:space="preserve">MD: mean difference; 95% CI: 95% confidence interval. </w:t>
            </w:r>
          </w:p>
          <w:p w:rsidR="009C6A81" w:rsidRDefault="009C6A81">
            <w:pPr>
              <w:jc w:val="left"/>
              <w:rPr>
                <w:b/>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due to serious risk of bias and imprecision.</w:t>
            </w:r>
          </w:p>
          <w:p w:rsidR="009C6A81" w:rsidRDefault="00ED5651">
            <w:pPr>
              <w:spacing w:before="120"/>
              <w:rPr>
                <w:sz w:val="16"/>
                <w:szCs w:val="16"/>
              </w:rPr>
            </w:pPr>
            <w:r>
              <w:rPr>
                <w:sz w:val="16"/>
                <w:szCs w:val="16"/>
              </w:rPr>
              <w:t>b. It was downgraded due to serious risk of bias, imprecision and inconsistency.</w:t>
            </w:r>
          </w:p>
          <w:p w:rsidR="009C6A81" w:rsidRDefault="00ED5651">
            <w:pPr>
              <w:spacing w:before="120"/>
              <w:rPr>
                <w:sz w:val="16"/>
                <w:szCs w:val="16"/>
              </w:rPr>
            </w:pPr>
            <w:r>
              <w:rPr>
                <w:sz w:val="16"/>
                <w:szCs w:val="16"/>
              </w:rPr>
              <w:t>c. It was downgraded due to risk of bias and inconsistency.</w:t>
            </w:r>
          </w:p>
        </w:tc>
      </w:tr>
    </w:tbl>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20" w:anchor="/finding/66556e64e3089d04b934e5b7">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the use of sedentary behavior interventions.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2"/>
        <w:tblW w:w="885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46"/>
        <w:gridCol w:w="972"/>
        <w:gridCol w:w="973"/>
        <w:gridCol w:w="973"/>
        <w:gridCol w:w="973"/>
        <w:gridCol w:w="973"/>
        <w:gridCol w:w="973"/>
        <w:gridCol w:w="973"/>
      </w:tblGrid>
      <w:tr w:rsidR="009C6A81">
        <w:trPr>
          <w:trHeight w:val="525"/>
        </w:trPr>
        <w:tc>
          <w:tcPr>
            <w:tcW w:w="2046"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7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7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7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7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7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7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72"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Low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Balance of effects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costs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Negligible costs or savings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increased</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046"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7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7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41" w:name="_g2xyfs8nhv2t" w:colFirst="0" w:colLast="0"/>
      <w:bookmarkEnd w:id="41"/>
      <w:r>
        <w:t>Question 7. In adults aged 18 years and older with overweight or obesity, should exercise snacks be performed compared to not performing them?</w:t>
      </w:r>
    </w:p>
    <w:p w:rsidR="009C6A81" w:rsidRDefault="009C6A81"/>
    <w:p w:rsidR="009C6A81" w:rsidRDefault="00ED5651">
      <w:pPr>
        <w:ind w:left="-990"/>
      </w:pPr>
      <w:r>
        <w:t>Table. Summary of findings for the effects of performing exercise snacks.</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3"/>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6"/>
        <w:gridCol w:w="2071"/>
        <w:gridCol w:w="1432"/>
        <w:gridCol w:w="1432"/>
        <w:gridCol w:w="967"/>
        <w:gridCol w:w="967"/>
      </w:tblGrid>
      <w:tr w:rsidR="009C6A81">
        <w:trPr>
          <w:trHeight w:val="435"/>
        </w:trPr>
        <w:tc>
          <w:tcPr>
            <w:tcW w:w="1965"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07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864"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6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6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795"/>
        </w:trPr>
        <w:tc>
          <w:tcPr>
            <w:tcW w:w="1965"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07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432"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no exercise snacks</w:t>
            </w:r>
          </w:p>
        </w:tc>
        <w:tc>
          <w:tcPr>
            <w:tcW w:w="1432"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exercise snacks</w:t>
            </w:r>
          </w:p>
        </w:tc>
        <w:tc>
          <w:tcPr>
            <w:tcW w:w="96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6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3495"/>
        </w:trPr>
        <w:tc>
          <w:tcPr>
            <w:tcW w:w="196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Cardiorespiratory fitness</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Exercise snacks may increase cardiorespiratory capacity, but the evidence is very uncertain.</w:t>
            </w:r>
          </w:p>
        </w:tc>
        <w:tc>
          <w:tcPr>
            <w:tcW w:w="286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Four randomized trials involving a total of 93 participants reported on this outcome. Exercise snacking was associated with a significant increase in cardiorespira</w:t>
            </w:r>
            <w:r>
              <w:rPr>
                <w:sz w:val="16"/>
                <w:szCs w:val="16"/>
              </w:rPr>
              <w:t>tory capacity in all studies compared to the control group (no exercise), with an increase in VO2max of 17.1% and a VO2 peak increase ranging from 5% to 10% (p &lt; 0.05).</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495"/>
        </w:trPr>
        <w:tc>
          <w:tcPr>
            <w:tcW w:w="196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6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875"/>
        </w:trPr>
        <w:tc>
          <w:tcPr>
            <w:tcW w:w="196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exercise snacks on body weight</w:t>
            </w:r>
          </w:p>
        </w:tc>
        <w:tc>
          <w:tcPr>
            <w:tcW w:w="286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Two randomized trials involving a total of 40 participants reported on this outcome. No clinically significant differences were observed between the groups.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495"/>
        </w:trPr>
        <w:tc>
          <w:tcPr>
            <w:tcW w:w="196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6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3315"/>
        </w:trPr>
        <w:tc>
          <w:tcPr>
            <w:tcW w:w="196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Healthy nutrition habits</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exercise snacks on healthy nutrition habits</w:t>
            </w:r>
          </w:p>
        </w:tc>
        <w:tc>
          <w:tcPr>
            <w:tcW w:w="286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Two randomized trials involving a total of 88 participants reported on this outcome. No statistical differences were found for perceived fullness, hunger, or desire to eat, but food cravings were significantly reduced before lunch. Additionally, one study </w:t>
            </w:r>
            <w:r>
              <w:rPr>
                <w:sz w:val="16"/>
                <w:szCs w:val="16"/>
              </w:rPr>
              <w:t>reported a significant reduction in relative calorie intake (760 kJ lower).</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c</w:t>
            </w:r>
          </w:p>
        </w:tc>
      </w:tr>
      <w:tr w:rsidR="009C6A81">
        <w:trPr>
          <w:trHeight w:val="495"/>
        </w:trPr>
        <w:tc>
          <w:tcPr>
            <w:tcW w:w="196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6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235"/>
        </w:trPr>
        <w:tc>
          <w:tcPr>
            <w:tcW w:w="196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Mood and self-perceived energy</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exercise snacks on mood and self-perceived energy</w:t>
            </w:r>
          </w:p>
        </w:tc>
        <w:tc>
          <w:tcPr>
            <w:tcW w:w="286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One trial involving 60 participants reported this outcome. Exercise snacks were associated with an increase in self-perceived energy and vigor, improved mood, and decreased fatigue (p &lt; 0.05 for all).</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d</w:t>
            </w:r>
          </w:p>
        </w:tc>
      </w:tr>
      <w:tr w:rsidR="009C6A81">
        <w:trPr>
          <w:trHeight w:val="495"/>
        </w:trPr>
        <w:tc>
          <w:tcPr>
            <w:tcW w:w="1965"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64"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6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235"/>
        </w:trPr>
        <w:tc>
          <w:tcPr>
            <w:tcW w:w="8833"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 xml:space="preserve">95% CI: 95% confidence interval. </w:t>
            </w:r>
          </w:p>
          <w:p w:rsidR="009C6A81" w:rsidRDefault="009C6A81">
            <w:pPr>
              <w:jc w:val="left"/>
              <w:rPr>
                <w:b/>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due serious risk of bias and imprecision.</w:t>
            </w:r>
          </w:p>
          <w:p w:rsidR="009C6A81" w:rsidRDefault="00ED5651">
            <w:pPr>
              <w:spacing w:before="120"/>
              <w:rPr>
                <w:sz w:val="16"/>
                <w:szCs w:val="16"/>
              </w:rPr>
            </w:pPr>
            <w:r>
              <w:rPr>
                <w:sz w:val="16"/>
                <w:szCs w:val="16"/>
              </w:rPr>
              <w:t>b. It was downgraded due serious risk of bias, very serious imprecision and heterogeneity.</w:t>
            </w:r>
          </w:p>
          <w:p w:rsidR="009C6A81" w:rsidRDefault="00ED5651">
            <w:pPr>
              <w:spacing w:before="120"/>
              <w:rPr>
                <w:sz w:val="16"/>
                <w:szCs w:val="16"/>
              </w:rPr>
            </w:pPr>
            <w:r>
              <w:rPr>
                <w:sz w:val="16"/>
                <w:szCs w:val="16"/>
              </w:rPr>
              <w:t>c. It was downgraded due serious risk of bias, imprecision, heterogeneity and indirectness (due follow up)</w:t>
            </w:r>
          </w:p>
          <w:p w:rsidR="009C6A81" w:rsidRDefault="00ED5651">
            <w:pPr>
              <w:spacing w:before="120"/>
              <w:rPr>
                <w:sz w:val="16"/>
                <w:szCs w:val="16"/>
              </w:rPr>
            </w:pPr>
            <w:r>
              <w:rPr>
                <w:sz w:val="16"/>
                <w:szCs w:val="16"/>
              </w:rPr>
              <w:t>d. It was downgraded due to very serious imprecision, the impossibility to assess heterogeneity, and a very short timeframe for follow-up.</w:t>
            </w:r>
          </w:p>
        </w:tc>
      </w:tr>
      <w:tr w:rsidR="009C6A81">
        <w:trPr>
          <w:trHeight w:val="215"/>
        </w:trPr>
        <w:tc>
          <w:tcPr>
            <w:tcW w:w="1965"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2070"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1432"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1432"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967"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967"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r>
    </w:tbl>
    <w:p w:rsidR="009C6A81" w:rsidRDefault="00ED5651">
      <w:r>
        <w:rPr>
          <w:rFonts w:ascii="Times New Roman" w:eastAsia="Times New Roman" w:hAnsi="Times New Roman" w:cs="Times New Roman"/>
          <w:sz w:val="20"/>
          <w:szCs w:val="20"/>
        </w:rPr>
        <w:t xml:space="preserve"> </w:t>
      </w:r>
    </w:p>
    <w:p w:rsidR="009C6A81" w:rsidRDefault="00ED5651">
      <w:pPr>
        <w:ind w:left="-990"/>
        <w:rPr>
          <w:highlight w:val="yellow"/>
        </w:rPr>
      </w:pPr>
      <w:r>
        <w:t xml:space="preserve">An interactive version of this Summary of Findings table is available at the </w:t>
      </w:r>
      <w:hyperlink r:id="rId21" w:anchor="/finding/6661131be3089d04c1109e01">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performing exercise snacks.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4"/>
        <w:tblW w:w="88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6"/>
        <w:gridCol w:w="982"/>
        <w:gridCol w:w="981"/>
        <w:gridCol w:w="981"/>
        <w:gridCol w:w="981"/>
        <w:gridCol w:w="981"/>
        <w:gridCol w:w="981"/>
        <w:gridCol w:w="981"/>
      </w:tblGrid>
      <w:tr w:rsidR="009C6A81">
        <w:trPr>
          <w:trHeight w:val="525"/>
        </w:trPr>
        <w:tc>
          <w:tcPr>
            <w:tcW w:w="1974"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w:t>
            </w:r>
            <w:r>
              <w:rPr>
                <w:b/>
                <w:color w:val="FFFFFF"/>
                <w:sz w:val="12"/>
                <w:szCs w:val="12"/>
              </w:rPr>
              <w:t>m</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1"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Balance of effects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 costs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increased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42" w:name="_czt5zlncyuad" w:colFirst="0" w:colLast="0"/>
      <w:bookmarkEnd w:id="42"/>
      <w:r>
        <w:t xml:space="preserve">Question 8. </w:t>
      </w:r>
      <w:r>
        <w:t>In adults 18 years of age or older who are overweight or obese, should mental health screening be performed at primary care compared to not screening?</w:t>
      </w:r>
    </w:p>
    <w:p w:rsidR="009C6A81" w:rsidRDefault="009C6A81"/>
    <w:p w:rsidR="009C6A81" w:rsidRDefault="00ED5651">
      <w:pPr>
        <w:ind w:left="-990"/>
      </w:pPr>
      <w:r>
        <w:t>Table. Summary of findings for the effects of performing mental health screening.</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5"/>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6"/>
        <w:gridCol w:w="2175"/>
        <w:gridCol w:w="1425"/>
        <w:gridCol w:w="1425"/>
        <w:gridCol w:w="952"/>
        <w:gridCol w:w="952"/>
      </w:tblGrid>
      <w:tr w:rsidR="009C6A81">
        <w:trPr>
          <w:trHeight w:val="435"/>
        </w:trPr>
        <w:tc>
          <w:tcPr>
            <w:tcW w:w="1905"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17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850"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52"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52"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975"/>
        </w:trPr>
        <w:tc>
          <w:tcPr>
            <w:tcW w:w="1905"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17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42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Without mental health screening</w:t>
            </w:r>
          </w:p>
        </w:tc>
        <w:tc>
          <w:tcPr>
            <w:tcW w:w="142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mental health screening</w:t>
            </w:r>
          </w:p>
        </w:tc>
        <w:tc>
          <w:tcPr>
            <w:tcW w:w="952"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52"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510"/>
        </w:trPr>
        <w:tc>
          <w:tcPr>
            <w:tcW w:w="190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Depression prevalence</w:t>
            </w:r>
          </w:p>
        </w:tc>
        <w:tc>
          <w:tcPr>
            <w:tcW w:w="217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Mental health screening could decrease the prevalence of depression, however the evidence is very uncertain.</w:t>
            </w:r>
          </w:p>
        </w:tc>
        <w:tc>
          <w:tcPr>
            <w:tcW w:w="1425"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460</w:t>
            </w:r>
          </w:p>
          <w:p w:rsidR="009C6A81" w:rsidRDefault="00ED5651">
            <w:pPr>
              <w:jc w:val="center"/>
              <w:rPr>
                <w:sz w:val="16"/>
                <w:szCs w:val="16"/>
              </w:rPr>
            </w:pPr>
            <w:r>
              <w:rPr>
                <w:sz w:val="16"/>
                <w:szCs w:val="16"/>
              </w:rPr>
              <w:t>per 1000</w:t>
            </w:r>
          </w:p>
        </w:tc>
        <w:tc>
          <w:tcPr>
            <w:tcW w:w="142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363</w:t>
            </w:r>
          </w:p>
          <w:p w:rsidR="009C6A81" w:rsidRDefault="00ED5651">
            <w:pPr>
              <w:jc w:val="center"/>
              <w:rPr>
                <w:sz w:val="16"/>
                <w:szCs w:val="16"/>
              </w:rPr>
            </w:pPr>
            <w:r>
              <w:rPr>
                <w:sz w:val="16"/>
                <w:szCs w:val="16"/>
              </w:rPr>
              <w:t>per 1000</w:t>
            </w:r>
          </w:p>
        </w:tc>
        <w:tc>
          <w:tcPr>
            <w:tcW w:w="952"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0,67</w:t>
            </w:r>
          </w:p>
          <w:p w:rsidR="009C6A81" w:rsidRDefault="00ED5651">
            <w:pPr>
              <w:jc w:val="center"/>
              <w:rPr>
                <w:sz w:val="10"/>
                <w:szCs w:val="10"/>
              </w:rPr>
            </w:pPr>
            <w:r>
              <w:rPr>
                <w:sz w:val="10"/>
                <w:szCs w:val="10"/>
              </w:rPr>
              <w:t>(0,37 to 1,12)</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 study (data from 218 patients)</w:t>
            </w:r>
          </w:p>
        </w:tc>
        <w:tc>
          <w:tcPr>
            <w:tcW w:w="952"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645"/>
        </w:trPr>
        <w:tc>
          <w:tcPr>
            <w:tcW w:w="190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5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97 patients less per 1000</w:t>
            </w:r>
          </w:p>
          <w:p w:rsidR="009C6A81" w:rsidRDefault="00ED5651">
            <w:pPr>
              <w:jc w:val="center"/>
              <w:rPr>
                <w:sz w:val="10"/>
                <w:szCs w:val="10"/>
              </w:rPr>
            </w:pPr>
            <w:r>
              <w:rPr>
                <w:sz w:val="10"/>
                <w:szCs w:val="10"/>
              </w:rPr>
              <w:t>(95% CI: 220 less a 28 more patients)</w:t>
            </w:r>
          </w:p>
        </w:tc>
        <w:tc>
          <w:tcPr>
            <w:tcW w:w="952"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52"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3135"/>
        </w:trPr>
        <w:tc>
          <w:tcPr>
            <w:tcW w:w="190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Depression remission</w:t>
            </w:r>
          </w:p>
        </w:tc>
        <w:tc>
          <w:tcPr>
            <w:tcW w:w="217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Mental health screening may result in a small increase in the chance of depression remission, but the evidence is very uncertain.</w:t>
            </w:r>
          </w:p>
        </w:tc>
        <w:tc>
          <w:tcPr>
            <w:tcW w:w="285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Three randomized clinical trials with a total of 1396 participan</w:t>
            </w:r>
            <w:r>
              <w:rPr>
                <w:sz w:val="16"/>
                <w:szCs w:val="16"/>
              </w:rPr>
              <w:t>ts reported this outcome. Depression remission ranged from 11.7% to 66% in the control group and from 13.2% to 78.1% in the intervention group. The absolute difference in percentage points between the groups was 7.2 (2.9 to 15.2), favoring the mental healt</w:t>
            </w:r>
            <w:r>
              <w:rPr>
                <w:sz w:val="16"/>
                <w:szCs w:val="16"/>
              </w:rPr>
              <w:t>h screening group.</w:t>
            </w:r>
          </w:p>
        </w:tc>
        <w:tc>
          <w:tcPr>
            <w:tcW w:w="952"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52"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495"/>
        </w:trPr>
        <w:tc>
          <w:tcPr>
            <w:tcW w:w="190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7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50"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52"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52"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570"/>
        </w:trPr>
        <w:tc>
          <w:tcPr>
            <w:tcW w:w="190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Change in depressive symptoms</w:t>
            </w:r>
          </w:p>
        </w:tc>
        <w:tc>
          <w:tcPr>
            <w:tcW w:w="217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Mental health screening could result in an increase in the number of patients with reduced depressive symptoms.</w:t>
            </w:r>
          </w:p>
        </w:tc>
        <w:tc>
          <w:tcPr>
            <w:tcW w:w="1425"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441</w:t>
            </w:r>
          </w:p>
          <w:p w:rsidR="009C6A81" w:rsidRDefault="00ED5651">
            <w:pPr>
              <w:jc w:val="center"/>
              <w:rPr>
                <w:sz w:val="16"/>
                <w:szCs w:val="16"/>
              </w:rPr>
            </w:pPr>
            <w:r>
              <w:rPr>
                <w:sz w:val="16"/>
                <w:szCs w:val="16"/>
              </w:rPr>
              <w:t>per 1000</w:t>
            </w:r>
          </w:p>
        </w:tc>
        <w:tc>
          <w:tcPr>
            <w:tcW w:w="142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547</w:t>
            </w:r>
          </w:p>
          <w:p w:rsidR="009C6A81" w:rsidRDefault="00ED5651">
            <w:pPr>
              <w:jc w:val="center"/>
              <w:rPr>
                <w:sz w:val="16"/>
                <w:szCs w:val="16"/>
              </w:rPr>
            </w:pPr>
            <w:r>
              <w:rPr>
                <w:sz w:val="16"/>
                <w:szCs w:val="16"/>
              </w:rPr>
              <w:t>per 1000</w:t>
            </w:r>
          </w:p>
        </w:tc>
        <w:tc>
          <w:tcPr>
            <w:tcW w:w="952"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OR 1,53</w:t>
            </w:r>
          </w:p>
          <w:p w:rsidR="009C6A81" w:rsidRDefault="00ED5651">
            <w:pPr>
              <w:jc w:val="center"/>
              <w:rPr>
                <w:sz w:val="10"/>
                <w:szCs w:val="10"/>
              </w:rPr>
            </w:pPr>
            <w:r>
              <w:rPr>
                <w:sz w:val="10"/>
                <w:szCs w:val="10"/>
              </w:rPr>
              <w:t>(1,38 to 1,7)</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5 studies (data from 1675 patients)</w:t>
            </w:r>
          </w:p>
        </w:tc>
        <w:tc>
          <w:tcPr>
            <w:tcW w:w="952"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c</w:t>
            </w:r>
          </w:p>
        </w:tc>
      </w:tr>
      <w:tr w:rsidR="009C6A81">
        <w:trPr>
          <w:trHeight w:val="705"/>
        </w:trPr>
        <w:tc>
          <w:tcPr>
            <w:tcW w:w="1905"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7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50" w:type="dxa"/>
            <w:gridSpan w:val="2"/>
            <w:tcBorders>
              <w:top w:val="nil"/>
              <w:left w:val="nil"/>
              <w:bottom w:val="single" w:sz="8"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106 patients more per 1000</w:t>
            </w:r>
          </w:p>
          <w:p w:rsidR="009C6A81" w:rsidRDefault="00ED5651">
            <w:pPr>
              <w:jc w:val="center"/>
              <w:rPr>
                <w:sz w:val="10"/>
                <w:szCs w:val="10"/>
              </w:rPr>
            </w:pPr>
            <w:r>
              <w:rPr>
                <w:sz w:val="10"/>
                <w:szCs w:val="10"/>
              </w:rPr>
              <w:t>(95% CI: 80  a 132 more patients)</w:t>
            </w:r>
          </w:p>
        </w:tc>
        <w:tc>
          <w:tcPr>
            <w:tcW w:w="952"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52"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570"/>
        </w:trPr>
        <w:tc>
          <w:tcPr>
            <w:tcW w:w="8834"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 xml:space="preserve">RR: Relative risk; OR: odd ratio; 95% CI: 95% confidence interval. </w:t>
            </w:r>
          </w:p>
          <w:p w:rsidR="009C6A81" w:rsidRDefault="009C6A81">
            <w:pPr>
              <w:jc w:val="left"/>
              <w:rPr>
                <w:b/>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because of serious imprecision, serious indirect evidence and because it is not possible to assess inconsistency.</w:t>
            </w:r>
          </w:p>
          <w:p w:rsidR="009C6A81" w:rsidRDefault="00ED5651">
            <w:pPr>
              <w:spacing w:before="120"/>
              <w:rPr>
                <w:sz w:val="16"/>
                <w:szCs w:val="16"/>
              </w:rPr>
            </w:pPr>
            <w:r>
              <w:rPr>
                <w:sz w:val="16"/>
                <w:szCs w:val="16"/>
              </w:rPr>
              <w:t>b. It was downgraded because of serious risk of bias, inconsistency and indirectness.</w:t>
            </w:r>
          </w:p>
          <w:p w:rsidR="009C6A81" w:rsidRDefault="00ED5651">
            <w:pPr>
              <w:spacing w:before="120"/>
              <w:rPr>
                <w:b/>
                <w:sz w:val="16"/>
                <w:szCs w:val="16"/>
              </w:rPr>
            </w:pPr>
            <w:r>
              <w:rPr>
                <w:sz w:val="16"/>
                <w:szCs w:val="16"/>
              </w:rPr>
              <w:t>c. It was downgraded because of ser</w:t>
            </w:r>
            <w:r>
              <w:rPr>
                <w:sz w:val="16"/>
                <w:szCs w:val="16"/>
              </w:rPr>
              <w:t>ious risk of bias and indirectness.</w:t>
            </w:r>
          </w:p>
        </w:tc>
      </w:tr>
    </w:tbl>
    <w:p w:rsidR="009C6A81" w:rsidRDefault="00ED5651">
      <w:r>
        <w:rPr>
          <w:sz w:val="20"/>
          <w:szCs w:val="20"/>
        </w:rPr>
        <w:t xml:space="preserve"> </w:t>
      </w: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22" w:anchor="/finding/66870acee3089d04aed6d8c9">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performing mental health screening.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6"/>
        <w:tblW w:w="88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7"/>
        <w:gridCol w:w="1000"/>
        <w:gridCol w:w="1000"/>
        <w:gridCol w:w="1001"/>
        <w:gridCol w:w="1001"/>
        <w:gridCol w:w="1001"/>
        <w:gridCol w:w="1001"/>
        <w:gridCol w:w="1001"/>
      </w:tblGrid>
      <w:tr w:rsidR="009C6A81">
        <w:trPr>
          <w:trHeight w:val="525"/>
        </w:trPr>
        <w:tc>
          <w:tcPr>
            <w:tcW w:w="1847"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00"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Values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 costs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increased</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43" w:name="_gb8xofy07h9w" w:colFirst="0" w:colLast="0"/>
      <w:bookmarkEnd w:id="43"/>
      <w:r>
        <w:t xml:space="preserve">Question 9. </w:t>
      </w:r>
      <w:r>
        <w:t>In adults aged 18 years or older with overweight or obesity, should behavioral tools be used compared to not using them?</w:t>
      </w:r>
    </w:p>
    <w:p w:rsidR="009C6A81" w:rsidRDefault="009C6A81"/>
    <w:p w:rsidR="009C6A81" w:rsidRDefault="00ED5651">
      <w:pPr>
        <w:ind w:left="-990"/>
      </w:pPr>
      <w:r>
        <w:t>Table. Summary of findings for the effects of behavioral tools.</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7"/>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1"/>
        <w:gridCol w:w="2085"/>
        <w:gridCol w:w="1552"/>
        <w:gridCol w:w="1552"/>
        <w:gridCol w:w="915"/>
        <w:gridCol w:w="915"/>
      </w:tblGrid>
      <w:tr w:rsidR="009C6A81">
        <w:trPr>
          <w:trHeight w:val="435"/>
        </w:trPr>
        <w:tc>
          <w:tcPr>
            <w:tcW w:w="1830"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08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3104"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1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1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w:t>
            </w:r>
            <w:r>
              <w:rPr>
                <w:b/>
                <w:color w:val="FFFFFF"/>
                <w:sz w:val="16"/>
                <w:szCs w:val="16"/>
              </w:rPr>
              <w:t>inty of the evidence (GRADE)</w:t>
            </w:r>
          </w:p>
        </w:tc>
      </w:tr>
      <w:tr w:rsidR="009C6A81">
        <w:trPr>
          <w:trHeight w:val="975"/>
        </w:trPr>
        <w:tc>
          <w:tcPr>
            <w:tcW w:w="1830"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08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552"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Without behavioral tools</w:t>
            </w:r>
          </w:p>
        </w:tc>
        <w:tc>
          <w:tcPr>
            <w:tcW w:w="1552"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behavioral tools</w:t>
            </w:r>
          </w:p>
        </w:tc>
        <w:tc>
          <w:tcPr>
            <w:tcW w:w="91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1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495"/>
        </w:trPr>
        <w:tc>
          <w:tcPr>
            <w:tcW w:w="183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 from baseline (behavioral therapy)</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Behavioral therapy-based tools may result in little or </w:t>
            </w:r>
            <w:r>
              <w:rPr>
                <w:sz w:val="16"/>
                <w:szCs w:val="16"/>
              </w:rPr>
              <w:lastRenderedPageBreak/>
              <w:t>no difference in body weight change from baseline.</w:t>
            </w:r>
          </w:p>
        </w:tc>
        <w:tc>
          <w:tcPr>
            <w:tcW w:w="1552"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lastRenderedPageBreak/>
              <w:t>100</w:t>
            </w:r>
          </w:p>
          <w:p w:rsidR="009C6A81" w:rsidRDefault="00ED5651">
            <w:pPr>
              <w:jc w:val="center"/>
              <w:rPr>
                <w:sz w:val="16"/>
                <w:szCs w:val="16"/>
              </w:rPr>
            </w:pPr>
            <w:r>
              <w:rPr>
                <w:sz w:val="16"/>
                <w:szCs w:val="16"/>
              </w:rPr>
              <w:t>kg</w:t>
            </w:r>
          </w:p>
        </w:tc>
        <w:tc>
          <w:tcPr>
            <w:tcW w:w="1552"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95.2</w:t>
            </w:r>
          </w:p>
          <w:p w:rsidR="009C6A81" w:rsidRDefault="00ED5651">
            <w:pPr>
              <w:jc w:val="center"/>
              <w:rPr>
                <w:sz w:val="16"/>
                <w:szCs w:val="16"/>
              </w:rPr>
            </w:pPr>
            <w:r>
              <w:rPr>
                <w:sz w:val="16"/>
                <w:szCs w:val="16"/>
              </w:rPr>
              <w:t>kg</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12 studies </w:t>
            </w:r>
            <w:r>
              <w:rPr>
                <w:sz w:val="16"/>
                <w:szCs w:val="16"/>
              </w:rPr>
              <w:lastRenderedPageBreak/>
              <w:t>(data from 2501 patients)</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lastRenderedPageBreak/>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1035"/>
        </w:trPr>
        <w:tc>
          <w:tcPr>
            <w:tcW w:w="183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10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4.8 kg less</w:t>
            </w:r>
          </w:p>
          <w:p w:rsidR="009C6A81" w:rsidRDefault="00ED5651">
            <w:pPr>
              <w:jc w:val="center"/>
              <w:rPr>
                <w:sz w:val="10"/>
                <w:szCs w:val="10"/>
              </w:rPr>
            </w:pPr>
            <w:r>
              <w:rPr>
                <w:sz w:val="10"/>
                <w:szCs w:val="10"/>
              </w:rPr>
              <w:t>(95 % CI  6.6 less to 3.2 less)</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SMD 0.61</w:t>
            </w:r>
          </w:p>
          <w:p w:rsidR="009C6A81" w:rsidRDefault="00ED5651">
            <w:pPr>
              <w:jc w:val="center"/>
              <w:rPr>
                <w:sz w:val="16"/>
                <w:szCs w:val="16"/>
              </w:rPr>
            </w:pPr>
            <w:r>
              <w:rPr>
                <w:sz w:val="16"/>
                <w:szCs w:val="16"/>
              </w:rPr>
              <w:t>(0.4 to 0.83)</w:t>
            </w: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540"/>
        </w:trPr>
        <w:tc>
          <w:tcPr>
            <w:tcW w:w="183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 from baseline (cognitive behavioral therapy)</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Cognitive Behavioral Therapy-based tools may result in a slight reduction in body weight from baseline.</w:t>
            </w:r>
          </w:p>
        </w:tc>
        <w:tc>
          <w:tcPr>
            <w:tcW w:w="1552"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100</w:t>
            </w:r>
          </w:p>
          <w:p w:rsidR="009C6A81" w:rsidRDefault="00ED5651">
            <w:pPr>
              <w:jc w:val="center"/>
              <w:rPr>
                <w:sz w:val="16"/>
                <w:szCs w:val="16"/>
              </w:rPr>
            </w:pPr>
            <w:r>
              <w:rPr>
                <w:sz w:val="16"/>
                <w:szCs w:val="16"/>
              </w:rPr>
              <w:t>kg</w:t>
            </w:r>
          </w:p>
        </w:tc>
        <w:tc>
          <w:tcPr>
            <w:tcW w:w="1552"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94.8</w:t>
            </w:r>
          </w:p>
          <w:p w:rsidR="009C6A81" w:rsidRDefault="00ED5651">
            <w:pPr>
              <w:jc w:val="center"/>
              <w:rPr>
                <w:sz w:val="16"/>
                <w:szCs w:val="16"/>
              </w:rPr>
            </w:pPr>
            <w:r>
              <w:rPr>
                <w:sz w:val="16"/>
                <w:szCs w:val="16"/>
              </w:rPr>
              <w:t>kg</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4 studies (data from 1628 patients)</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1155"/>
        </w:trPr>
        <w:tc>
          <w:tcPr>
            <w:tcW w:w="183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10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5.2 kg less</w:t>
            </w:r>
          </w:p>
          <w:p w:rsidR="009C6A81" w:rsidRDefault="00ED5651">
            <w:pPr>
              <w:jc w:val="center"/>
              <w:rPr>
                <w:sz w:val="10"/>
                <w:szCs w:val="10"/>
              </w:rPr>
            </w:pPr>
            <w:r>
              <w:rPr>
                <w:sz w:val="10"/>
                <w:szCs w:val="10"/>
              </w:rPr>
              <w:t>(95 % CI  7.4 less to 2.9 less)</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SMD 0.66</w:t>
            </w:r>
          </w:p>
          <w:p w:rsidR="009C6A81" w:rsidRDefault="00ED5651">
            <w:pPr>
              <w:jc w:val="center"/>
              <w:rPr>
                <w:sz w:val="16"/>
                <w:szCs w:val="16"/>
              </w:rPr>
            </w:pPr>
            <w:r>
              <w:rPr>
                <w:sz w:val="16"/>
                <w:szCs w:val="16"/>
              </w:rPr>
              <w:t>(0.37 to 0.94)</w:t>
            </w: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055"/>
        </w:trPr>
        <w:tc>
          <w:tcPr>
            <w:tcW w:w="183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Health-related quality of life (behavioral therapy)</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behavioral therapy-based tools on quality of life</w:t>
            </w:r>
          </w:p>
        </w:tc>
        <w:tc>
          <w:tcPr>
            <w:tcW w:w="310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Two clinical trials with a total of 110 participants reported this outcome. No significant differences were found in health related quality of life between participants who received the intervention and those assigned to the control group.</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4"/>
                <w:szCs w:val="24"/>
              </w:rPr>
            </w:pPr>
            <w:r>
              <w:rPr>
                <w:sz w:val="24"/>
                <w:szCs w:val="24"/>
              </w:rPr>
              <w:t xml:space="preserve"> </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495"/>
        </w:trPr>
        <w:tc>
          <w:tcPr>
            <w:tcW w:w="183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10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055"/>
        </w:trPr>
        <w:tc>
          <w:tcPr>
            <w:tcW w:w="183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Health-related quality of life (cognitive behavioral therapy)</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cognitive behavioral therapy-based tools on quality of life</w:t>
            </w:r>
          </w:p>
        </w:tc>
        <w:tc>
          <w:tcPr>
            <w:tcW w:w="310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One clinical trial with a total of 21 participants reported this outcome. No significant differences were found in health related quality of life between participants who received the intervention and those assigned to the control group.</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4"/>
                <w:szCs w:val="24"/>
              </w:rPr>
            </w:pPr>
            <w:r>
              <w:rPr>
                <w:sz w:val="24"/>
                <w:szCs w:val="24"/>
              </w:rPr>
              <w:t xml:space="preserve"> </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495"/>
        </w:trPr>
        <w:tc>
          <w:tcPr>
            <w:tcW w:w="183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10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335"/>
        </w:trPr>
        <w:tc>
          <w:tcPr>
            <w:tcW w:w="183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Depressive symptoms (cognitive behavioral therapy)</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cognitive behavioral therapy on depressive symptoms.</w:t>
            </w:r>
          </w:p>
        </w:tc>
        <w:tc>
          <w:tcPr>
            <w:tcW w:w="310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clinical trial involving a total of 21 participants reported this outcome. There was no significant difference between interventions.</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4"/>
                <w:szCs w:val="24"/>
              </w:rPr>
            </w:pPr>
            <w:r>
              <w:rPr>
                <w:sz w:val="24"/>
                <w:szCs w:val="24"/>
              </w:rPr>
              <w:t xml:space="preserve"> </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495"/>
        </w:trPr>
        <w:tc>
          <w:tcPr>
            <w:tcW w:w="183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10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775"/>
        </w:trPr>
        <w:tc>
          <w:tcPr>
            <w:tcW w:w="183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Nutrition habits (behavioral therapy)</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cognitive behavioral therapy on dietary restraints.</w:t>
            </w:r>
          </w:p>
        </w:tc>
        <w:tc>
          <w:tcPr>
            <w:tcW w:w="310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trial involving a total of 30 participants reported this outcome. A reduction was observed within the Three-factor Eating Questionnaire (TFEQ) Hunger d</w:t>
            </w:r>
            <w:r>
              <w:rPr>
                <w:sz w:val="16"/>
                <w:szCs w:val="16"/>
              </w:rPr>
              <w:t>omain (mean difference of -1.2; 95% CI: −1.9 to −0.7). No significant changes were detected in the domains of Cognitive Control and Suggestibility within the TFEQ.</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4"/>
                <w:szCs w:val="24"/>
              </w:rPr>
            </w:pPr>
            <w:r>
              <w:rPr>
                <w:sz w:val="24"/>
                <w:szCs w:val="24"/>
              </w:rPr>
              <w:t xml:space="preserve"> </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c</w:t>
            </w:r>
          </w:p>
        </w:tc>
      </w:tr>
      <w:tr w:rsidR="009C6A81">
        <w:trPr>
          <w:trHeight w:val="495"/>
        </w:trPr>
        <w:tc>
          <w:tcPr>
            <w:tcW w:w="183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10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1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875"/>
        </w:trPr>
        <w:tc>
          <w:tcPr>
            <w:tcW w:w="183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Nutrition habits (cognitive behavioral therapy)</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cognitive behavioral therapy on dietary restraints.</w:t>
            </w:r>
          </w:p>
        </w:tc>
        <w:tc>
          <w:tcPr>
            <w:tcW w:w="310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One trial involving a total of 21 participants reported this outcome. A marginally significant increase in restrained eating was observed mean difference</w:t>
            </w:r>
            <w:r>
              <w:rPr>
                <w:sz w:val="16"/>
                <w:szCs w:val="16"/>
              </w:rPr>
              <w:t>s of -0.586; 95% CI: -1.10 to -0.06)</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4"/>
                <w:szCs w:val="24"/>
              </w:rPr>
            </w:pPr>
            <w:r>
              <w:rPr>
                <w:sz w:val="24"/>
                <w:szCs w:val="24"/>
              </w:rPr>
              <w:t xml:space="preserve"> </w:t>
            </w:r>
          </w:p>
        </w:tc>
        <w:tc>
          <w:tcPr>
            <w:tcW w:w="9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495"/>
        </w:trPr>
        <w:tc>
          <w:tcPr>
            <w:tcW w:w="1830"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104"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1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1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875"/>
        </w:trPr>
        <w:tc>
          <w:tcPr>
            <w:tcW w:w="8849"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 xml:space="preserve">SMD: Standardized mean difference; 95% CI: 95% confidence interval. </w:t>
            </w:r>
          </w:p>
          <w:p w:rsidR="009C6A81" w:rsidRDefault="009C6A81">
            <w:pPr>
              <w:jc w:val="left"/>
              <w:rPr>
                <w:b/>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two levels due to serious risk of bias and imprecision</w:t>
            </w:r>
          </w:p>
          <w:p w:rsidR="009C6A81" w:rsidRDefault="00ED5651">
            <w:pPr>
              <w:spacing w:before="120"/>
              <w:rPr>
                <w:sz w:val="16"/>
                <w:szCs w:val="16"/>
              </w:rPr>
            </w:pPr>
            <w:r>
              <w:rPr>
                <w:sz w:val="16"/>
                <w:szCs w:val="16"/>
              </w:rPr>
              <w:t>b. Certainty of evidence was downgraded due to very serious risk of bias and serious imprecision.</w:t>
            </w:r>
          </w:p>
          <w:p w:rsidR="009C6A81" w:rsidRDefault="00ED5651">
            <w:pPr>
              <w:spacing w:before="120"/>
              <w:rPr>
                <w:b/>
                <w:sz w:val="16"/>
                <w:szCs w:val="16"/>
              </w:rPr>
            </w:pPr>
            <w:r>
              <w:rPr>
                <w:sz w:val="16"/>
                <w:szCs w:val="16"/>
              </w:rPr>
              <w:t>c. The evidence was downgraded due to very serious risk of bias and very serious imprecision</w:t>
            </w:r>
          </w:p>
        </w:tc>
      </w:tr>
    </w:tbl>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23" w:anchor="/finding/66477217e3089d04aed6d8b5">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behavioral tools.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8"/>
        <w:tblW w:w="883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87"/>
        <w:gridCol w:w="992"/>
        <w:gridCol w:w="992"/>
        <w:gridCol w:w="992"/>
        <w:gridCol w:w="992"/>
        <w:gridCol w:w="992"/>
        <w:gridCol w:w="992"/>
        <w:gridCol w:w="992"/>
      </w:tblGrid>
      <w:tr w:rsidR="009C6A81">
        <w:trPr>
          <w:trHeight w:val="525"/>
        </w:trPr>
        <w:tc>
          <w:tcPr>
            <w:tcW w:w="1887"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92"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Certainty of the evidence</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Possibly important uncertainty or variability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 important uncertainty or variability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 costs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increased</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8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ED5651">
      <w:pPr>
        <w:pStyle w:val="Ttulo6"/>
        <w:ind w:hanging="990"/>
      </w:pPr>
      <w:bookmarkStart w:id="44" w:name="_lnkctf5oe9bu" w:colFirst="0" w:colLast="0"/>
      <w:bookmarkEnd w:id="44"/>
      <w:r>
        <w:t xml:space="preserve">Question 10. </w:t>
      </w:r>
      <w:r>
        <w:t>In adults aged 18 years or older with overweight or obesity, should group psychological interventions be used in comparison to individualized psychological interventions?</w:t>
      </w:r>
    </w:p>
    <w:p w:rsidR="009C6A81" w:rsidRDefault="009C6A81"/>
    <w:p w:rsidR="009C6A81" w:rsidRDefault="00ED5651">
      <w:pPr>
        <w:ind w:left="-990"/>
      </w:pPr>
      <w:r>
        <w:t>Table. Summary of findings for the effects of group psychological interventions.</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9"/>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6"/>
        <w:gridCol w:w="2055"/>
        <w:gridCol w:w="1485"/>
        <w:gridCol w:w="1485"/>
        <w:gridCol w:w="982"/>
        <w:gridCol w:w="982"/>
      </w:tblGrid>
      <w:tr w:rsidR="009C6A81">
        <w:trPr>
          <w:trHeight w:val="435"/>
        </w:trPr>
        <w:tc>
          <w:tcPr>
            <w:tcW w:w="1845"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05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970"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82"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82"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975"/>
        </w:trPr>
        <w:tc>
          <w:tcPr>
            <w:tcW w:w="1845"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05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48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individualized Ps interventions</w:t>
            </w:r>
          </w:p>
        </w:tc>
        <w:tc>
          <w:tcPr>
            <w:tcW w:w="148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group Ps interventions</w:t>
            </w:r>
          </w:p>
        </w:tc>
        <w:tc>
          <w:tcPr>
            <w:tcW w:w="982"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82"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675"/>
        </w:trPr>
        <w:tc>
          <w:tcPr>
            <w:tcW w:w="18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Body weight reduction over 5%</w:t>
            </w:r>
          </w:p>
        </w:tc>
        <w:tc>
          <w:tcPr>
            <w:tcW w:w="20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Group psychological interventions may increase the number of people achieving a weight loss greater than 5% but the evidence is very uncertain.</w:t>
            </w:r>
          </w:p>
        </w:tc>
        <w:tc>
          <w:tcPr>
            <w:tcW w:w="1485"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336</w:t>
            </w:r>
          </w:p>
          <w:p w:rsidR="009C6A81" w:rsidRDefault="00ED5651">
            <w:pPr>
              <w:jc w:val="center"/>
              <w:rPr>
                <w:sz w:val="16"/>
                <w:szCs w:val="16"/>
              </w:rPr>
            </w:pPr>
            <w:r>
              <w:rPr>
                <w:sz w:val="16"/>
                <w:szCs w:val="16"/>
              </w:rPr>
              <w:t>per 1000</w:t>
            </w:r>
          </w:p>
        </w:tc>
        <w:tc>
          <w:tcPr>
            <w:tcW w:w="148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458</w:t>
            </w:r>
          </w:p>
          <w:p w:rsidR="009C6A81" w:rsidRDefault="00ED5651">
            <w:pPr>
              <w:jc w:val="center"/>
              <w:rPr>
                <w:sz w:val="16"/>
                <w:szCs w:val="16"/>
              </w:rPr>
            </w:pPr>
            <w:r>
              <w:rPr>
                <w:sz w:val="16"/>
                <w:szCs w:val="16"/>
              </w:rPr>
              <w:t>per 1000</w:t>
            </w:r>
          </w:p>
        </w:tc>
        <w:tc>
          <w:tcPr>
            <w:tcW w:w="982"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1,36</w:t>
            </w:r>
          </w:p>
          <w:p w:rsidR="009C6A81" w:rsidRDefault="00ED5651">
            <w:pPr>
              <w:jc w:val="center"/>
              <w:rPr>
                <w:sz w:val="10"/>
                <w:szCs w:val="10"/>
              </w:rPr>
            </w:pPr>
            <w:r>
              <w:rPr>
                <w:sz w:val="10"/>
                <w:szCs w:val="10"/>
              </w:rPr>
              <w:t>(1,05 to 1,77)</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3 studies (data from 1520 patients)</w:t>
            </w:r>
          </w:p>
        </w:tc>
        <w:tc>
          <w:tcPr>
            <w:tcW w:w="982"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600"/>
        </w:trPr>
        <w:tc>
          <w:tcPr>
            <w:tcW w:w="184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5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7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122 patients more per 1000</w:t>
            </w:r>
          </w:p>
          <w:p w:rsidR="009C6A81" w:rsidRDefault="00ED5651">
            <w:pPr>
              <w:jc w:val="center"/>
              <w:rPr>
                <w:sz w:val="10"/>
                <w:szCs w:val="10"/>
              </w:rPr>
            </w:pPr>
            <w:r>
              <w:rPr>
                <w:sz w:val="10"/>
                <w:szCs w:val="10"/>
              </w:rPr>
              <w:t>(95% CI: 17  a 258 more patients)</w:t>
            </w:r>
          </w:p>
        </w:tc>
        <w:tc>
          <w:tcPr>
            <w:tcW w:w="982"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82"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18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 from baseline</w:t>
            </w:r>
          </w:p>
        </w:tc>
        <w:tc>
          <w:tcPr>
            <w:tcW w:w="20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Group psychological interventions probably result in little to no difference in body weight.</w:t>
            </w:r>
          </w:p>
        </w:tc>
        <w:tc>
          <w:tcPr>
            <w:tcW w:w="1485"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113</w:t>
            </w:r>
          </w:p>
          <w:p w:rsidR="009C6A81" w:rsidRDefault="00ED5651">
            <w:pPr>
              <w:jc w:val="center"/>
              <w:rPr>
                <w:sz w:val="16"/>
                <w:szCs w:val="16"/>
              </w:rPr>
            </w:pPr>
            <w:r>
              <w:rPr>
                <w:sz w:val="16"/>
                <w:szCs w:val="16"/>
              </w:rPr>
              <w:t>kg</w:t>
            </w:r>
          </w:p>
        </w:tc>
        <w:tc>
          <w:tcPr>
            <w:tcW w:w="148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111.7</w:t>
            </w:r>
          </w:p>
          <w:p w:rsidR="009C6A81" w:rsidRDefault="00ED5651">
            <w:pPr>
              <w:jc w:val="center"/>
              <w:rPr>
                <w:sz w:val="16"/>
                <w:szCs w:val="16"/>
              </w:rPr>
            </w:pPr>
            <w:r>
              <w:rPr>
                <w:sz w:val="16"/>
                <w:szCs w:val="16"/>
              </w:rPr>
              <w:t>kg</w:t>
            </w:r>
          </w:p>
        </w:tc>
        <w:tc>
          <w:tcPr>
            <w:tcW w:w="982"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16 studies (data from 2169 patients)</w:t>
            </w:r>
          </w:p>
        </w:tc>
        <w:tc>
          <w:tcPr>
            <w:tcW w:w="982"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b</w:t>
            </w:r>
          </w:p>
        </w:tc>
      </w:tr>
      <w:tr w:rsidR="009C6A81">
        <w:trPr>
          <w:trHeight w:val="1035"/>
        </w:trPr>
        <w:tc>
          <w:tcPr>
            <w:tcW w:w="1845"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5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70" w:type="dxa"/>
            <w:gridSpan w:val="2"/>
            <w:tcBorders>
              <w:top w:val="nil"/>
              <w:left w:val="nil"/>
              <w:bottom w:val="single" w:sz="8"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1.3 kg less</w:t>
            </w:r>
          </w:p>
          <w:p w:rsidR="009C6A81" w:rsidRDefault="00ED5651">
            <w:pPr>
              <w:jc w:val="center"/>
              <w:rPr>
                <w:sz w:val="10"/>
                <w:szCs w:val="10"/>
              </w:rPr>
            </w:pPr>
            <w:r>
              <w:rPr>
                <w:sz w:val="10"/>
                <w:szCs w:val="10"/>
              </w:rPr>
              <w:t>(IC 95 % 0.63 more to 2.04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-1.33</w:t>
            </w:r>
          </w:p>
          <w:p w:rsidR="009C6A81" w:rsidRDefault="00ED5651">
            <w:pPr>
              <w:jc w:val="center"/>
              <w:rPr>
                <w:sz w:val="16"/>
                <w:szCs w:val="16"/>
              </w:rPr>
            </w:pPr>
            <w:r>
              <w:rPr>
                <w:sz w:val="16"/>
                <w:szCs w:val="16"/>
              </w:rPr>
              <w:t>(-2.04 to -0.63)</w:t>
            </w:r>
          </w:p>
        </w:tc>
        <w:tc>
          <w:tcPr>
            <w:tcW w:w="982"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82"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8834"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RR: Relative risk; OR: odds ratio; 95% CI: 95% confidence interval; MD: mean difference.</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due serious risk of bias, imprecision and inconsistency.</w:t>
            </w:r>
          </w:p>
          <w:p w:rsidR="009C6A81" w:rsidRDefault="00ED5651">
            <w:pPr>
              <w:spacing w:before="120"/>
              <w:rPr>
                <w:b/>
                <w:sz w:val="16"/>
                <w:szCs w:val="16"/>
              </w:rPr>
            </w:pPr>
            <w:r>
              <w:rPr>
                <w:sz w:val="16"/>
                <w:szCs w:val="16"/>
              </w:rPr>
              <w:t>b. It was downgraded one level due serious risk of bias.</w:t>
            </w:r>
          </w:p>
        </w:tc>
      </w:tr>
    </w:tbl>
    <w:p w:rsidR="009C6A81" w:rsidRDefault="00ED5651">
      <w:pPr>
        <w:rPr>
          <w:sz w:val="20"/>
          <w:szCs w:val="20"/>
        </w:rPr>
      </w:pPr>
      <w:r>
        <w:rPr>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24" w:anchor="/finding/6647aa6ee3089d04aed6d8b6">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group psychological interventions.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a"/>
        <w:tblW w:w="883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37"/>
        <w:gridCol w:w="986"/>
        <w:gridCol w:w="986"/>
        <w:gridCol w:w="985"/>
        <w:gridCol w:w="985"/>
        <w:gridCol w:w="985"/>
        <w:gridCol w:w="985"/>
        <w:gridCol w:w="985"/>
      </w:tblGrid>
      <w:tr w:rsidR="009C6A81">
        <w:trPr>
          <w:trHeight w:val="525"/>
        </w:trPr>
        <w:tc>
          <w:tcPr>
            <w:tcW w:w="1935"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5"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Does not favour either the intervention or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Resources required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costs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 savings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increased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45" w:name="_9kerdbh4rlcp" w:colFirst="0" w:colLast="0"/>
      <w:bookmarkEnd w:id="45"/>
      <w:r>
        <w:t xml:space="preserve">Question 11. </w:t>
      </w:r>
      <w:r>
        <w:t>In adults aged 18 years or older with overweight or obesity, should phentermine be used for 6 months or more compared to lifestyle interventions/placebo?</w:t>
      </w:r>
    </w:p>
    <w:p w:rsidR="009C6A81" w:rsidRDefault="009C6A81"/>
    <w:p w:rsidR="009C6A81" w:rsidRDefault="00ED5651">
      <w:pPr>
        <w:ind w:left="-990"/>
      </w:pPr>
      <w:r>
        <w:t>Table. Summary of findings for the effects of phentermine.</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b"/>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6"/>
        <w:gridCol w:w="2085"/>
        <w:gridCol w:w="1455"/>
        <w:gridCol w:w="1455"/>
        <w:gridCol w:w="967"/>
        <w:gridCol w:w="967"/>
      </w:tblGrid>
      <w:tr w:rsidR="009C6A81">
        <w:trPr>
          <w:trHeight w:val="435"/>
        </w:trPr>
        <w:tc>
          <w:tcPr>
            <w:tcW w:w="1905"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08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910"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6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w:t>
            </w:r>
            <w:r>
              <w:rPr>
                <w:b/>
                <w:color w:val="FFFFFF"/>
                <w:sz w:val="16"/>
                <w:szCs w:val="16"/>
              </w:rPr>
              <w:t>lative effect (95% CI)</w:t>
            </w:r>
          </w:p>
        </w:tc>
        <w:tc>
          <w:tcPr>
            <w:tcW w:w="96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795"/>
        </w:trPr>
        <w:tc>
          <w:tcPr>
            <w:tcW w:w="1905"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08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45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placebo or lifestyle interventions</w:t>
            </w:r>
          </w:p>
        </w:tc>
        <w:tc>
          <w:tcPr>
            <w:tcW w:w="145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phentermine</w:t>
            </w:r>
          </w:p>
        </w:tc>
        <w:tc>
          <w:tcPr>
            <w:tcW w:w="96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6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495"/>
        </w:trPr>
        <w:tc>
          <w:tcPr>
            <w:tcW w:w="190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phentermine may result in little to no difference in body weight, but the evidence is very uncertain.</w:t>
            </w:r>
          </w:p>
        </w:tc>
        <w:tc>
          <w:tcPr>
            <w:tcW w:w="1455"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100</w:t>
            </w:r>
          </w:p>
          <w:p w:rsidR="009C6A81" w:rsidRDefault="00ED5651">
            <w:pPr>
              <w:jc w:val="center"/>
              <w:rPr>
                <w:sz w:val="16"/>
                <w:szCs w:val="16"/>
              </w:rPr>
            </w:pPr>
            <w:r>
              <w:rPr>
                <w:sz w:val="16"/>
                <w:szCs w:val="16"/>
              </w:rPr>
              <w:t>kg</w:t>
            </w:r>
          </w:p>
        </w:tc>
        <w:tc>
          <w:tcPr>
            <w:tcW w:w="145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95.1</w:t>
            </w:r>
          </w:p>
          <w:p w:rsidR="009C6A81" w:rsidRDefault="00ED5651">
            <w:pPr>
              <w:jc w:val="center"/>
              <w:rPr>
                <w:sz w:val="16"/>
                <w:szCs w:val="16"/>
              </w:rPr>
            </w:pPr>
            <w:r>
              <w:rPr>
                <w:sz w:val="16"/>
                <w:szCs w:val="16"/>
              </w:rPr>
              <w:t>kg</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3 studies (data from 203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1035"/>
        </w:trPr>
        <w:tc>
          <w:tcPr>
            <w:tcW w:w="190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1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4.9 kg less</w:t>
            </w:r>
          </w:p>
          <w:p w:rsidR="009C6A81" w:rsidRDefault="00ED5651">
            <w:pPr>
              <w:jc w:val="center"/>
              <w:rPr>
                <w:sz w:val="10"/>
                <w:szCs w:val="10"/>
              </w:rPr>
            </w:pPr>
            <w:r>
              <w:rPr>
                <w:sz w:val="10"/>
                <w:szCs w:val="10"/>
              </w:rPr>
              <w:t>( 95 % CI: 7 less to 0 less)</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-4.89</w:t>
            </w:r>
          </w:p>
          <w:p w:rsidR="009C6A81" w:rsidRDefault="00ED5651">
            <w:pPr>
              <w:jc w:val="center"/>
              <w:rPr>
                <w:sz w:val="16"/>
                <w:szCs w:val="16"/>
              </w:rPr>
            </w:pPr>
            <w:r>
              <w:rPr>
                <w:sz w:val="16"/>
                <w:szCs w:val="16"/>
              </w:rPr>
              <w:t>(-7 to -2.81)</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190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over 5%</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phentermine may result in little to no difference in weight loss over 5%.</w:t>
            </w:r>
          </w:p>
        </w:tc>
        <w:tc>
          <w:tcPr>
            <w:tcW w:w="1455"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280</w:t>
            </w:r>
          </w:p>
          <w:p w:rsidR="009C6A81" w:rsidRDefault="00ED5651">
            <w:pPr>
              <w:jc w:val="center"/>
              <w:rPr>
                <w:sz w:val="16"/>
                <w:szCs w:val="16"/>
              </w:rPr>
            </w:pPr>
            <w:r>
              <w:rPr>
                <w:sz w:val="16"/>
                <w:szCs w:val="16"/>
              </w:rPr>
              <w:t>per 1000</w:t>
            </w:r>
          </w:p>
        </w:tc>
        <w:tc>
          <w:tcPr>
            <w:tcW w:w="145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773</w:t>
            </w:r>
          </w:p>
          <w:p w:rsidR="009C6A81" w:rsidRDefault="00ED5651">
            <w:pPr>
              <w:jc w:val="center"/>
              <w:rPr>
                <w:sz w:val="16"/>
                <w:szCs w:val="16"/>
              </w:rPr>
            </w:pPr>
            <w:r>
              <w:rPr>
                <w:sz w:val="16"/>
                <w:szCs w:val="16"/>
              </w:rPr>
              <w:t>per 1000</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2,76</w:t>
            </w:r>
          </w:p>
          <w:p w:rsidR="009C6A81" w:rsidRDefault="00ED5651">
            <w:pPr>
              <w:jc w:val="center"/>
              <w:rPr>
                <w:sz w:val="10"/>
                <w:szCs w:val="10"/>
              </w:rPr>
            </w:pPr>
            <w:r>
              <w:rPr>
                <w:sz w:val="10"/>
                <w:szCs w:val="10"/>
              </w:rPr>
              <w:t>(1,36 to 5,58)</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4 studies (data from 528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b</w:t>
            </w:r>
          </w:p>
        </w:tc>
      </w:tr>
      <w:tr w:rsidR="009C6A81">
        <w:trPr>
          <w:trHeight w:val="540"/>
        </w:trPr>
        <w:tc>
          <w:tcPr>
            <w:tcW w:w="190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1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493 patients more per 1000</w:t>
            </w:r>
          </w:p>
          <w:p w:rsidR="009C6A81" w:rsidRDefault="00ED5651">
            <w:pPr>
              <w:jc w:val="center"/>
              <w:rPr>
                <w:sz w:val="10"/>
                <w:szCs w:val="10"/>
              </w:rPr>
            </w:pPr>
            <w:r>
              <w:rPr>
                <w:sz w:val="10"/>
                <w:szCs w:val="10"/>
              </w:rPr>
              <w:t>(95%CI: 101  a 1283 more patients)</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75"/>
        </w:trPr>
        <w:tc>
          <w:tcPr>
            <w:tcW w:w="190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Body weight reduction over 10%</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phentermine may increase the number of people who achieve a weight loss greater than 10%. However, the evidence is very uncertain.</w:t>
            </w:r>
          </w:p>
        </w:tc>
        <w:tc>
          <w:tcPr>
            <w:tcW w:w="1455"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59</w:t>
            </w:r>
          </w:p>
          <w:p w:rsidR="009C6A81" w:rsidRDefault="00ED5651">
            <w:pPr>
              <w:jc w:val="center"/>
              <w:rPr>
                <w:sz w:val="16"/>
                <w:szCs w:val="16"/>
              </w:rPr>
            </w:pPr>
            <w:r>
              <w:rPr>
                <w:sz w:val="16"/>
                <w:szCs w:val="16"/>
              </w:rPr>
              <w:t>per 1000</w:t>
            </w:r>
          </w:p>
        </w:tc>
        <w:tc>
          <w:tcPr>
            <w:tcW w:w="145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295</w:t>
            </w:r>
          </w:p>
          <w:p w:rsidR="009C6A81" w:rsidRDefault="00ED5651">
            <w:pPr>
              <w:jc w:val="center"/>
              <w:rPr>
                <w:sz w:val="16"/>
                <w:szCs w:val="16"/>
              </w:rPr>
            </w:pPr>
            <w:r>
              <w:rPr>
                <w:sz w:val="16"/>
                <w:szCs w:val="16"/>
              </w:rPr>
              <w:t>per 1000</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5,02</w:t>
            </w:r>
          </w:p>
          <w:p w:rsidR="009C6A81" w:rsidRDefault="00ED5651">
            <w:pPr>
              <w:jc w:val="center"/>
              <w:rPr>
                <w:sz w:val="10"/>
                <w:szCs w:val="10"/>
              </w:rPr>
            </w:pPr>
            <w:r>
              <w:rPr>
                <w:sz w:val="10"/>
                <w:szCs w:val="10"/>
              </w:rPr>
              <w:t>(0,84 to 29,99)</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2 studies (data from 383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600"/>
        </w:trPr>
        <w:tc>
          <w:tcPr>
            <w:tcW w:w="190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1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236 patients more per 1000</w:t>
            </w:r>
          </w:p>
          <w:p w:rsidR="009C6A81" w:rsidRDefault="00ED5651">
            <w:pPr>
              <w:jc w:val="center"/>
              <w:rPr>
                <w:sz w:val="10"/>
                <w:szCs w:val="10"/>
              </w:rPr>
            </w:pPr>
            <w:r>
              <w:rPr>
                <w:sz w:val="10"/>
                <w:szCs w:val="10"/>
              </w:rPr>
              <w:t>(95% CI: 9 less a 1705 more patients)</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335"/>
        </w:trPr>
        <w:tc>
          <w:tcPr>
            <w:tcW w:w="190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Serious adverse events</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phentermine may have no impact on the incidence of serious adverse events. However, the evidence is very uncertain.</w:t>
            </w:r>
          </w:p>
        </w:tc>
        <w:tc>
          <w:tcPr>
            <w:tcW w:w="291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Four clinical trials with a total of 545 participants reported this outcome. No serious adverse events related to the administration of the intervention were reported.</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495"/>
        </w:trPr>
        <w:tc>
          <w:tcPr>
            <w:tcW w:w="190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10"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335"/>
        </w:trPr>
        <w:tc>
          <w:tcPr>
            <w:tcW w:w="190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Severe psychiatric adverse events</w:t>
            </w:r>
          </w:p>
        </w:tc>
        <w:tc>
          <w:tcPr>
            <w:tcW w:w="208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use of phentermine may not have an impact on the incidence of serious psychiatric adverse events. However, the evidence is very uncertain.</w:t>
            </w:r>
          </w:p>
        </w:tc>
        <w:tc>
          <w:tcPr>
            <w:tcW w:w="291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One clinical trial with a total of 326 participants reported this outcome. No serious psychiatric adverse events </w:t>
            </w:r>
            <w:r>
              <w:rPr>
                <w:sz w:val="16"/>
                <w:szCs w:val="16"/>
              </w:rPr>
              <w:t>related to the administration of the intervention were reported.</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c</w:t>
            </w:r>
          </w:p>
        </w:tc>
      </w:tr>
      <w:tr w:rsidR="009C6A81">
        <w:trPr>
          <w:trHeight w:val="495"/>
        </w:trPr>
        <w:tc>
          <w:tcPr>
            <w:tcW w:w="1905"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8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10"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6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335"/>
        </w:trPr>
        <w:tc>
          <w:tcPr>
            <w:tcW w:w="8834"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RR: Relative risk; 95% CI: 95% confidence interval.</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due to a serious risk of bias and indirect evidence.</w:t>
            </w:r>
          </w:p>
          <w:p w:rsidR="009C6A81" w:rsidRDefault="00ED5651">
            <w:pPr>
              <w:spacing w:before="120"/>
              <w:rPr>
                <w:sz w:val="16"/>
                <w:szCs w:val="16"/>
              </w:rPr>
            </w:pPr>
            <w:r>
              <w:rPr>
                <w:sz w:val="16"/>
                <w:szCs w:val="16"/>
              </w:rPr>
              <w:t>b. It was downgraded due to serious risk of bias, imprecision, and indirect evidence.</w:t>
            </w:r>
          </w:p>
          <w:p w:rsidR="009C6A81" w:rsidRDefault="00ED5651">
            <w:pPr>
              <w:spacing w:before="120"/>
              <w:rPr>
                <w:sz w:val="16"/>
                <w:szCs w:val="16"/>
              </w:rPr>
            </w:pPr>
            <w:r>
              <w:rPr>
                <w:sz w:val="16"/>
                <w:szCs w:val="16"/>
              </w:rPr>
              <w:t>c. It was downgraded due to imprecision, indirect evidence and because it is not possible to assess inconsistency.</w:t>
            </w:r>
          </w:p>
        </w:tc>
      </w:tr>
    </w:tbl>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25" w:anchor="/finding/663a3528e3089d04b934e5aa">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phentermine.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c"/>
        <w:tblW w:w="883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37"/>
        <w:gridCol w:w="986"/>
        <w:gridCol w:w="986"/>
        <w:gridCol w:w="985"/>
        <w:gridCol w:w="985"/>
        <w:gridCol w:w="985"/>
        <w:gridCol w:w="985"/>
        <w:gridCol w:w="985"/>
      </w:tblGrid>
      <w:tr w:rsidR="009C6A81">
        <w:trPr>
          <w:trHeight w:val="525"/>
        </w:trPr>
        <w:tc>
          <w:tcPr>
            <w:tcW w:w="1935"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w:t>
            </w:r>
            <w:r>
              <w:rPr>
                <w:color w:val="BBBBBB"/>
                <w:sz w:val="12"/>
                <w:szCs w:val="12"/>
              </w:rPr>
              <w:t>ries</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5"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Certainty of the evidence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costs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Negligible costs or savings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Does not favour either the intervention or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increased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3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46" w:name="_5rs8fn5c3as8" w:colFirst="0" w:colLast="0"/>
      <w:bookmarkEnd w:id="46"/>
      <w:r>
        <w:t xml:space="preserve">Question 12. </w:t>
      </w:r>
      <w:r>
        <w:t>In adults aged 18 or older with overweight or obesity, should fenproporex be used for 6 months or more compared to lifestyle interventions/placebo?</w:t>
      </w:r>
    </w:p>
    <w:p w:rsidR="009C6A81" w:rsidRDefault="009C6A81"/>
    <w:p w:rsidR="009C6A81" w:rsidRDefault="00ED5651">
      <w:pPr>
        <w:ind w:left="-990"/>
      </w:pPr>
      <w:r>
        <w:t>Table. Summary of findings for the effects of fenproporex for 6 months or more.</w:t>
      </w:r>
    </w:p>
    <w:p w:rsidR="009C6A81" w:rsidRDefault="009C6A81">
      <w:pPr>
        <w:ind w:left="-990"/>
      </w:pP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d"/>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95"/>
        <w:gridCol w:w="1965"/>
        <w:gridCol w:w="1500"/>
        <w:gridCol w:w="1500"/>
        <w:gridCol w:w="945"/>
        <w:gridCol w:w="945"/>
      </w:tblGrid>
      <w:tr w:rsidR="009C6A81">
        <w:trPr>
          <w:trHeight w:val="435"/>
        </w:trPr>
        <w:tc>
          <w:tcPr>
            <w:tcW w:w="1995"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196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3000"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4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4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795"/>
        </w:trPr>
        <w:tc>
          <w:tcPr>
            <w:tcW w:w="1995"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96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500"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Placebo or lifestyle interventions</w:t>
            </w:r>
          </w:p>
        </w:tc>
        <w:tc>
          <w:tcPr>
            <w:tcW w:w="1500"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Fenproporex</w:t>
            </w:r>
          </w:p>
        </w:tc>
        <w:tc>
          <w:tcPr>
            <w:tcW w:w="94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4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615"/>
        </w:trPr>
        <w:tc>
          <w:tcPr>
            <w:tcW w:w="199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Body weight reduction over 5%</w:t>
            </w:r>
          </w:p>
        </w:tc>
        <w:tc>
          <w:tcPr>
            <w:tcW w:w="196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Fenproporex may increase the number of people achieving a weight loss greater than 5% but the evidence is very uncertain.</w:t>
            </w:r>
          </w:p>
        </w:tc>
        <w:tc>
          <w:tcPr>
            <w:tcW w:w="150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390</w:t>
            </w:r>
          </w:p>
          <w:p w:rsidR="009C6A81" w:rsidRDefault="00ED5651">
            <w:pPr>
              <w:jc w:val="center"/>
              <w:rPr>
                <w:sz w:val="16"/>
                <w:szCs w:val="16"/>
              </w:rPr>
            </w:pPr>
            <w:r>
              <w:rPr>
                <w:sz w:val="16"/>
                <w:szCs w:val="16"/>
              </w:rPr>
              <w:t>per 1000</w:t>
            </w:r>
          </w:p>
        </w:tc>
        <w:tc>
          <w:tcPr>
            <w:tcW w:w="150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654</w:t>
            </w:r>
          </w:p>
          <w:p w:rsidR="009C6A81" w:rsidRDefault="00ED5651">
            <w:pPr>
              <w:jc w:val="center"/>
              <w:rPr>
                <w:sz w:val="16"/>
                <w:szCs w:val="16"/>
              </w:rPr>
            </w:pPr>
            <w:r>
              <w:rPr>
                <w:sz w:val="16"/>
                <w:szCs w:val="16"/>
              </w:rPr>
              <w:t>per 1000</w:t>
            </w:r>
          </w:p>
        </w:tc>
        <w:tc>
          <w:tcPr>
            <w:tcW w:w="94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1,68</w:t>
            </w:r>
          </w:p>
          <w:p w:rsidR="009C6A81" w:rsidRDefault="00ED5651">
            <w:pPr>
              <w:jc w:val="center"/>
              <w:rPr>
                <w:sz w:val="10"/>
                <w:szCs w:val="10"/>
              </w:rPr>
            </w:pPr>
            <w:r>
              <w:rPr>
                <w:sz w:val="10"/>
                <w:szCs w:val="10"/>
              </w:rPr>
              <w:t>(1,16 to 2,42)</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2 studies (data from 118 patients)</w:t>
            </w:r>
          </w:p>
        </w:tc>
        <w:tc>
          <w:tcPr>
            <w:tcW w:w="94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540"/>
        </w:trPr>
        <w:tc>
          <w:tcPr>
            <w:tcW w:w="199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6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264 patients more per 1000</w:t>
            </w:r>
          </w:p>
          <w:p w:rsidR="009C6A81" w:rsidRDefault="00ED5651">
            <w:pPr>
              <w:jc w:val="center"/>
              <w:rPr>
                <w:sz w:val="10"/>
                <w:szCs w:val="10"/>
              </w:rPr>
            </w:pPr>
            <w:r>
              <w:rPr>
                <w:sz w:val="10"/>
                <w:szCs w:val="10"/>
              </w:rPr>
              <w:t>(95% CI: 62  a 555 more patients)</w:t>
            </w:r>
          </w:p>
        </w:tc>
        <w:tc>
          <w:tcPr>
            <w:tcW w:w="94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4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199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over 10%</w:t>
            </w:r>
          </w:p>
        </w:tc>
        <w:tc>
          <w:tcPr>
            <w:tcW w:w="196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Fenproporex may increase the number of people achieving a weight loss greater than 10% but the evidence is very uncertain.</w:t>
            </w:r>
          </w:p>
        </w:tc>
        <w:tc>
          <w:tcPr>
            <w:tcW w:w="150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119</w:t>
            </w:r>
          </w:p>
          <w:p w:rsidR="009C6A81" w:rsidRDefault="00ED5651">
            <w:pPr>
              <w:jc w:val="center"/>
              <w:rPr>
                <w:sz w:val="16"/>
                <w:szCs w:val="16"/>
              </w:rPr>
            </w:pPr>
            <w:r>
              <w:rPr>
                <w:sz w:val="16"/>
                <w:szCs w:val="16"/>
              </w:rPr>
              <w:t>per 1000</w:t>
            </w:r>
          </w:p>
        </w:tc>
        <w:tc>
          <w:tcPr>
            <w:tcW w:w="150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284</w:t>
            </w:r>
          </w:p>
          <w:p w:rsidR="009C6A81" w:rsidRDefault="00ED5651">
            <w:pPr>
              <w:jc w:val="center"/>
              <w:rPr>
                <w:sz w:val="16"/>
                <w:szCs w:val="16"/>
              </w:rPr>
            </w:pPr>
            <w:r>
              <w:rPr>
                <w:sz w:val="16"/>
                <w:szCs w:val="16"/>
              </w:rPr>
              <w:t>per 1000</w:t>
            </w:r>
          </w:p>
        </w:tc>
        <w:tc>
          <w:tcPr>
            <w:tcW w:w="94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2,39</w:t>
            </w:r>
          </w:p>
          <w:p w:rsidR="009C6A81" w:rsidRDefault="00ED5651">
            <w:pPr>
              <w:jc w:val="center"/>
              <w:rPr>
                <w:sz w:val="10"/>
                <w:szCs w:val="10"/>
              </w:rPr>
            </w:pPr>
            <w:r>
              <w:rPr>
                <w:sz w:val="10"/>
                <w:szCs w:val="10"/>
              </w:rPr>
              <w:t>(0,7 to 8,21)</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2 studies (data from 118 patients)</w:t>
            </w:r>
          </w:p>
        </w:tc>
        <w:tc>
          <w:tcPr>
            <w:tcW w:w="94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540"/>
        </w:trPr>
        <w:tc>
          <w:tcPr>
            <w:tcW w:w="199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6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165 patients more per 1000</w:t>
            </w:r>
          </w:p>
          <w:p w:rsidR="009C6A81" w:rsidRDefault="00ED5651">
            <w:pPr>
              <w:jc w:val="center"/>
              <w:rPr>
                <w:sz w:val="10"/>
                <w:szCs w:val="10"/>
              </w:rPr>
            </w:pPr>
            <w:r>
              <w:rPr>
                <w:sz w:val="10"/>
                <w:szCs w:val="10"/>
              </w:rPr>
              <w:t>(95% CI: 36 less a 855 more patients)</w:t>
            </w:r>
          </w:p>
        </w:tc>
        <w:tc>
          <w:tcPr>
            <w:tcW w:w="94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4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155"/>
        </w:trPr>
        <w:tc>
          <w:tcPr>
            <w:tcW w:w="199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Serious adverse events</w:t>
            </w:r>
          </w:p>
        </w:tc>
        <w:tc>
          <w:tcPr>
            <w:tcW w:w="196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Fenproporex may not increase the incidence of serious adverse events but the evidence is very uncertain.</w:t>
            </w:r>
          </w:p>
        </w:tc>
        <w:tc>
          <w:tcPr>
            <w:tcW w:w="300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Two clinical trials involving a total of 118 participants reported this outcome. No serious adverse events were reported in either of the groups.</w:t>
            </w:r>
          </w:p>
        </w:tc>
        <w:tc>
          <w:tcPr>
            <w:tcW w:w="94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4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495"/>
        </w:trPr>
        <w:tc>
          <w:tcPr>
            <w:tcW w:w="199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6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4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4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695"/>
        </w:trPr>
        <w:tc>
          <w:tcPr>
            <w:tcW w:w="199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Severe psychiatric adverse events</w:t>
            </w:r>
          </w:p>
        </w:tc>
        <w:tc>
          <w:tcPr>
            <w:tcW w:w="196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Fenproporex may not increase the incidence of severe psychiatric adverse events but the evidence is very uncertain.</w:t>
            </w:r>
          </w:p>
        </w:tc>
        <w:tc>
          <w:tcPr>
            <w:tcW w:w="300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clinical trial involving a total of 58 participants reported this outcome. No significant differences in anxiety and depression events wer</w:t>
            </w:r>
            <w:r>
              <w:rPr>
                <w:sz w:val="16"/>
                <w:szCs w:val="16"/>
              </w:rPr>
              <w:t>e reported between the intervention group and the control group.</w:t>
            </w:r>
          </w:p>
        </w:tc>
        <w:tc>
          <w:tcPr>
            <w:tcW w:w="94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4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495"/>
        </w:trPr>
        <w:tc>
          <w:tcPr>
            <w:tcW w:w="1995"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6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3000"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4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4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358"/>
        </w:trPr>
        <w:tc>
          <w:tcPr>
            <w:tcW w:w="8850"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RR: Relative risk; 95% CI: 95% confidence interval.</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due to serious risk of bias and very serious imprecision.</w:t>
            </w:r>
          </w:p>
          <w:p w:rsidR="009C6A81" w:rsidRDefault="00ED5651">
            <w:pPr>
              <w:spacing w:before="120"/>
              <w:rPr>
                <w:sz w:val="16"/>
                <w:szCs w:val="16"/>
              </w:rPr>
            </w:pPr>
            <w:r>
              <w:rPr>
                <w:sz w:val="16"/>
                <w:szCs w:val="16"/>
              </w:rPr>
              <w:t>b. It was downgraded due to very serious risk of bias and imprecision.</w:t>
            </w:r>
          </w:p>
        </w:tc>
      </w:tr>
    </w:tbl>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26" w:anchor="/finding/66463184e3089d04c1109df3">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the use of fenproporex for 6 months or more.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e"/>
        <w:tblW w:w="88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66"/>
        <w:gridCol w:w="969"/>
        <w:gridCol w:w="969"/>
        <w:gridCol w:w="968"/>
        <w:gridCol w:w="968"/>
        <w:gridCol w:w="968"/>
        <w:gridCol w:w="968"/>
        <w:gridCol w:w="968"/>
      </w:tblGrid>
      <w:tr w:rsidR="009C6A81">
        <w:trPr>
          <w:trHeight w:val="525"/>
        </w:trPr>
        <w:tc>
          <w:tcPr>
            <w:tcW w:w="2064"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68"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8"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8"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68"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68"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68"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68"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Undesirable effects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Does not favour either the intervention or the comparison</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 costs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Don't know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 impact</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06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68"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68"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47" w:name="_za6ya6vrpepd" w:colFirst="0" w:colLast="0"/>
      <w:bookmarkEnd w:id="47"/>
      <w:r>
        <w:t xml:space="preserve">Question 13. </w:t>
      </w:r>
      <w:r>
        <w:t>In adults aged 18 or older with overweight or obesity, should mazindol be used for 6 months or more compared to lifestyle interventions/placebo?</w:t>
      </w:r>
    </w:p>
    <w:p w:rsidR="009C6A81" w:rsidRDefault="009C6A81"/>
    <w:p w:rsidR="009C6A81" w:rsidRDefault="00ED5651">
      <w:pPr>
        <w:ind w:left="-990"/>
      </w:pPr>
      <w:r>
        <w:t>Table. Summary of findings for the effects of the use of mazindol for 6 months or more.</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51"/>
        <w:gridCol w:w="2100"/>
        <w:gridCol w:w="1432"/>
        <w:gridCol w:w="1432"/>
        <w:gridCol w:w="960"/>
        <w:gridCol w:w="960"/>
      </w:tblGrid>
      <w:tr w:rsidR="009C6A81">
        <w:trPr>
          <w:trHeight w:val="435"/>
        </w:trPr>
        <w:tc>
          <w:tcPr>
            <w:tcW w:w="1950"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10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864"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6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6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 xml:space="preserve">Certainty of the </w:t>
            </w:r>
            <w:r>
              <w:rPr>
                <w:b/>
                <w:color w:val="FFFFFF"/>
                <w:sz w:val="16"/>
                <w:szCs w:val="16"/>
              </w:rPr>
              <w:lastRenderedPageBreak/>
              <w:t>evidence (GRADE)</w:t>
            </w:r>
          </w:p>
        </w:tc>
      </w:tr>
      <w:tr w:rsidR="009C6A81">
        <w:trPr>
          <w:trHeight w:val="795"/>
        </w:trPr>
        <w:tc>
          <w:tcPr>
            <w:tcW w:w="1950"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10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432"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placebo or lifestyle interventions</w:t>
            </w:r>
          </w:p>
        </w:tc>
        <w:tc>
          <w:tcPr>
            <w:tcW w:w="1432"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mazindol</w:t>
            </w:r>
          </w:p>
        </w:tc>
        <w:tc>
          <w:tcPr>
            <w:tcW w:w="96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6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2595"/>
        </w:trPr>
        <w:tc>
          <w:tcPr>
            <w:tcW w:w="195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over 5%</w:t>
            </w:r>
          </w:p>
        </w:tc>
        <w:tc>
          <w:tcPr>
            <w:tcW w:w="210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Mazindol may increase the number of people achieving a weight loss greater than 5% but the evidence is very uncertain.</w:t>
            </w:r>
          </w:p>
        </w:tc>
        <w:tc>
          <w:tcPr>
            <w:tcW w:w="286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A clinical trial with a total of 58 participants reported this outcome. Out of a total of 29 participants who received the intervention, </w:t>
            </w:r>
            <w:r>
              <w:rPr>
                <w:sz w:val="16"/>
                <w:szCs w:val="16"/>
              </w:rPr>
              <w:t>21 achieved a weight loss greater than 5%, while in the control group, consisting of 29 participants, only 10 reached this level of weight loss. (Relative Risk 2.1, 95% CI: 1.21 - 3.64).</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495"/>
        </w:trPr>
        <w:tc>
          <w:tcPr>
            <w:tcW w:w="195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0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6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595"/>
        </w:trPr>
        <w:tc>
          <w:tcPr>
            <w:tcW w:w="195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over 10%</w:t>
            </w:r>
          </w:p>
        </w:tc>
        <w:tc>
          <w:tcPr>
            <w:tcW w:w="210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Mazindol may increase the number of people achieving a weight loss greater than 10% but the evidence is very uncertain.</w:t>
            </w:r>
          </w:p>
        </w:tc>
        <w:tc>
          <w:tcPr>
            <w:tcW w:w="286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clinical trial with a total of 58 participants reported this outcome. Out of a total of 29 participants who received the intervention, 11 achieved a weight loss greater than 10%, while in the control group, consisting of 29 participants, only 2 reached t</w:t>
            </w:r>
            <w:r>
              <w:rPr>
                <w:sz w:val="16"/>
                <w:szCs w:val="16"/>
              </w:rPr>
              <w:t>his level of weight loss. (Relative Risk 5.5, 95% CI: 1.33 - 22.66).</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495"/>
        </w:trPr>
        <w:tc>
          <w:tcPr>
            <w:tcW w:w="195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0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6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955"/>
        </w:trPr>
        <w:tc>
          <w:tcPr>
            <w:tcW w:w="195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 from baseline</w:t>
            </w:r>
          </w:p>
        </w:tc>
        <w:tc>
          <w:tcPr>
            <w:tcW w:w="210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mazindol on body weight</w:t>
            </w:r>
          </w:p>
        </w:tc>
        <w:tc>
          <w:tcPr>
            <w:tcW w:w="286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Seven clinical trials involving a total of 349 participants reported this outcome. Four trials, with 271 participants, found that the intervention was associated with a significant reduction in weight. In contrast, three trials, with 78 participants, repor</w:t>
            </w:r>
            <w:r>
              <w:rPr>
                <w:sz w:val="16"/>
                <w:szCs w:val="16"/>
              </w:rPr>
              <w:t>ted that the intervention did not lead to significant changes in weight compared to the control group.</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495"/>
        </w:trPr>
        <w:tc>
          <w:tcPr>
            <w:tcW w:w="195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0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6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235"/>
        </w:trPr>
        <w:tc>
          <w:tcPr>
            <w:tcW w:w="195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Serious adverse events</w:t>
            </w:r>
          </w:p>
        </w:tc>
        <w:tc>
          <w:tcPr>
            <w:tcW w:w="210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Mazindol may not increase the incidence of serious adverse events but the evidence is very uncertain.</w:t>
            </w:r>
          </w:p>
        </w:tc>
        <w:tc>
          <w:tcPr>
            <w:tcW w:w="286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Six clinical trials with 351 participants reported no serious adverse events in either group.  In one trial (Dahms WT, 1978) with 60 participants, eight of the 30 who received the intervention experienced serious adverse events, compared to two in the cont</w:t>
            </w:r>
            <w:r>
              <w:rPr>
                <w:sz w:val="16"/>
                <w:szCs w:val="16"/>
              </w:rPr>
              <w:t>rol group.</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c</w:t>
            </w:r>
          </w:p>
        </w:tc>
      </w:tr>
      <w:tr w:rsidR="009C6A81">
        <w:trPr>
          <w:trHeight w:val="495"/>
        </w:trPr>
        <w:tc>
          <w:tcPr>
            <w:tcW w:w="195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0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6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875"/>
        </w:trPr>
        <w:tc>
          <w:tcPr>
            <w:tcW w:w="195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Severe psychiatric adverse events</w:t>
            </w:r>
          </w:p>
        </w:tc>
        <w:tc>
          <w:tcPr>
            <w:tcW w:w="210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Mazindol may not increase the incidence of psychiatric adverse events but the evidence is very uncertain.</w:t>
            </w:r>
          </w:p>
        </w:tc>
        <w:tc>
          <w:tcPr>
            <w:tcW w:w="286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clinical trial with 58 participants reported this outcome. In the intervention group (n= 29), there was one case of anxiety. In the control group (n= 29), there were two cases of anxiety and one of depression.</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495"/>
        </w:trPr>
        <w:tc>
          <w:tcPr>
            <w:tcW w:w="1950"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0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64"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6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875"/>
        </w:trPr>
        <w:tc>
          <w:tcPr>
            <w:tcW w:w="8834"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95% CI: 95% confidence interval.</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due to very serious risk of bias and imprecision</w:t>
            </w:r>
          </w:p>
          <w:p w:rsidR="009C6A81" w:rsidRDefault="00ED5651">
            <w:pPr>
              <w:spacing w:before="120"/>
              <w:rPr>
                <w:sz w:val="16"/>
                <w:szCs w:val="16"/>
              </w:rPr>
            </w:pPr>
            <w:r>
              <w:rPr>
                <w:sz w:val="16"/>
                <w:szCs w:val="16"/>
              </w:rPr>
              <w:t>b. It was downgraded due serious risk of bias, imprecision, inconsistency and indirectness</w:t>
            </w:r>
          </w:p>
          <w:p w:rsidR="009C6A81" w:rsidRDefault="00ED5651">
            <w:pPr>
              <w:spacing w:before="120"/>
              <w:rPr>
                <w:sz w:val="16"/>
                <w:szCs w:val="16"/>
              </w:rPr>
            </w:pPr>
            <w:r>
              <w:rPr>
                <w:sz w:val="16"/>
                <w:szCs w:val="16"/>
              </w:rPr>
              <w:t>c. It was downgraded due to serious risk of bias,</w:t>
            </w:r>
            <w:r>
              <w:rPr>
                <w:sz w:val="16"/>
                <w:szCs w:val="16"/>
              </w:rPr>
              <w:t xml:space="preserve"> imprecision and indirectness</w:t>
            </w:r>
          </w:p>
        </w:tc>
      </w:tr>
      <w:tr w:rsidR="009C6A81">
        <w:trPr>
          <w:trHeight w:val="215"/>
        </w:trPr>
        <w:tc>
          <w:tcPr>
            <w:tcW w:w="1950"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2100"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1432"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1432"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960"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c>
          <w:tcPr>
            <w:tcW w:w="960" w:type="dxa"/>
            <w:tcBorders>
              <w:top w:val="single" w:sz="8" w:space="0" w:color="000000"/>
              <w:left w:val="nil"/>
              <w:bottom w:val="nil"/>
              <w:right w:val="nil"/>
            </w:tcBorders>
            <w:shd w:val="clear" w:color="auto" w:fill="auto"/>
            <w:tcMar>
              <w:top w:w="100" w:type="dxa"/>
              <w:left w:w="100" w:type="dxa"/>
              <w:bottom w:w="100" w:type="dxa"/>
              <w:right w:w="100" w:type="dxa"/>
            </w:tcMar>
          </w:tcPr>
          <w:p w:rsidR="009C6A81" w:rsidRDefault="009C6A81">
            <w:pPr>
              <w:ind w:left="-990"/>
            </w:pPr>
          </w:p>
        </w:tc>
      </w:tr>
    </w:tbl>
    <w:p w:rsidR="009C6A81" w:rsidRDefault="009C6A81"/>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27" w:anchor="/finding/66464259e3089d04aed6d8b3">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the use of mazindol for 6 months or more.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0"/>
        <w:tblW w:w="885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55"/>
        <w:gridCol w:w="985"/>
        <w:gridCol w:w="986"/>
        <w:gridCol w:w="986"/>
        <w:gridCol w:w="986"/>
        <w:gridCol w:w="986"/>
        <w:gridCol w:w="986"/>
        <w:gridCol w:w="986"/>
      </w:tblGrid>
      <w:tr w:rsidR="009C6A81">
        <w:trPr>
          <w:trHeight w:val="525"/>
        </w:trPr>
        <w:tc>
          <w:tcPr>
            <w:tcW w:w="1955"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5"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5"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Certainty of the evidence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 costs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 impact</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55"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85"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5"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48" w:name="_lfd9dde1gti" w:colFirst="0" w:colLast="0"/>
      <w:bookmarkEnd w:id="48"/>
      <w:r>
        <w:t xml:space="preserve">Question 14. </w:t>
      </w:r>
      <w:r>
        <w:t>In adults aged 18 or older with overweight or obesity, should amfepramone be used for 6 months or more compared to lifestyle interventions/placebo?</w:t>
      </w:r>
    </w:p>
    <w:p w:rsidR="009C6A81" w:rsidRDefault="009C6A81"/>
    <w:p w:rsidR="009C6A81" w:rsidRDefault="00ED5651">
      <w:pPr>
        <w:ind w:left="-990"/>
      </w:pPr>
      <w:r>
        <w:t>Table. Summary of findings for the effects of the use of anfepramone for 6 months or more.</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1"/>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21"/>
        <w:gridCol w:w="2130"/>
        <w:gridCol w:w="1395"/>
        <w:gridCol w:w="1395"/>
        <w:gridCol w:w="997"/>
        <w:gridCol w:w="997"/>
      </w:tblGrid>
      <w:tr w:rsidR="009C6A81">
        <w:trPr>
          <w:trHeight w:val="435"/>
        </w:trPr>
        <w:tc>
          <w:tcPr>
            <w:tcW w:w="1920"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13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790"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9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9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795"/>
        </w:trPr>
        <w:tc>
          <w:tcPr>
            <w:tcW w:w="1920"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13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39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Placebo or lifestyle interventions</w:t>
            </w:r>
          </w:p>
        </w:tc>
        <w:tc>
          <w:tcPr>
            <w:tcW w:w="139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amfepramone</w:t>
            </w:r>
          </w:p>
        </w:tc>
        <w:tc>
          <w:tcPr>
            <w:tcW w:w="99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9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495"/>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Body weight change from baseline</w:t>
            </w:r>
          </w:p>
        </w:tc>
        <w:tc>
          <w:tcPr>
            <w:tcW w:w="21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Amfepramone</w:t>
            </w:r>
            <w:r>
              <w:rPr>
                <w:sz w:val="16"/>
                <w:szCs w:val="16"/>
              </w:rPr>
              <w:t xml:space="preserve"> may result in little to no difference in the percentage change of body weight but the evidence is very uncertain</w:t>
            </w:r>
          </w:p>
        </w:tc>
        <w:tc>
          <w:tcPr>
            <w:tcW w:w="1395"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88.3</w:t>
            </w:r>
          </w:p>
          <w:p w:rsidR="009C6A81" w:rsidRDefault="00ED5651">
            <w:pPr>
              <w:jc w:val="center"/>
              <w:rPr>
                <w:sz w:val="16"/>
                <w:szCs w:val="16"/>
              </w:rPr>
            </w:pPr>
            <w:r>
              <w:rPr>
                <w:sz w:val="16"/>
                <w:szCs w:val="16"/>
              </w:rPr>
              <w:t>kg</w:t>
            </w:r>
          </w:p>
        </w:tc>
        <w:tc>
          <w:tcPr>
            <w:tcW w:w="139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84.17</w:t>
            </w:r>
          </w:p>
          <w:p w:rsidR="009C6A81" w:rsidRDefault="00ED5651">
            <w:pPr>
              <w:jc w:val="center"/>
              <w:rPr>
                <w:sz w:val="16"/>
                <w:szCs w:val="16"/>
              </w:rPr>
            </w:pPr>
            <w:r>
              <w:rPr>
                <w:sz w:val="16"/>
                <w:szCs w:val="16"/>
              </w:rPr>
              <w:t>kg</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5 studies (data from 412 patients)</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1035"/>
        </w:trPr>
        <w:tc>
          <w:tcPr>
            <w:tcW w:w="192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79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4.13 kg less</w:t>
            </w:r>
          </w:p>
          <w:p w:rsidR="009C6A81" w:rsidRDefault="00ED5651">
            <w:pPr>
              <w:jc w:val="center"/>
              <w:rPr>
                <w:sz w:val="10"/>
                <w:szCs w:val="10"/>
              </w:rPr>
            </w:pPr>
            <w:r>
              <w:rPr>
                <w:sz w:val="10"/>
                <w:szCs w:val="10"/>
              </w:rPr>
              <w:t>(95 % CI:  8 less to 0 less)</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-4.13</w:t>
            </w:r>
          </w:p>
          <w:p w:rsidR="009C6A81" w:rsidRDefault="00ED5651">
            <w:pPr>
              <w:jc w:val="center"/>
              <w:rPr>
                <w:sz w:val="16"/>
                <w:szCs w:val="16"/>
              </w:rPr>
            </w:pPr>
            <w:r>
              <w:rPr>
                <w:sz w:val="16"/>
                <w:szCs w:val="16"/>
              </w:rPr>
              <w:t>(-8.26 to 0)</w:t>
            </w:r>
          </w:p>
        </w:tc>
        <w:tc>
          <w:tcPr>
            <w:tcW w:w="9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over 5%</w:t>
            </w:r>
          </w:p>
        </w:tc>
        <w:tc>
          <w:tcPr>
            <w:tcW w:w="21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Amfepramone may increase the number of people achieving a weight loss greater than 5% but the evidence is very uncertain.</w:t>
            </w:r>
          </w:p>
        </w:tc>
        <w:tc>
          <w:tcPr>
            <w:tcW w:w="1395"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187</w:t>
            </w:r>
          </w:p>
          <w:p w:rsidR="009C6A81" w:rsidRDefault="00ED5651">
            <w:pPr>
              <w:jc w:val="center"/>
              <w:rPr>
                <w:sz w:val="16"/>
                <w:szCs w:val="16"/>
              </w:rPr>
            </w:pPr>
            <w:r>
              <w:rPr>
                <w:sz w:val="16"/>
                <w:szCs w:val="16"/>
              </w:rPr>
              <w:t>per 1000</w:t>
            </w:r>
          </w:p>
        </w:tc>
        <w:tc>
          <w:tcPr>
            <w:tcW w:w="139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655</w:t>
            </w:r>
          </w:p>
          <w:p w:rsidR="009C6A81" w:rsidRDefault="00ED5651">
            <w:pPr>
              <w:jc w:val="center"/>
              <w:rPr>
                <w:sz w:val="16"/>
                <w:szCs w:val="16"/>
              </w:rPr>
            </w:pPr>
            <w:r>
              <w:rPr>
                <w:sz w:val="16"/>
                <w:szCs w:val="16"/>
              </w:rPr>
              <w:t>per 1000</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3,5</w:t>
            </w:r>
          </w:p>
          <w:p w:rsidR="009C6A81" w:rsidRDefault="00ED5651">
            <w:pPr>
              <w:jc w:val="center"/>
              <w:rPr>
                <w:sz w:val="10"/>
                <w:szCs w:val="10"/>
              </w:rPr>
            </w:pPr>
            <w:r>
              <w:rPr>
                <w:sz w:val="10"/>
                <w:szCs w:val="10"/>
              </w:rPr>
              <w:t>(1,58 to 7,75)</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3 studies (data from 282 patients)</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b</w:t>
            </w:r>
          </w:p>
        </w:tc>
      </w:tr>
      <w:tr w:rsidR="009C6A81">
        <w:trPr>
          <w:trHeight w:val="540"/>
        </w:trPr>
        <w:tc>
          <w:tcPr>
            <w:tcW w:w="192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79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468 patients more per 1000</w:t>
            </w:r>
          </w:p>
          <w:p w:rsidR="009C6A81" w:rsidRDefault="00ED5651">
            <w:pPr>
              <w:jc w:val="center"/>
              <w:rPr>
                <w:sz w:val="10"/>
                <w:szCs w:val="10"/>
              </w:rPr>
            </w:pPr>
            <w:r>
              <w:rPr>
                <w:sz w:val="10"/>
                <w:szCs w:val="10"/>
              </w:rPr>
              <w:t>(95% CI: 109  to 1262 more patients)</w:t>
            </w:r>
          </w:p>
        </w:tc>
        <w:tc>
          <w:tcPr>
            <w:tcW w:w="9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335"/>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Serious adverse events</w:t>
            </w:r>
          </w:p>
        </w:tc>
        <w:tc>
          <w:tcPr>
            <w:tcW w:w="21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Amfepramone may not increase the incidence of serious adverse events but the evidence is very uncertain.</w:t>
            </w:r>
          </w:p>
        </w:tc>
        <w:tc>
          <w:tcPr>
            <w:tcW w:w="279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Five clinical trials with a total of 333 participants reported this outcome. No adverse events associated with the intervention were reported for any of the groups.</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495"/>
        </w:trPr>
        <w:tc>
          <w:tcPr>
            <w:tcW w:w="192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790"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9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Psychiatric adverse events (depression or anxiety)</w:t>
            </w:r>
          </w:p>
        </w:tc>
        <w:tc>
          <w:tcPr>
            <w:tcW w:w="21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Amfepramone</w:t>
            </w:r>
            <w:r>
              <w:rPr>
                <w:sz w:val="16"/>
                <w:szCs w:val="16"/>
              </w:rPr>
              <w:t xml:space="preserve"> may increase the incidence of psychiatric adverse events (depression or anxiety) but the evidence is very uncertain.</w:t>
            </w:r>
          </w:p>
        </w:tc>
        <w:tc>
          <w:tcPr>
            <w:tcW w:w="1395"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25</w:t>
            </w:r>
          </w:p>
          <w:p w:rsidR="009C6A81" w:rsidRDefault="00ED5651">
            <w:pPr>
              <w:jc w:val="center"/>
              <w:rPr>
                <w:sz w:val="16"/>
                <w:szCs w:val="16"/>
              </w:rPr>
            </w:pPr>
            <w:r>
              <w:rPr>
                <w:sz w:val="16"/>
                <w:szCs w:val="16"/>
              </w:rPr>
              <w:t>per 1000</w:t>
            </w:r>
          </w:p>
        </w:tc>
        <w:tc>
          <w:tcPr>
            <w:tcW w:w="1395"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80</w:t>
            </w:r>
          </w:p>
          <w:p w:rsidR="009C6A81" w:rsidRDefault="00ED5651">
            <w:pPr>
              <w:jc w:val="center"/>
              <w:rPr>
                <w:sz w:val="16"/>
                <w:szCs w:val="16"/>
              </w:rPr>
            </w:pPr>
            <w:r>
              <w:rPr>
                <w:sz w:val="16"/>
                <w:szCs w:val="16"/>
              </w:rPr>
              <w:t>per 1000</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3,18</w:t>
            </w:r>
          </w:p>
          <w:p w:rsidR="009C6A81" w:rsidRDefault="00ED5651">
            <w:pPr>
              <w:jc w:val="center"/>
              <w:rPr>
                <w:sz w:val="10"/>
                <w:szCs w:val="10"/>
              </w:rPr>
            </w:pPr>
            <w:r>
              <w:rPr>
                <w:sz w:val="10"/>
                <w:szCs w:val="10"/>
              </w:rPr>
              <w:t>(1,21 to 8,32)</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4 studies (data from 322 patients)</w:t>
            </w:r>
          </w:p>
        </w:tc>
        <w:tc>
          <w:tcPr>
            <w:tcW w:w="99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837"/>
        </w:trPr>
        <w:tc>
          <w:tcPr>
            <w:tcW w:w="1920" w:type="dxa"/>
            <w:vMerge/>
            <w:tcBorders>
              <w:top w:val="nil"/>
              <w:left w:val="single" w:sz="6" w:space="0" w:color="000000"/>
              <w:bottom w:val="single" w:sz="8" w:space="0" w:color="1F2136"/>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30" w:type="dxa"/>
            <w:vMerge/>
            <w:tcBorders>
              <w:top w:val="nil"/>
              <w:left w:val="nil"/>
              <w:bottom w:val="single" w:sz="8" w:space="0" w:color="1F2136"/>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790" w:type="dxa"/>
            <w:gridSpan w:val="2"/>
            <w:tcBorders>
              <w:top w:val="nil"/>
              <w:left w:val="nil"/>
              <w:bottom w:val="single" w:sz="8" w:space="0" w:color="1F2136"/>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55 patients more per 1000</w:t>
            </w:r>
          </w:p>
          <w:p w:rsidR="009C6A81" w:rsidRDefault="00ED5651">
            <w:pPr>
              <w:jc w:val="center"/>
              <w:rPr>
                <w:sz w:val="10"/>
                <w:szCs w:val="10"/>
              </w:rPr>
            </w:pPr>
            <w:r>
              <w:rPr>
                <w:sz w:val="10"/>
                <w:szCs w:val="10"/>
              </w:rPr>
              <w:t>(95% CI: 5  to 184 more patients)</w:t>
            </w:r>
          </w:p>
        </w:tc>
        <w:tc>
          <w:tcPr>
            <w:tcW w:w="997" w:type="dxa"/>
            <w:vMerge/>
            <w:tcBorders>
              <w:top w:val="nil"/>
              <w:left w:val="nil"/>
              <w:bottom w:val="single" w:sz="8" w:space="0" w:color="1F2136"/>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97" w:type="dxa"/>
            <w:vMerge/>
            <w:tcBorders>
              <w:top w:val="nil"/>
              <w:left w:val="nil"/>
              <w:bottom w:val="single" w:sz="8" w:space="0" w:color="1F2136"/>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536"/>
        </w:trPr>
        <w:tc>
          <w:tcPr>
            <w:tcW w:w="8834" w:type="dxa"/>
            <w:gridSpan w:val="6"/>
            <w:tcBorders>
              <w:top w:val="single" w:sz="8" w:space="0" w:color="1F2136"/>
              <w:left w:val="single" w:sz="8" w:space="0" w:color="1F2136"/>
              <w:bottom w:val="single" w:sz="8" w:space="0" w:color="1F2136"/>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RR: Relative risk; MD: mean difference; 95% CI: 95% confidence interval.</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due to serious risk of bias, imprecision and indirectness.</w:t>
            </w:r>
          </w:p>
          <w:p w:rsidR="009C6A81" w:rsidRDefault="00ED5651">
            <w:pPr>
              <w:spacing w:before="120"/>
              <w:rPr>
                <w:sz w:val="16"/>
                <w:szCs w:val="16"/>
              </w:rPr>
            </w:pPr>
            <w:r>
              <w:rPr>
                <w:sz w:val="16"/>
                <w:szCs w:val="16"/>
              </w:rPr>
              <w:t>b. It was downgraded three levels due to serious risk of bias, inconsistency, imprecision and indirectness.</w:t>
            </w:r>
          </w:p>
        </w:tc>
      </w:tr>
    </w:tbl>
    <w:p w:rsidR="009C6A81" w:rsidRDefault="00ED5651">
      <w:pPr>
        <w:rPr>
          <w:sz w:val="20"/>
          <w:szCs w:val="20"/>
        </w:rPr>
      </w:pPr>
      <w:r>
        <w:rPr>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28" w:anchor="/finding/66464af2e3089d04b74afe7b">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the use of amfepramone for 6 months or more.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2"/>
        <w:tblW w:w="884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81"/>
        <w:gridCol w:w="982"/>
        <w:gridCol w:w="981"/>
        <w:gridCol w:w="981"/>
        <w:gridCol w:w="981"/>
        <w:gridCol w:w="981"/>
        <w:gridCol w:w="981"/>
        <w:gridCol w:w="981"/>
      </w:tblGrid>
      <w:tr w:rsidR="009C6A81">
        <w:trPr>
          <w:trHeight w:val="525"/>
        </w:trPr>
        <w:tc>
          <w:tcPr>
            <w:tcW w:w="1979"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1"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Undesirable effects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Does not favour either the intervention or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 costs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Does not favour either the intervention or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 impact</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79"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49" w:name="_yrv7iceohuxh" w:colFirst="0" w:colLast="0"/>
      <w:bookmarkEnd w:id="49"/>
      <w:r>
        <w:t xml:space="preserve">Question 15. </w:t>
      </w:r>
      <w:r>
        <w:t>In adults aged 18 years or older with overweight or obesity, should clobenzorex be used for 6 months or longer compared to lifestyle/placebo interventions?</w:t>
      </w:r>
    </w:p>
    <w:p w:rsidR="009C6A81" w:rsidRDefault="009C6A81"/>
    <w:p w:rsidR="009C6A81" w:rsidRDefault="00ED5651">
      <w:pPr>
        <w:ind w:left="-990"/>
      </w:pPr>
      <w:r>
        <w:t>Table. Summary of findings for the effects of the use of clobenzorex for 6 months or longer.</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3"/>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20"/>
        <w:gridCol w:w="2115"/>
        <w:gridCol w:w="1455"/>
        <w:gridCol w:w="1455"/>
        <w:gridCol w:w="945"/>
        <w:gridCol w:w="945"/>
      </w:tblGrid>
      <w:tr w:rsidR="009C6A81">
        <w:trPr>
          <w:trHeight w:val="435"/>
        </w:trPr>
        <w:tc>
          <w:tcPr>
            <w:tcW w:w="1920"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11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910"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4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4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 xml:space="preserve">Certainty of the </w:t>
            </w:r>
            <w:r>
              <w:rPr>
                <w:b/>
                <w:color w:val="FFFFFF"/>
                <w:sz w:val="16"/>
                <w:szCs w:val="16"/>
              </w:rPr>
              <w:lastRenderedPageBreak/>
              <w:t>evidence (GRADE)</w:t>
            </w:r>
          </w:p>
        </w:tc>
      </w:tr>
      <w:tr w:rsidR="009C6A81">
        <w:trPr>
          <w:trHeight w:val="795"/>
        </w:trPr>
        <w:tc>
          <w:tcPr>
            <w:tcW w:w="1920"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11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45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Placebo/lifestyle int.</w:t>
            </w:r>
          </w:p>
        </w:tc>
        <w:tc>
          <w:tcPr>
            <w:tcW w:w="1455"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Clobenzorex</w:t>
            </w:r>
          </w:p>
        </w:tc>
        <w:tc>
          <w:tcPr>
            <w:tcW w:w="94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4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1695"/>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Serious adverse events</w:t>
            </w:r>
          </w:p>
        </w:tc>
        <w:tc>
          <w:tcPr>
            <w:tcW w:w="211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The evidence is very uncertain about the effect of clobenzorex on the incidence of serious adverse events.</w:t>
            </w:r>
          </w:p>
        </w:tc>
        <w:tc>
          <w:tcPr>
            <w:tcW w:w="291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An observational study reported the number of cases of dilated cardiomyopathy from a passive pharmacovigilance database. Of a total of 47 cases of di</w:t>
            </w:r>
            <w:r>
              <w:rPr>
                <w:sz w:val="16"/>
                <w:szCs w:val="16"/>
              </w:rPr>
              <w:t>lated cardiomyopathy, only 2 were associated with clobenzorex administration.</w:t>
            </w:r>
          </w:p>
        </w:tc>
        <w:tc>
          <w:tcPr>
            <w:tcW w:w="94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4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a</w:t>
            </w:r>
          </w:p>
        </w:tc>
      </w:tr>
      <w:tr w:rsidR="009C6A81">
        <w:trPr>
          <w:trHeight w:val="495"/>
        </w:trPr>
        <w:tc>
          <w:tcPr>
            <w:tcW w:w="1920"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11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10"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4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4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215"/>
        </w:trPr>
        <w:tc>
          <w:tcPr>
            <w:tcW w:w="8835"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95% CI: 95% confidence interval.</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b/>
                <w:sz w:val="16"/>
                <w:szCs w:val="16"/>
              </w:rPr>
            </w:pPr>
            <w:r>
              <w:rPr>
                <w:sz w:val="16"/>
                <w:szCs w:val="16"/>
              </w:rPr>
              <w:t>a. It was downgraded for study design, imprecision, and indirect evidence.</w:t>
            </w:r>
          </w:p>
        </w:tc>
      </w:tr>
    </w:tbl>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29" w:anchor="/finding/66871681e3089d04b934e5c0">
        <w:r>
          <w:rPr>
            <w:color w:val="1155CC"/>
            <w:u w:val="single"/>
          </w:rPr>
          <w:t>iSoF platform</w:t>
        </w:r>
      </w:hyperlink>
      <w:r>
        <w:t>.</w:t>
      </w:r>
    </w:p>
    <w:p w:rsidR="009C6A81" w:rsidRDefault="009C6A81">
      <w:pPr>
        <w:ind w:left="-990"/>
      </w:pPr>
    </w:p>
    <w:p w:rsidR="009C6A81" w:rsidRDefault="00ED5651">
      <w:pPr>
        <w:ind w:left="-990"/>
      </w:pPr>
      <w:r>
        <w:t>Table. Summary of EtD judgments for the use of clobenzorex for 6 months o</w:t>
      </w:r>
      <w:r>
        <w:t xml:space="preserve">r longer.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4"/>
        <w:tblW w:w="88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6"/>
        <w:gridCol w:w="982"/>
        <w:gridCol w:w="981"/>
        <w:gridCol w:w="981"/>
        <w:gridCol w:w="981"/>
        <w:gridCol w:w="981"/>
        <w:gridCol w:w="981"/>
        <w:gridCol w:w="981"/>
      </w:tblGrid>
      <w:tr w:rsidR="009C6A81">
        <w:trPr>
          <w:trHeight w:val="525"/>
        </w:trPr>
        <w:tc>
          <w:tcPr>
            <w:tcW w:w="1974"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1"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81"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49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49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930"/>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Important uncertainty or variability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Possibly important uncertainty or variability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Resources required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Large costs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costs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reduced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7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81"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w:t>
            </w:r>
          </w:p>
        </w:tc>
        <w:tc>
          <w:tcPr>
            <w:tcW w:w="981"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jc w:val="left"/>
      </w:pPr>
      <w:bookmarkStart w:id="50" w:name="_7gcf2xcxnzxm" w:colFirst="0" w:colLast="0"/>
      <w:bookmarkEnd w:id="50"/>
      <w:r>
        <w:t xml:space="preserve">Question 16. </w:t>
      </w:r>
      <w:r>
        <w:t>In adults aged 18 or older with overweight or obesity without diabetes, should long-term use of GLP-1 agonists (liraglutide, semaglutide) be used compared to lifestyle interventions/placebo?</w:t>
      </w:r>
    </w:p>
    <w:p w:rsidR="009C6A81" w:rsidRDefault="009C6A81"/>
    <w:p w:rsidR="009C6A81" w:rsidRDefault="00ED5651">
      <w:pPr>
        <w:ind w:left="-990"/>
      </w:pPr>
      <w:r>
        <w:t>Table. Summary of findings for the effects of GLP-1 agonists (li</w:t>
      </w:r>
      <w:r>
        <w:t>raglutide, semaglutide).</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5"/>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21"/>
        <w:gridCol w:w="2070"/>
        <w:gridCol w:w="1462"/>
        <w:gridCol w:w="1462"/>
        <w:gridCol w:w="960"/>
        <w:gridCol w:w="960"/>
      </w:tblGrid>
      <w:tr w:rsidR="009C6A81">
        <w:trPr>
          <w:trHeight w:val="435"/>
        </w:trPr>
        <w:tc>
          <w:tcPr>
            <w:tcW w:w="1920"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07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924"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6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60"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975"/>
        </w:trPr>
        <w:tc>
          <w:tcPr>
            <w:tcW w:w="1920"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07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462"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Without Placebo or lifestyle interventions</w:t>
            </w:r>
          </w:p>
        </w:tc>
        <w:tc>
          <w:tcPr>
            <w:tcW w:w="1462"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GLP-1 agonists</w:t>
            </w:r>
          </w:p>
        </w:tc>
        <w:tc>
          <w:tcPr>
            <w:tcW w:w="96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60"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615"/>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Major cardiovascular events</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GLP-1 agonists (liraglutide, semaglutide) probably result in little to no difference in cardiovascular death incidence.</w:t>
            </w:r>
          </w:p>
        </w:tc>
        <w:tc>
          <w:tcPr>
            <w:tcW w:w="1462"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30</w:t>
            </w:r>
          </w:p>
          <w:p w:rsidR="009C6A81" w:rsidRDefault="00ED5651">
            <w:pPr>
              <w:jc w:val="center"/>
              <w:rPr>
                <w:sz w:val="16"/>
                <w:szCs w:val="16"/>
              </w:rPr>
            </w:pPr>
            <w:r>
              <w:rPr>
                <w:sz w:val="16"/>
                <w:szCs w:val="16"/>
              </w:rPr>
              <w:t>per 1000</w:t>
            </w:r>
          </w:p>
        </w:tc>
        <w:tc>
          <w:tcPr>
            <w:tcW w:w="1462"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26</w:t>
            </w:r>
          </w:p>
          <w:p w:rsidR="009C6A81" w:rsidRDefault="00ED5651">
            <w:pPr>
              <w:jc w:val="center"/>
              <w:rPr>
                <w:sz w:val="16"/>
                <w:szCs w:val="16"/>
              </w:rPr>
            </w:pPr>
            <w:r>
              <w:rPr>
                <w:sz w:val="16"/>
                <w:szCs w:val="16"/>
              </w:rPr>
              <w:t>per 1000</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HR 0,85</w:t>
            </w:r>
          </w:p>
          <w:p w:rsidR="009C6A81" w:rsidRDefault="00ED5651">
            <w:pPr>
              <w:jc w:val="center"/>
              <w:rPr>
                <w:sz w:val="10"/>
                <w:szCs w:val="10"/>
              </w:rPr>
            </w:pPr>
            <w:r>
              <w:rPr>
                <w:sz w:val="10"/>
                <w:szCs w:val="10"/>
              </w:rPr>
              <w:t>(0,71 to 1,01)</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 study (data from 17604 patients)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a</w:t>
            </w:r>
          </w:p>
        </w:tc>
      </w:tr>
      <w:tr w:rsidR="009C6A81">
        <w:trPr>
          <w:trHeight w:val="540"/>
        </w:trPr>
        <w:tc>
          <w:tcPr>
            <w:tcW w:w="192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2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4 patients less per 1000</w:t>
            </w:r>
          </w:p>
          <w:p w:rsidR="009C6A81" w:rsidRDefault="00ED5651">
            <w:pPr>
              <w:jc w:val="center"/>
              <w:rPr>
                <w:sz w:val="10"/>
                <w:szCs w:val="10"/>
              </w:rPr>
            </w:pPr>
            <w:r>
              <w:rPr>
                <w:sz w:val="10"/>
                <w:szCs w:val="10"/>
              </w:rPr>
              <w:t>(95% CI: 9  a 0 less patients)</w:t>
            </w: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GLP-1 agonists (liraglutide, semaglutide) probably results in a reduction in body weight.</w:t>
            </w:r>
          </w:p>
        </w:tc>
        <w:tc>
          <w:tcPr>
            <w:tcW w:w="1462"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100</w:t>
            </w:r>
          </w:p>
          <w:p w:rsidR="009C6A81" w:rsidRDefault="00ED5651">
            <w:pPr>
              <w:jc w:val="center"/>
              <w:rPr>
                <w:sz w:val="16"/>
                <w:szCs w:val="16"/>
              </w:rPr>
            </w:pPr>
            <w:r>
              <w:rPr>
                <w:sz w:val="16"/>
                <w:szCs w:val="16"/>
              </w:rPr>
              <w:t>kg</w:t>
            </w:r>
          </w:p>
        </w:tc>
        <w:tc>
          <w:tcPr>
            <w:tcW w:w="1462"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90.27</w:t>
            </w:r>
          </w:p>
          <w:p w:rsidR="009C6A81" w:rsidRDefault="00ED5651">
            <w:pPr>
              <w:jc w:val="center"/>
              <w:rPr>
                <w:sz w:val="16"/>
                <w:szCs w:val="16"/>
              </w:rPr>
            </w:pPr>
            <w:r>
              <w:rPr>
                <w:sz w:val="16"/>
                <w:szCs w:val="16"/>
              </w:rPr>
              <w:t>kg</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15 studies (data from 26555 patients)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b</w:t>
            </w:r>
          </w:p>
        </w:tc>
      </w:tr>
      <w:tr w:rsidR="009C6A81">
        <w:trPr>
          <w:trHeight w:val="1035"/>
        </w:trPr>
        <w:tc>
          <w:tcPr>
            <w:tcW w:w="192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2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9.73 kg less</w:t>
            </w:r>
          </w:p>
          <w:p w:rsidR="009C6A81" w:rsidRDefault="00ED5651">
            <w:pPr>
              <w:jc w:val="center"/>
              <w:rPr>
                <w:sz w:val="10"/>
                <w:szCs w:val="10"/>
              </w:rPr>
            </w:pPr>
            <w:r>
              <w:rPr>
                <w:sz w:val="10"/>
                <w:szCs w:val="10"/>
              </w:rPr>
              <w:t>(IC 95 % 10.24 less to 7.21 less)</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-9.73</w:t>
            </w:r>
          </w:p>
          <w:p w:rsidR="009C6A81" w:rsidRDefault="00ED5651">
            <w:pPr>
              <w:jc w:val="center"/>
              <w:rPr>
                <w:sz w:val="16"/>
                <w:szCs w:val="16"/>
              </w:rPr>
            </w:pPr>
            <w:r>
              <w:rPr>
                <w:sz w:val="16"/>
                <w:szCs w:val="16"/>
              </w:rPr>
              <w:t>(-10.24 to -7.21)</w:t>
            </w: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570"/>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Weight loss higher than 5%</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GLP-1 agonists (liraglutide, semaglutide) probably results in a large increase the number of people achieving a weight loss greater than 5%.</w:t>
            </w:r>
          </w:p>
        </w:tc>
        <w:tc>
          <w:tcPr>
            <w:tcW w:w="1462"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278</w:t>
            </w:r>
          </w:p>
          <w:p w:rsidR="009C6A81" w:rsidRDefault="00ED5651">
            <w:pPr>
              <w:jc w:val="center"/>
              <w:rPr>
                <w:sz w:val="16"/>
                <w:szCs w:val="16"/>
              </w:rPr>
            </w:pPr>
            <w:r>
              <w:rPr>
                <w:sz w:val="16"/>
                <w:szCs w:val="16"/>
              </w:rPr>
              <w:t>per 1000</w:t>
            </w:r>
          </w:p>
        </w:tc>
        <w:tc>
          <w:tcPr>
            <w:tcW w:w="1462"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684</w:t>
            </w:r>
          </w:p>
          <w:p w:rsidR="009C6A81" w:rsidRDefault="00ED5651">
            <w:pPr>
              <w:jc w:val="center"/>
              <w:rPr>
                <w:sz w:val="16"/>
                <w:szCs w:val="16"/>
              </w:rPr>
            </w:pPr>
            <w:r>
              <w:rPr>
                <w:sz w:val="16"/>
                <w:szCs w:val="16"/>
              </w:rPr>
              <w:t>per 1000</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2,46</w:t>
            </w:r>
          </w:p>
          <w:p w:rsidR="009C6A81" w:rsidRDefault="00ED5651">
            <w:pPr>
              <w:jc w:val="center"/>
              <w:rPr>
                <w:sz w:val="10"/>
                <w:szCs w:val="10"/>
              </w:rPr>
            </w:pPr>
            <w:r>
              <w:rPr>
                <w:sz w:val="10"/>
                <w:szCs w:val="10"/>
              </w:rPr>
              <w:t>(2,09 to 2,9)</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13 studies (data from 8539 patients)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b</w:t>
            </w:r>
          </w:p>
        </w:tc>
      </w:tr>
      <w:tr w:rsidR="009C6A81">
        <w:trPr>
          <w:trHeight w:val="705"/>
        </w:trPr>
        <w:tc>
          <w:tcPr>
            <w:tcW w:w="192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2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406 patients more per 1000</w:t>
            </w:r>
          </w:p>
          <w:p w:rsidR="009C6A81" w:rsidRDefault="00ED5651">
            <w:pPr>
              <w:jc w:val="center"/>
              <w:rPr>
                <w:sz w:val="10"/>
                <w:szCs w:val="10"/>
              </w:rPr>
            </w:pPr>
            <w:r>
              <w:rPr>
                <w:sz w:val="10"/>
                <w:szCs w:val="10"/>
              </w:rPr>
              <w:t>(95% CI: 302  a 528 more patients)</w:t>
            </w: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570"/>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Weight loss higher than 10%</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GLP-1 agonists (liraglutide, semaglutide) probably results in a large increase increase the number of people achieving a weight loss greater than 10%.</w:t>
            </w:r>
          </w:p>
        </w:tc>
        <w:tc>
          <w:tcPr>
            <w:tcW w:w="1462"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114</w:t>
            </w:r>
          </w:p>
          <w:p w:rsidR="009C6A81" w:rsidRDefault="00ED5651">
            <w:pPr>
              <w:jc w:val="center"/>
              <w:rPr>
                <w:sz w:val="16"/>
                <w:szCs w:val="16"/>
              </w:rPr>
            </w:pPr>
            <w:r>
              <w:rPr>
                <w:sz w:val="16"/>
                <w:szCs w:val="16"/>
              </w:rPr>
              <w:t>per 1000</w:t>
            </w:r>
          </w:p>
        </w:tc>
        <w:tc>
          <w:tcPr>
            <w:tcW w:w="1462"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479</w:t>
            </w:r>
          </w:p>
          <w:p w:rsidR="009C6A81" w:rsidRDefault="00ED5651">
            <w:pPr>
              <w:jc w:val="center"/>
              <w:rPr>
                <w:sz w:val="16"/>
                <w:szCs w:val="16"/>
              </w:rPr>
            </w:pPr>
            <w:r>
              <w:rPr>
                <w:sz w:val="16"/>
                <w:szCs w:val="16"/>
              </w:rPr>
              <w:t>per 1000</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4,21</w:t>
            </w:r>
          </w:p>
          <w:p w:rsidR="009C6A81" w:rsidRDefault="00ED5651">
            <w:pPr>
              <w:jc w:val="center"/>
              <w:rPr>
                <w:sz w:val="10"/>
                <w:szCs w:val="10"/>
              </w:rPr>
            </w:pPr>
            <w:r>
              <w:rPr>
                <w:sz w:val="10"/>
                <w:szCs w:val="10"/>
              </w:rPr>
              <w:t>(3,24 to 5,48)</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16 studies (data from 9759 patients)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c</w:t>
            </w:r>
          </w:p>
        </w:tc>
      </w:tr>
      <w:tr w:rsidR="009C6A81">
        <w:trPr>
          <w:trHeight w:val="705"/>
        </w:trPr>
        <w:tc>
          <w:tcPr>
            <w:tcW w:w="192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2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365 patients more per 1000</w:t>
            </w:r>
          </w:p>
          <w:p w:rsidR="009C6A81" w:rsidRDefault="00ED5651">
            <w:pPr>
              <w:jc w:val="center"/>
              <w:rPr>
                <w:sz w:val="10"/>
                <w:szCs w:val="10"/>
              </w:rPr>
            </w:pPr>
            <w:r>
              <w:rPr>
                <w:sz w:val="10"/>
                <w:szCs w:val="10"/>
              </w:rPr>
              <w:t>(95% CI: 254  a 509 more patients)</w:t>
            </w: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5475"/>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Health-related quality of life</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GLP-1 agonists (liraglutide, semaglutide) probably results in a slight increase in physical, mental and social health related quality of life.</w:t>
            </w:r>
          </w:p>
        </w:tc>
        <w:tc>
          <w:tcPr>
            <w:tcW w:w="292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Twelve studies with 9224 participants reported that the intervention significantly improved quality of life related to physical function (SMD 0.26, 95% CI: 0.17-0.34). Eleven studies with 8206 participants showed a significant increase in mental health-rel</w:t>
            </w:r>
            <w:r>
              <w:rPr>
                <w:sz w:val="16"/>
                <w:szCs w:val="16"/>
              </w:rPr>
              <w:t>ated quality of life (SMD 0.12, 95% CI: 0.06-0.17). Seven studies with 6157 participants indicated a significant improvement in social dimension quality of life (SMD 0.12, 95% CI: 0.04-0.20). One study with 17604 participants and a follow up of 104 weeks r</w:t>
            </w:r>
            <w:r>
              <w:rPr>
                <w:sz w:val="16"/>
                <w:szCs w:val="16"/>
              </w:rPr>
              <w:t>eported this outcome with little to no difference in quality of life (mean difference of 1.6 95% CI 1.16-2.04,  EQ-5D-VAS score [from 0 to 100, with higher scores indicating HRQL]</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d</w:t>
            </w:r>
          </w:p>
        </w:tc>
      </w:tr>
      <w:tr w:rsidR="009C6A81">
        <w:trPr>
          <w:trHeight w:val="495"/>
        </w:trPr>
        <w:tc>
          <w:tcPr>
            <w:tcW w:w="192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2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75"/>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Serious adverse events</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GLP-1 agonists (liraglutide, semaglutide) may result in a slight increase in the risk of serious adverse events.</w:t>
            </w:r>
          </w:p>
        </w:tc>
        <w:tc>
          <w:tcPr>
            <w:tcW w:w="1462"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286</w:t>
            </w:r>
          </w:p>
          <w:p w:rsidR="009C6A81" w:rsidRDefault="00ED5651">
            <w:pPr>
              <w:jc w:val="center"/>
              <w:rPr>
                <w:sz w:val="16"/>
                <w:szCs w:val="16"/>
              </w:rPr>
            </w:pPr>
            <w:r>
              <w:rPr>
                <w:sz w:val="16"/>
                <w:szCs w:val="16"/>
              </w:rPr>
              <w:t>per 1000</w:t>
            </w:r>
          </w:p>
        </w:tc>
        <w:tc>
          <w:tcPr>
            <w:tcW w:w="1462"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329</w:t>
            </w:r>
          </w:p>
          <w:p w:rsidR="009C6A81" w:rsidRDefault="00ED5651">
            <w:pPr>
              <w:jc w:val="center"/>
              <w:rPr>
                <w:sz w:val="16"/>
                <w:szCs w:val="16"/>
              </w:rPr>
            </w:pPr>
            <w:r>
              <w:rPr>
                <w:sz w:val="16"/>
                <w:szCs w:val="16"/>
              </w:rPr>
              <w:t>per 1000</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1,15</w:t>
            </w:r>
          </w:p>
          <w:p w:rsidR="009C6A81" w:rsidRDefault="00ED5651">
            <w:pPr>
              <w:jc w:val="center"/>
              <w:rPr>
                <w:sz w:val="10"/>
                <w:szCs w:val="10"/>
              </w:rPr>
            </w:pPr>
            <w:r>
              <w:rPr>
                <w:sz w:val="10"/>
                <w:szCs w:val="10"/>
              </w:rPr>
              <w:t>(0,93 to 1,41)</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18 studies (data from 27731 patients)</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e</w:t>
            </w:r>
          </w:p>
        </w:tc>
      </w:tr>
      <w:tr w:rsidR="009C6A81">
        <w:trPr>
          <w:trHeight w:val="600"/>
        </w:trPr>
        <w:tc>
          <w:tcPr>
            <w:tcW w:w="192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2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43 patients more per 1000</w:t>
            </w:r>
          </w:p>
          <w:p w:rsidR="009C6A81" w:rsidRDefault="00ED5651">
            <w:pPr>
              <w:jc w:val="center"/>
              <w:rPr>
                <w:sz w:val="10"/>
                <w:szCs w:val="10"/>
              </w:rPr>
            </w:pPr>
            <w:r>
              <w:rPr>
                <w:sz w:val="10"/>
                <w:szCs w:val="10"/>
              </w:rPr>
              <w:t>(95% CI: 19 less a 118 more patients)</w:t>
            </w: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415"/>
        </w:trPr>
        <w:tc>
          <w:tcPr>
            <w:tcW w:w="192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Suicidal behavior or ideation</w:t>
            </w:r>
          </w:p>
        </w:tc>
        <w:tc>
          <w:tcPr>
            <w:tcW w:w="207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GLP-1 agonists (liraglutide, semaglutide) results in little to no difference in suicidal behavior.</w:t>
            </w:r>
          </w:p>
        </w:tc>
        <w:tc>
          <w:tcPr>
            <w:tcW w:w="292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Five clinical trials with a total of 5,780 participants and one cohort study with 240,</w:t>
            </w:r>
            <w:r>
              <w:rPr>
                <w:sz w:val="16"/>
                <w:szCs w:val="16"/>
              </w:rPr>
              <w:t>618 participants and 6-month follow-up reported no significant association between the intervention and reported suicidal ideation events (RR 0.88; 95% CI: 0.46 - 1.67 and HR 0.27; 95% CI: 0.20 - 0.32).</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p>
          <w:p w:rsidR="009C6A81" w:rsidRDefault="00ED5651">
            <w:pPr>
              <w:jc w:val="center"/>
              <w:rPr>
                <w:sz w:val="14"/>
                <w:szCs w:val="14"/>
              </w:rPr>
            </w:pPr>
            <w:r>
              <w:rPr>
                <w:sz w:val="14"/>
                <w:szCs w:val="14"/>
              </w:rPr>
              <w:t>High</w:t>
            </w:r>
          </w:p>
        </w:tc>
      </w:tr>
      <w:tr w:rsidR="009C6A81">
        <w:trPr>
          <w:trHeight w:val="495"/>
        </w:trPr>
        <w:tc>
          <w:tcPr>
            <w:tcW w:w="1920"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7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24"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415"/>
        </w:trPr>
        <w:tc>
          <w:tcPr>
            <w:tcW w:w="8834"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RR: Relative risk; HR: hazard ratio; 95% CI: 95% confidence interval.</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due to the inability to assess inconsistency.</w:t>
            </w:r>
          </w:p>
          <w:p w:rsidR="009C6A81" w:rsidRDefault="00ED5651">
            <w:pPr>
              <w:spacing w:before="120"/>
              <w:rPr>
                <w:sz w:val="16"/>
                <w:szCs w:val="16"/>
              </w:rPr>
            </w:pPr>
            <w:r>
              <w:rPr>
                <w:sz w:val="16"/>
                <w:szCs w:val="16"/>
              </w:rPr>
              <w:t>b. It was downgraded due to serious heterogeneity.</w:t>
            </w:r>
          </w:p>
          <w:p w:rsidR="009C6A81" w:rsidRDefault="00ED5651">
            <w:pPr>
              <w:spacing w:before="120"/>
              <w:rPr>
                <w:sz w:val="16"/>
                <w:szCs w:val="16"/>
              </w:rPr>
            </w:pPr>
            <w:r>
              <w:rPr>
                <w:sz w:val="16"/>
                <w:szCs w:val="16"/>
              </w:rPr>
              <w:t>c. It was downgraded due to heterogeneity.</w:t>
            </w:r>
          </w:p>
          <w:p w:rsidR="009C6A81" w:rsidRDefault="00ED5651">
            <w:pPr>
              <w:spacing w:before="120"/>
              <w:rPr>
                <w:sz w:val="16"/>
                <w:szCs w:val="16"/>
              </w:rPr>
            </w:pPr>
            <w:r>
              <w:rPr>
                <w:sz w:val="16"/>
                <w:szCs w:val="16"/>
              </w:rPr>
              <w:t>d. It was downgraded due to serious imprecision.</w:t>
            </w:r>
          </w:p>
          <w:p w:rsidR="009C6A81" w:rsidRDefault="00ED5651">
            <w:pPr>
              <w:spacing w:before="120"/>
              <w:rPr>
                <w:sz w:val="16"/>
                <w:szCs w:val="16"/>
              </w:rPr>
            </w:pPr>
            <w:r>
              <w:rPr>
                <w:sz w:val="16"/>
                <w:szCs w:val="16"/>
              </w:rPr>
              <w:t>e. It was downgraded due to serious heterogeneity and imprecision.</w:t>
            </w:r>
          </w:p>
        </w:tc>
      </w:tr>
    </w:tbl>
    <w:p w:rsidR="009C6A81" w:rsidRDefault="00ED5651">
      <w:pPr>
        <w:rPr>
          <w:sz w:val="20"/>
          <w:szCs w:val="20"/>
        </w:rPr>
      </w:pPr>
      <w:r>
        <w:rPr>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30" w:anchor="/finding/6656923fe3089d04c1109dfe">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the use of GLP-1 agonists (liraglutide, semaglutide)..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6"/>
        <w:tblW w:w="88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8"/>
        <w:gridCol w:w="992"/>
        <w:gridCol w:w="992"/>
        <w:gridCol w:w="992"/>
        <w:gridCol w:w="992"/>
        <w:gridCol w:w="992"/>
        <w:gridCol w:w="992"/>
        <w:gridCol w:w="992"/>
      </w:tblGrid>
      <w:tr w:rsidR="009C6A81">
        <w:trPr>
          <w:trHeight w:val="525"/>
        </w:trPr>
        <w:tc>
          <w:tcPr>
            <w:tcW w:w="1908"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92"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92"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Balance of effects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Large costs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costs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reduced</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08"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92"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92"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51" w:name="_sfjs63wxr5xi" w:colFirst="0" w:colLast="0"/>
      <w:bookmarkEnd w:id="51"/>
      <w:r>
        <w:t xml:space="preserve">Question 17. </w:t>
      </w:r>
      <w:r>
        <w:t>In adults aged 18 years or older with overweight or obesity without diabetes, should long-term use of naltrexone/bupropion be used compared to lifestyle interventions/placebo?</w:t>
      </w:r>
    </w:p>
    <w:p w:rsidR="009C6A81" w:rsidRDefault="009C6A81"/>
    <w:p w:rsidR="009C6A81" w:rsidRDefault="00ED5651">
      <w:pPr>
        <w:ind w:left="-990"/>
        <w:jc w:val="left"/>
      </w:pPr>
      <w:r>
        <w:t>Table. Summary of findings for the effects of long-term use of naltrexone/bupro</w:t>
      </w:r>
      <w:r>
        <w:t>pion.</w:t>
      </w:r>
    </w:p>
    <w:p w:rsidR="009C6A81" w:rsidRDefault="009C6A81">
      <w:pPr>
        <w:ind w:left="-990"/>
        <w:jc w:val="left"/>
      </w:pPr>
    </w:p>
    <w:p w:rsidR="009C6A81" w:rsidRDefault="00ED5651">
      <w:pPr>
        <w:jc w:val="left"/>
        <w:rPr>
          <w:color w:val="1E2138"/>
          <w:u w:val="single"/>
        </w:rPr>
      </w:pPr>
      <w:r>
        <w:rPr>
          <w:color w:val="1E2138"/>
          <w:u w:val="single"/>
        </w:rPr>
        <w:t>General population (with overweight or obesity) subgroup.</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7"/>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1"/>
        <w:gridCol w:w="2205"/>
        <w:gridCol w:w="1410"/>
        <w:gridCol w:w="1410"/>
        <w:gridCol w:w="967"/>
        <w:gridCol w:w="967"/>
      </w:tblGrid>
      <w:tr w:rsidR="009C6A81">
        <w:trPr>
          <w:trHeight w:val="435"/>
        </w:trPr>
        <w:tc>
          <w:tcPr>
            <w:tcW w:w="1890"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20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820"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6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6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615"/>
        </w:trPr>
        <w:tc>
          <w:tcPr>
            <w:tcW w:w="1890"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20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410"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lifestyle interventions/placebo</w:t>
            </w:r>
          </w:p>
        </w:tc>
        <w:tc>
          <w:tcPr>
            <w:tcW w:w="1410"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long-term use of naltrexone/bupropion</w:t>
            </w:r>
          </w:p>
        </w:tc>
        <w:tc>
          <w:tcPr>
            <w:tcW w:w="96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6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495"/>
        </w:trPr>
        <w:tc>
          <w:tcPr>
            <w:tcW w:w="189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w:t>
            </w:r>
          </w:p>
        </w:tc>
        <w:tc>
          <w:tcPr>
            <w:tcW w:w="22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Long-term use of naltrexone/bupropion probably results in little to no difference in body weight reduction from baseline</w:t>
            </w:r>
          </w:p>
        </w:tc>
        <w:tc>
          <w:tcPr>
            <w:tcW w:w="141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100</w:t>
            </w:r>
          </w:p>
          <w:p w:rsidR="009C6A81" w:rsidRDefault="00ED5651">
            <w:pPr>
              <w:jc w:val="center"/>
              <w:rPr>
                <w:sz w:val="16"/>
                <w:szCs w:val="16"/>
              </w:rPr>
            </w:pPr>
            <w:r>
              <w:rPr>
                <w:sz w:val="16"/>
                <w:szCs w:val="16"/>
              </w:rPr>
              <w:t>kg</w:t>
            </w:r>
          </w:p>
        </w:tc>
        <w:tc>
          <w:tcPr>
            <w:tcW w:w="141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95.89</w:t>
            </w:r>
          </w:p>
          <w:p w:rsidR="009C6A81" w:rsidRDefault="00ED5651">
            <w:pPr>
              <w:jc w:val="center"/>
              <w:rPr>
                <w:sz w:val="16"/>
                <w:szCs w:val="16"/>
              </w:rPr>
            </w:pPr>
            <w:r>
              <w:rPr>
                <w:sz w:val="16"/>
                <w:szCs w:val="16"/>
              </w:rPr>
              <w:t>kg</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6 studies (data from 9949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a</w:t>
            </w:r>
          </w:p>
        </w:tc>
      </w:tr>
      <w:tr w:rsidR="009C6A81">
        <w:trPr>
          <w:trHeight w:val="1035"/>
        </w:trPr>
        <w:tc>
          <w:tcPr>
            <w:tcW w:w="189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2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2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4.11 kg less</w:t>
            </w:r>
          </w:p>
          <w:p w:rsidR="009C6A81" w:rsidRDefault="00ED5651">
            <w:pPr>
              <w:jc w:val="center"/>
              <w:rPr>
                <w:sz w:val="10"/>
                <w:szCs w:val="10"/>
              </w:rPr>
            </w:pPr>
            <w:r>
              <w:rPr>
                <w:sz w:val="10"/>
                <w:szCs w:val="10"/>
              </w:rPr>
              <w:t>(IC 95 % 3.02 more to 5.11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-4.11</w:t>
            </w:r>
          </w:p>
          <w:p w:rsidR="009C6A81" w:rsidRDefault="00ED5651">
            <w:pPr>
              <w:jc w:val="center"/>
              <w:rPr>
                <w:sz w:val="16"/>
                <w:szCs w:val="16"/>
              </w:rPr>
            </w:pPr>
            <w:r>
              <w:rPr>
                <w:sz w:val="16"/>
                <w:szCs w:val="16"/>
              </w:rPr>
              <w:t>(-5.11 to -3.02)</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75"/>
        </w:trPr>
        <w:tc>
          <w:tcPr>
            <w:tcW w:w="189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Body weight reduction over 5%</w:t>
            </w:r>
          </w:p>
        </w:tc>
        <w:tc>
          <w:tcPr>
            <w:tcW w:w="22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Long-term use of naltrexone/bupropion results in a large increase the number of people achieving a weight loss greater than 5%</w:t>
            </w:r>
          </w:p>
        </w:tc>
        <w:tc>
          <w:tcPr>
            <w:tcW w:w="141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266</w:t>
            </w:r>
          </w:p>
          <w:p w:rsidR="009C6A81" w:rsidRDefault="00ED5651">
            <w:pPr>
              <w:jc w:val="center"/>
              <w:rPr>
                <w:sz w:val="16"/>
                <w:szCs w:val="16"/>
              </w:rPr>
            </w:pPr>
            <w:r>
              <w:rPr>
                <w:sz w:val="16"/>
                <w:szCs w:val="16"/>
              </w:rPr>
              <w:t>per 1000</w:t>
            </w:r>
          </w:p>
        </w:tc>
        <w:tc>
          <w:tcPr>
            <w:tcW w:w="141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646</w:t>
            </w:r>
          </w:p>
          <w:p w:rsidR="009C6A81" w:rsidRDefault="00ED5651">
            <w:pPr>
              <w:jc w:val="center"/>
              <w:rPr>
                <w:sz w:val="16"/>
                <w:szCs w:val="16"/>
              </w:rPr>
            </w:pPr>
            <w:r>
              <w:rPr>
                <w:sz w:val="16"/>
                <w:szCs w:val="16"/>
              </w:rPr>
              <w:t>per 1000</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OR 5,04</w:t>
            </w:r>
          </w:p>
          <w:p w:rsidR="009C6A81" w:rsidRDefault="00ED5651">
            <w:pPr>
              <w:jc w:val="center"/>
              <w:rPr>
                <w:sz w:val="10"/>
                <w:szCs w:val="10"/>
              </w:rPr>
            </w:pPr>
            <w:r>
              <w:rPr>
                <w:sz w:val="10"/>
                <w:szCs w:val="10"/>
              </w:rPr>
              <w:t>(3,5 to 7,27)</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6 studies (data from 4348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p>
          <w:p w:rsidR="009C6A81" w:rsidRDefault="00ED5651">
            <w:pPr>
              <w:jc w:val="center"/>
              <w:rPr>
                <w:sz w:val="14"/>
                <w:szCs w:val="14"/>
              </w:rPr>
            </w:pPr>
            <w:r>
              <w:rPr>
                <w:sz w:val="14"/>
                <w:szCs w:val="14"/>
              </w:rPr>
              <w:t>High</w:t>
            </w:r>
          </w:p>
        </w:tc>
      </w:tr>
      <w:tr w:rsidR="009C6A81">
        <w:trPr>
          <w:trHeight w:val="600"/>
        </w:trPr>
        <w:tc>
          <w:tcPr>
            <w:tcW w:w="189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2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2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380 patients more per 1000</w:t>
            </w:r>
          </w:p>
          <w:p w:rsidR="009C6A81" w:rsidRDefault="00ED5651">
            <w:pPr>
              <w:jc w:val="center"/>
              <w:rPr>
                <w:sz w:val="10"/>
                <w:szCs w:val="10"/>
              </w:rPr>
            </w:pPr>
            <w:r>
              <w:rPr>
                <w:sz w:val="10"/>
                <w:szCs w:val="10"/>
              </w:rPr>
              <w:t>(95% CI: 293  a 459 more patients)</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189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Health-related quality of life</w:t>
            </w:r>
          </w:p>
        </w:tc>
        <w:tc>
          <w:tcPr>
            <w:tcW w:w="22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Long-term use of naltrexone/bupropion probably results in a small increase in quality of life</w:t>
            </w:r>
          </w:p>
        </w:tc>
        <w:tc>
          <w:tcPr>
            <w:tcW w:w="141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73.8</w:t>
            </w:r>
          </w:p>
          <w:p w:rsidR="009C6A81" w:rsidRDefault="00ED5651">
            <w:pPr>
              <w:jc w:val="center"/>
              <w:rPr>
                <w:sz w:val="16"/>
                <w:szCs w:val="16"/>
              </w:rPr>
            </w:pPr>
            <w:r>
              <w:rPr>
                <w:sz w:val="16"/>
                <w:szCs w:val="16"/>
              </w:rPr>
              <w:t>points</w:t>
            </w:r>
          </w:p>
        </w:tc>
        <w:tc>
          <w:tcPr>
            <w:tcW w:w="141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79.4</w:t>
            </w:r>
          </w:p>
          <w:p w:rsidR="009C6A81" w:rsidRDefault="00ED5651">
            <w:pPr>
              <w:jc w:val="center"/>
              <w:rPr>
                <w:sz w:val="16"/>
                <w:szCs w:val="16"/>
              </w:rPr>
            </w:pPr>
            <w:r>
              <w:rPr>
                <w:sz w:val="16"/>
                <w:szCs w:val="16"/>
              </w:rPr>
              <w:t>points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4 studies (data from 3695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b</w:t>
            </w:r>
          </w:p>
        </w:tc>
      </w:tr>
      <w:tr w:rsidR="009C6A81">
        <w:trPr>
          <w:trHeight w:val="1035"/>
        </w:trPr>
        <w:tc>
          <w:tcPr>
            <w:tcW w:w="189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2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2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5.6 points more from 0 to 100</w:t>
            </w:r>
          </w:p>
          <w:p w:rsidR="009C6A81" w:rsidRDefault="00ED5651">
            <w:pPr>
              <w:jc w:val="center"/>
              <w:rPr>
                <w:sz w:val="10"/>
                <w:szCs w:val="10"/>
              </w:rPr>
            </w:pPr>
            <w:r>
              <w:rPr>
                <w:sz w:val="10"/>
                <w:szCs w:val="10"/>
              </w:rPr>
              <w:t>(IC 95 % 2.8 more to 8.4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SMD 0.36</w:t>
            </w:r>
          </w:p>
          <w:p w:rsidR="009C6A81" w:rsidRDefault="00ED5651">
            <w:pPr>
              <w:jc w:val="center"/>
              <w:rPr>
                <w:sz w:val="16"/>
                <w:szCs w:val="16"/>
              </w:rPr>
            </w:pPr>
            <w:r>
              <w:rPr>
                <w:sz w:val="16"/>
                <w:szCs w:val="16"/>
              </w:rPr>
              <w:t>(0.18 to 0.54)</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189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Suicidal ideation or behavior</w:t>
            </w:r>
          </w:p>
        </w:tc>
        <w:tc>
          <w:tcPr>
            <w:tcW w:w="22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Long-term use of naltrexone/bupropion probably produces little or no difference in the number of people with suicidal behavior or ideation.</w:t>
            </w:r>
          </w:p>
        </w:tc>
        <w:tc>
          <w:tcPr>
            <w:tcW w:w="141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w:t>
            </w:r>
          </w:p>
          <w:p w:rsidR="009C6A81" w:rsidRDefault="00ED5651">
            <w:pPr>
              <w:jc w:val="center"/>
              <w:rPr>
                <w:sz w:val="16"/>
                <w:szCs w:val="16"/>
              </w:rPr>
            </w:pPr>
            <w:r>
              <w:rPr>
                <w:sz w:val="16"/>
                <w:szCs w:val="16"/>
              </w:rPr>
              <w:t>per 1000</w:t>
            </w:r>
          </w:p>
        </w:tc>
        <w:tc>
          <w:tcPr>
            <w:tcW w:w="141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0.3</w:t>
            </w:r>
          </w:p>
          <w:p w:rsidR="009C6A81" w:rsidRDefault="00ED5651">
            <w:pPr>
              <w:jc w:val="center"/>
              <w:rPr>
                <w:sz w:val="16"/>
                <w:szCs w:val="16"/>
              </w:rPr>
            </w:pPr>
            <w:r>
              <w:rPr>
                <w:sz w:val="16"/>
                <w:szCs w:val="16"/>
              </w:rPr>
              <w:t>per 1000</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0,16</w:t>
            </w:r>
          </w:p>
          <w:p w:rsidR="009C6A81" w:rsidRDefault="00ED5651">
            <w:pPr>
              <w:jc w:val="center"/>
              <w:rPr>
                <w:sz w:val="10"/>
                <w:szCs w:val="10"/>
              </w:rPr>
            </w:pPr>
            <w:r>
              <w:rPr>
                <w:sz w:val="10"/>
                <w:szCs w:val="10"/>
              </w:rPr>
              <w:t>(0,02 to 1,5)</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 study (data from 4060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c</w:t>
            </w:r>
          </w:p>
        </w:tc>
      </w:tr>
      <w:tr w:rsidR="009C6A81">
        <w:trPr>
          <w:trHeight w:val="540"/>
        </w:trPr>
        <w:tc>
          <w:tcPr>
            <w:tcW w:w="189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2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2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1.7 patients less per 1000</w:t>
            </w:r>
          </w:p>
          <w:p w:rsidR="009C6A81" w:rsidRDefault="00ED5651">
            <w:pPr>
              <w:jc w:val="center"/>
              <w:rPr>
                <w:sz w:val="10"/>
                <w:szCs w:val="10"/>
              </w:rPr>
            </w:pPr>
            <w:r>
              <w:rPr>
                <w:sz w:val="10"/>
                <w:szCs w:val="10"/>
              </w:rPr>
              <w:t>(95% CI: 1  a 2 more patients)</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750"/>
        </w:trPr>
        <w:tc>
          <w:tcPr>
            <w:tcW w:w="189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Severe gastrointestinal events</w:t>
            </w:r>
          </w:p>
        </w:tc>
        <w:tc>
          <w:tcPr>
            <w:tcW w:w="22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Long-term use of naltrexone/bupropion may result in little to no difference in severe gastrointestinal events</w:t>
            </w:r>
          </w:p>
        </w:tc>
        <w:tc>
          <w:tcPr>
            <w:tcW w:w="141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8</w:t>
            </w:r>
          </w:p>
          <w:p w:rsidR="009C6A81" w:rsidRDefault="00ED5651">
            <w:pPr>
              <w:jc w:val="center"/>
              <w:rPr>
                <w:sz w:val="16"/>
                <w:szCs w:val="16"/>
              </w:rPr>
            </w:pPr>
            <w:r>
              <w:rPr>
                <w:sz w:val="16"/>
                <w:szCs w:val="16"/>
              </w:rPr>
              <w:t>per 1000</w:t>
            </w:r>
          </w:p>
        </w:tc>
        <w:tc>
          <w:tcPr>
            <w:tcW w:w="141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8</w:t>
            </w:r>
          </w:p>
          <w:p w:rsidR="009C6A81" w:rsidRDefault="00ED5651">
            <w:pPr>
              <w:jc w:val="center"/>
              <w:rPr>
                <w:sz w:val="16"/>
                <w:szCs w:val="16"/>
              </w:rPr>
            </w:pPr>
            <w:r>
              <w:rPr>
                <w:sz w:val="16"/>
                <w:szCs w:val="16"/>
              </w:rPr>
              <w:t>per 1000</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0,76</w:t>
            </w:r>
          </w:p>
          <w:p w:rsidR="009C6A81" w:rsidRDefault="00ED5651">
            <w:pPr>
              <w:jc w:val="center"/>
              <w:rPr>
                <w:sz w:val="10"/>
                <w:szCs w:val="10"/>
              </w:rPr>
            </w:pPr>
            <w:r>
              <w:rPr>
                <w:sz w:val="10"/>
                <w:szCs w:val="10"/>
              </w:rPr>
              <w:t>(0,02 to 52,69)</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2 studies (data from 1406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d</w:t>
            </w:r>
          </w:p>
        </w:tc>
      </w:tr>
      <w:tr w:rsidR="009C6A81">
        <w:trPr>
          <w:trHeight w:val="645"/>
        </w:trPr>
        <w:tc>
          <w:tcPr>
            <w:tcW w:w="189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2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2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0 patients less per 1000</w:t>
            </w:r>
          </w:p>
          <w:p w:rsidR="009C6A81" w:rsidRDefault="00ED5651">
            <w:pPr>
              <w:jc w:val="center"/>
              <w:rPr>
                <w:sz w:val="10"/>
                <w:szCs w:val="10"/>
              </w:rPr>
            </w:pPr>
            <w:r>
              <w:rPr>
                <w:sz w:val="10"/>
                <w:szCs w:val="10"/>
              </w:rPr>
              <w:t>(95% CI: 8 less a 414 more patients)</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189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Depressive symptoms</w:t>
            </w:r>
          </w:p>
        </w:tc>
        <w:tc>
          <w:tcPr>
            <w:tcW w:w="22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Long-term use of naltrexone/bupropion may result in little to no difference in depression symptoms</w:t>
            </w:r>
          </w:p>
        </w:tc>
        <w:tc>
          <w:tcPr>
            <w:tcW w:w="141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7.7</w:t>
            </w:r>
          </w:p>
          <w:p w:rsidR="009C6A81" w:rsidRDefault="00ED5651">
            <w:pPr>
              <w:jc w:val="center"/>
              <w:rPr>
                <w:sz w:val="16"/>
                <w:szCs w:val="16"/>
              </w:rPr>
            </w:pPr>
            <w:r>
              <w:rPr>
                <w:sz w:val="16"/>
                <w:szCs w:val="16"/>
              </w:rPr>
              <w:t>points</w:t>
            </w:r>
          </w:p>
        </w:tc>
        <w:tc>
          <w:tcPr>
            <w:tcW w:w="141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6.6</w:t>
            </w:r>
          </w:p>
          <w:p w:rsidR="009C6A81" w:rsidRDefault="00ED5651">
            <w:pPr>
              <w:jc w:val="center"/>
              <w:rPr>
                <w:sz w:val="16"/>
                <w:szCs w:val="16"/>
              </w:rPr>
            </w:pPr>
            <w:r>
              <w:rPr>
                <w:sz w:val="16"/>
                <w:szCs w:val="16"/>
              </w:rPr>
              <w:t>points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2 studies (data from 1669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e</w:t>
            </w:r>
          </w:p>
        </w:tc>
      </w:tr>
      <w:tr w:rsidR="009C6A81">
        <w:trPr>
          <w:trHeight w:val="1035"/>
        </w:trPr>
        <w:tc>
          <w:tcPr>
            <w:tcW w:w="1890"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20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20" w:type="dxa"/>
            <w:gridSpan w:val="2"/>
            <w:tcBorders>
              <w:top w:val="nil"/>
              <w:left w:val="nil"/>
              <w:bottom w:val="single" w:sz="8"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1.1 points less from 0 to 84</w:t>
            </w:r>
          </w:p>
          <w:p w:rsidR="009C6A81" w:rsidRDefault="00ED5651">
            <w:pPr>
              <w:jc w:val="center"/>
              <w:rPr>
                <w:sz w:val="10"/>
                <w:szCs w:val="10"/>
              </w:rPr>
            </w:pPr>
            <w:r>
              <w:rPr>
                <w:sz w:val="10"/>
                <w:szCs w:val="10"/>
              </w:rPr>
              <w:t>(IC 95 % 0.3 less to 3.1 more)</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SMD 0.19</w:t>
            </w:r>
          </w:p>
          <w:p w:rsidR="009C6A81" w:rsidRDefault="00ED5651">
            <w:pPr>
              <w:jc w:val="center"/>
              <w:rPr>
                <w:sz w:val="16"/>
                <w:szCs w:val="16"/>
              </w:rPr>
            </w:pPr>
            <w:r>
              <w:rPr>
                <w:sz w:val="16"/>
                <w:szCs w:val="16"/>
              </w:rPr>
              <w:t>(-0.06 to 0.45)</w:t>
            </w:r>
          </w:p>
        </w:tc>
        <w:tc>
          <w:tcPr>
            <w:tcW w:w="96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8849"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RR: Relative risk; OR: odds ratio; MD: mean difference; SMD: standardized mean difference; 95% CI: 95% confidence interval.</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one level due to heterogeneity.</w:t>
            </w:r>
          </w:p>
          <w:p w:rsidR="009C6A81" w:rsidRDefault="00ED5651">
            <w:pPr>
              <w:spacing w:before="120"/>
              <w:rPr>
                <w:sz w:val="16"/>
                <w:szCs w:val="16"/>
              </w:rPr>
            </w:pPr>
            <w:r>
              <w:rPr>
                <w:sz w:val="16"/>
                <w:szCs w:val="16"/>
              </w:rPr>
              <w:t>b. It was downgraded one level due to serious inconsistency.</w:t>
            </w:r>
          </w:p>
          <w:p w:rsidR="009C6A81" w:rsidRDefault="00ED5651">
            <w:pPr>
              <w:spacing w:before="120"/>
              <w:rPr>
                <w:sz w:val="16"/>
                <w:szCs w:val="16"/>
              </w:rPr>
            </w:pPr>
            <w:r>
              <w:rPr>
                <w:sz w:val="16"/>
                <w:szCs w:val="16"/>
              </w:rPr>
              <w:t>c. It</w:t>
            </w:r>
            <w:r>
              <w:rPr>
                <w:sz w:val="16"/>
                <w:szCs w:val="16"/>
              </w:rPr>
              <w:t xml:space="preserve"> was downgraded due to imprecision.</w:t>
            </w:r>
          </w:p>
          <w:p w:rsidR="009C6A81" w:rsidRDefault="00ED5651">
            <w:pPr>
              <w:spacing w:before="120"/>
              <w:rPr>
                <w:sz w:val="16"/>
                <w:szCs w:val="16"/>
              </w:rPr>
            </w:pPr>
            <w:r>
              <w:rPr>
                <w:sz w:val="16"/>
                <w:szCs w:val="16"/>
              </w:rPr>
              <w:t>d. It was downgraded due to very serious imprecision.</w:t>
            </w:r>
          </w:p>
          <w:p w:rsidR="009C6A81" w:rsidRDefault="00ED5651">
            <w:pPr>
              <w:spacing w:before="120"/>
              <w:rPr>
                <w:b/>
                <w:sz w:val="16"/>
                <w:szCs w:val="16"/>
              </w:rPr>
            </w:pPr>
            <w:r>
              <w:rPr>
                <w:sz w:val="16"/>
                <w:szCs w:val="16"/>
              </w:rPr>
              <w:t>e. It was downgraded two levels due to imprecision and inconsistency.</w:t>
            </w:r>
          </w:p>
        </w:tc>
      </w:tr>
    </w:tbl>
    <w:p w:rsidR="009C6A81" w:rsidRDefault="00ED5651">
      <w:pPr>
        <w:rPr>
          <w:sz w:val="20"/>
          <w:szCs w:val="20"/>
        </w:rPr>
      </w:pPr>
      <w:r>
        <w:rPr>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31" w:anchor="/finding/6647b4a9e3089d04aed6d8b8">
        <w:r>
          <w:rPr>
            <w:color w:val="1155CC"/>
            <w:u w:val="single"/>
          </w:rPr>
          <w:t>iSoF platform</w:t>
        </w:r>
      </w:hyperlink>
      <w:r>
        <w:t>.</w:t>
      </w:r>
    </w:p>
    <w:p w:rsidR="009C6A81" w:rsidRDefault="009C6A81">
      <w:pPr>
        <w:ind w:left="-990"/>
      </w:pPr>
    </w:p>
    <w:p w:rsidR="009C6A81" w:rsidRDefault="00ED5651">
      <w:pPr>
        <w:ind w:left="-990"/>
      </w:pPr>
      <w:r>
        <w:t xml:space="preserve">Table. Summary of findings for the effects of long-term use of naltrexone/bupropion. </w:t>
      </w:r>
    </w:p>
    <w:p w:rsidR="009C6A81" w:rsidRDefault="009C6A81">
      <w:pPr>
        <w:ind w:left="-990"/>
      </w:pPr>
    </w:p>
    <w:p w:rsidR="009C6A81" w:rsidRDefault="00ED5651">
      <w:pPr>
        <w:jc w:val="left"/>
      </w:pPr>
      <w:r>
        <w:rPr>
          <w:color w:val="1E2138"/>
          <w:u w:val="single"/>
        </w:rPr>
        <w:t>High cardiovascular risk subgroup.</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8"/>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6"/>
        <w:gridCol w:w="2356"/>
        <w:gridCol w:w="1357"/>
        <w:gridCol w:w="1357"/>
        <w:gridCol w:w="967"/>
        <w:gridCol w:w="967"/>
      </w:tblGrid>
      <w:tr w:rsidR="009C6A81">
        <w:trPr>
          <w:trHeight w:val="435"/>
        </w:trPr>
        <w:tc>
          <w:tcPr>
            <w:tcW w:w="1845" w:type="dxa"/>
            <w:vMerge w:val="restart"/>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355"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714" w:type="dxa"/>
            <w:gridSpan w:val="2"/>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6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67" w:type="dxa"/>
            <w:vMerge w:val="restart"/>
            <w:tcBorders>
              <w:top w:val="single" w:sz="6" w:space="0" w:color="000000"/>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615"/>
        </w:trPr>
        <w:tc>
          <w:tcPr>
            <w:tcW w:w="1845" w:type="dxa"/>
            <w:vMerge/>
            <w:tcBorders>
              <w:top w:val="single" w:sz="6" w:space="0" w:color="000000"/>
              <w:left w:val="single" w:sz="6" w:space="0" w:color="000000"/>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2355"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1357"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lifestyle interventions/placebo</w:t>
            </w:r>
          </w:p>
        </w:tc>
        <w:tc>
          <w:tcPr>
            <w:tcW w:w="1357" w:type="dxa"/>
            <w:tcBorders>
              <w:top w:val="nil"/>
              <w:left w:val="nil"/>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long-term use of naltrexone/bupropion</w:t>
            </w:r>
          </w:p>
        </w:tc>
        <w:tc>
          <w:tcPr>
            <w:tcW w:w="96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c>
          <w:tcPr>
            <w:tcW w:w="967" w:type="dxa"/>
            <w:vMerge/>
            <w:tcBorders>
              <w:top w:val="single" w:sz="6" w:space="0" w:color="000000"/>
              <w:left w:val="nil"/>
              <w:bottom w:val="single" w:sz="6" w:space="0" w:color="000000"/>
              <w:right w:val="single" w:sz="6" w:space="0" w:color="000000"/>
            </w:tcBorders>
            <w:shd w:val="clear" w:color="auto" w:fill="1E2138"/>
            <w:tcMar>
              <w:top w:w="100" w:type="dxa"/>
              <w:left w:w="100" w:type="dxa"/>
              <w:bottom w:w="100" w:type="dxa"/>
              <w:right w:w="100" w:type="dxa"/>
            </w:tcMar>
          </w:tcPr>
          <w:p w:rsidR="009C6A81" w:rsidRDefault="009C6A81">
            <w:pPr>
              <w:ind w:left="-990"/>
            </w:pPr>
          </w:p>
        </w:tc>
      </w:tr>
      <w:tr w:rsidR="009C6A81">
        <w:trPr>
          <w:trHeight w:val="675"/>
        </w:trPr>
        <w:tc>
          <w:tcPr>
            <w:tcW w:w="18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Major adverse cardiovascular events</w:t>
            </w:r>
          </w:p>
        </w:tc>
        <w:tc>
          <w:tcPr>
            <w:tcW w:w="23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Long-term use of naltrexone/bupropion may result in little to no difference in major cardiovascular events incidence.</w:t>
            </w:r>
          </w:p>
        </w:tc>
        <w:tc>
          <w:tcPr>
            <w:tcW w:w="135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28</w:t>
            </w:r>
          </w:p>
          <w:p w:rsidR="009C6A81" w:rsidRDefault="00ED5651">
            <w:pPr>
              <w:jc w:val="center"/>
              <w:rPr>
                <w:sz w:val="16"/>
                <w:szCs w:val="16"/>
              </w:rPr>
            </w:pPr>
            <w:r>
              <w:rPr>
                <w:sz w:val="16"/>
                <w:szCs w:val="16"/>
              </w:rPr>
              <w:t>per 1000</w:t>
            </w:r>
          </w:p>
        </w:tc>
        <w:tc>
          <w:tcPr>
            <w:tcW w:w="135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27</w:t>
            </w:r>
          </w:p>
          <w:p w:rsidR="009C6A81" w:rsidRDefault="00ED5651">
            <w:pPr>
              <w:jc w:val="center"/>
              <w:rPr>
                <w:sz w:val="16"/>
                <w:szCs w:val="16"/>
              </w:rPr>
            </w:pPr>
            <w:r>
              <w:rPr>
                <w:sz w:val="16"/>
                <w:szCs w:val="16"/>
              </w:rPr>
              <w:t>per 1000</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HR 0,95</w:t>
            </w:r>
          </w:p>
          <w:p w:rsidR="009C6A81" w:rsidRDefault="00ED5651">
            <w:pPr>
              <w:jc w:val="center"/>
              <w:rPr>
                <w:sz w:val="10"/>
                <w:szCs w:val="10"/>
              </w:rPr>
            </w:pPr>
            <w:r>
              <w:rPr>
                <w:sz w:val="10"/>
                <w:szCs w:val="10"/>
              </w:rPr>
              <w:t>(0,65 to 1,38)</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 study (data from 8905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600"/>
        </w:trPr>
        <w:tc>
          <w:tcPr>
            <w:tcW w:w="184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35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71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 patient less per 1000</w:t>
            </w:r>
          </w:p>
          <w:p w:rsidR="009C6A81" w:rsidRDefault="00ED5651">
            <w:pPr>
              <w:jc w:val="center"/>
              <w:rPr>
                <w:sz w:val="10"/>
                <w:szCs w:val="10"/>
              </w:rPr>
            </w:pPr>
            <w:r>
              <w:rPr>
                <w:sz w:val="10"/>
                <w:szCs w:val="10"/>
              </w:rPr>
              <w:t>(95% CI: 10 less a 7 more patients)</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75"/>
        </w:trPr>
        <w:tc>
          <w:tcPr>
            <w:tcW w:w="18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Cardiovascular death</w:t>
            </w:r>
          </w:p>
        </w:tc>
        <w:tc>
          <w:tcPr>
            <w:tcW w:w="23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Long-term use of naltrexone/bupropion may result in little to no difference in cardiovascular death incidence.</w:t>
            </w:r>
          </w:p>
        </w:tc>
        <w:tc>
          <w:tcPr>
            <w:tcW w:w="135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9</w:t>
            </w:r>
          </w:p>
          <w:p w:rsidR="009C6A81" w:rsidRDefault="00ED5651">
            <w:pPr>
              <w:jc w:val="center"/>
              <w:rPr>
                <w:sz w:val="16"/>
                <w:szCs w:val="16"/>
              </w:rPr>
            </w:pPr>
            <w:r>
              <w:rPr>
                <w:sz w:val="16"/>
                <w:szCs w:val="16"/>
              </w:rPr>
              <w:t>per 1000</w:t>
            </w:r>
          </w:p>
        </w:tc>
        <w:tc>
          <w:tcPr>
            <w:tcW w:w="135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5</w:t>
            </w:r>
          </w:p>
          <w:p w:rsidR="009C6A81" w:rsidRDefault="00ED5651">
            <w:pPr>
              <w:jc w:val="center"/>
              <w:rPr>
                <w:sz w:val="16"/>
                <w:szCs w:val="16"/>
              </w:rPr>
            </w:pPr>
            <w:r>
              <w:rPr>
                <w:sz w:val="16"/>
                <w:szCs w:val="16"/>
              </w:rPr>
              <w:t>per 1000</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HR 0,61</w:t>
            </w:r>
          </w:p>
          <w:p w:rsidR="009C6A81" w:rsidRDefault="00ED5651">
            <w:pPr>
              <w:jc w:val="center"/>
              <w:rPr>
                <w:sz w:val="10"/>
                <w:szCs w:val="10"/>
              </w:rPr>
            </w:pPr>
            <w:r>
              <w:rPr>
                <w:sz w:val="10"/>
                <w:szCs w:val="10"/>
              </w:rPr>
              <w:t>(0,3 to 1,27)</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 study (data from 8905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600"/>
        </w:trPr>
        <w:tc>
          <w:tcPr>
            <w:tcW w:w="184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35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71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4 patients less per 1000</w:t>
            </w:r>
          </w:p>
          <w:p w:rsidR="009C6A81" w:rsidRDefault="00ED5651">
            <w:pPr>
              <w:jc w:val="center"/>
              <w:rPr>
                <w:sz w:val="10"/>
                <w:szCs w:val="10"/>
              </w:rPr>
            </w:pPr>
            <w:r>
              <w:rPr>
                <w:sz w:val="10"/>
                <w:szCs w:val="10"/>
              </w:rPr>
              <w:t>(95% CI: 6 less a 2 more patients)</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75"/>
        </w:trPr>
        <w:tc>
          <w:tcPr>
            <w:tcW w:w="18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Non-fatal stroke</w:t>
            </w:r>
          </w:p>
        </w:tc>
        <w:tc>
          <w:tcPr>
            <w:tcW w:w="23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Long-term use of naltrexone/bupropion may result in little to no difference in non-fatal stroke incidence.</w:t>
            </w:r>
          </w:p>
        </w:tc>
        <w:tc>
          <w:tcPr>
            <w:tcW w:w="135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5</w:t>
            </w:r>
          </w:p>
          <w:p w:rsidR="009C6A81" w:rsidRDefault="00ED5651">
            <w:pPr>
              <w:jc w:val="center"/>
              <w:rPr>
                <w:sz w:val="16"/>
                <w:szCs w:val="16"/>
              </w:rPr>
            </w:pPr>
            <w:r>
              <w:rPr>
                <w:sz w:val="16"/>
                <w:szCs w:val="16"/>
              </w:rPr>
              <w:t>per 1000</w:t>
            </w:r>
          </w:p>
        </w:tc>
        <w:tc>
          <w:tcPr>
            <w:tcW w:w="135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7</w:t>
            </w:r>
          </w:p>
          <w:p w:rsidR="009C6A81" w:rsidRDefault="00ED5651">
            <w:pPr>
              <w:jc w:val="center"/>
              <w:rPr>
                <w:sz w:val="16"/>
                <w:szCs w:val="16"/>
              </w:rPr>
            </w:pPr>
            <w:r>
              <w:rPr>
                <w:sz w:val="16"/>
                <w:szCs w:val="16"/>
              </w:rPr>
              <w:t>per 1000</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HR 1,32</w:t>
            </w:r>
          </w:p>
          <w:p w:rsidR="009C6A81" w:rsidRDefault="00ED5651">
            <w:pPr>
              <w:jc w:val="center"/>
              <w:rPr>
                <w:sz w:val="10"/>
                <w:szCs w:val="10"/>
              </w:rPr>
            </w:pPr>
            <w:r>
              <w:rPr>
                <w:sz w:val="10"/>
                <w:szCs w:val="10"/>
              </w:rPr>
              <w:t>(0,57 to 3,08)</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 study (data from 8905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600"/>
        </w:trPr>
        <w:tc>
          <w:tcPr>
            <w:tcW w:w="184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35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71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2 patients more per 1000</w:t>
            </w:r>
          </w:p>
          <w:p w:rsidR="009C6A81" w:rsidRDefault="00ED5651">
            <w:pPr>
              <w:jc w:val="center"/>
              <w:rPr>
                <w:sz w:val="10"/>
                <w:szCs w:val="10"/>
              </w:rPr>
            </w:pPr>
            <w:r>
              <w:rPr>
                <w:sz w:val="10"/>
                <w:szCs w:val="10"/>
              </w:rPr>
              <w:t>(95% CI: 1 less a 10 more patients)</w:t>
            </w: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75"/>
        </w:trPr>
        <w:tc>
          <w:tcPr>
            <w:tcW w:w="184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Non-fatal myocardial infarction</w:t>
            </w:r>
          </w:p>
        </w:tc>
        <w:tc>
          <w:tcPr>
            <w:tcW w:w="235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Long-term use of naltrexone/bupropion may result in little to no difference in non-fatal myocardial infarction.</w:t>
            </w:r>
          </w:p>
        </w:tc>
        <w:tc>
          <w:tcPr>
            <w:tcW w:w="135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15</w:t>
            </w:r>
          </w:p>
          <w:p w:rsidR="009C6A81" w:rsidRDefault="00ED5651">
            <w:pPr>
              <w:jc w:val="center"/>
              <w:rPr>
                <w:sz w:val="16"/>
                <w:szCs w:val="16"/>
              </w:rPr>
            </w:pPr>
            <w:r>
              <w:rPr>
                <w:sz w:val="16"/>
                <w:szCs w:val="16"/>
              </w:rPr>
              <w:t>per 1000</w:t>
            </w:r>
          </w:p>
        </w:tc>
        <w:tc>
          <w:tcPr>
            <w:tcW w:w="135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15</w:t>
            </w:r>
          </w:p>
          <w:p w:rsidR="009C6A81" w:rsidRDefault="00ED5651">
            <w:pPr>
              <w:jc w:val="center"/>
              <w:rPr>
                <w:sz w:val="16"/>
                <w:szCs w:val="16"/>
              </w:rPr>
            </w:pPr>
            <w:r>
              <w:rPr>
                <w:sz w:val="16"/>
                <w:szCs w:val="16"/>
              </w:rPr>
              <w:t>per 1000</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HR 1,01</w:t>
            </w:r>
          </w:p>
          <w:p w:rsidR="009C6A81" w:rsidRDefault="00ED5651">
            <w:pPr>
              <w:jc w:val="center"/>
              <w:rPr>
                <w:sz w:val="10"/>
                <w:szCs w:val="10"/>
              </w:rPr>
            </w:pPr>
            <w:r>
              <w:rPr>
                <w:sz w:val="10"/>
                <w:szCs w:val="10"/>
              </w:rPr>
              <w:t>(0,61 to 1,66)</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 study (data from 8905 patients)</w:t>
            </w:r>
          </w:p>
        </w:tc>
        <w:tc>
          <w:tcPr>
            <w:tcW w:w="96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600"/>
        </w:trPr>
        <w:tc>
          <w:tcPr>
            <w:tcW w:w="1845"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35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714" w:type="dxa"/>
            <w:gridSpan w:val="2"/>
            <w:tcBorders>
              <w:top w:val="nil"/>
              <w:left w:val="nil"/>
              <w:bottom w:val="single" w:sz="8"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0 patients less per 1000</w:t>
            </w:r>
          </w:p>
          <w:p w:rsidR="009C6A81" w:rsidRDefault="00ED5651">
            <w:pPr>
              <w:jc w:val="center"/>
              <w:rPr>
                <w:sz w:val="10"/>
                <w:szCs w:val="10"/>
              </w:rPr>
            </w:pPr>
            <w:r>
              <w:rPr>
                <w:sz w:val="10"/>
                <w:szCs w:val="10"/>
              </w:rPr>
              <w:t>(95% CI: 6 less a 10 more patients)</w:t>
            </w:r>
          </w:p>
        </w:tc>
        <w:tc>
          <w:tcPr>
            <w:tcW w:w="96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6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256"/>
        </w:trPr>
        <w:tc>
          <w:tcPr>
            <w:tcW w:w="8848"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HR: Hazard ratio; 95% CI: 95% confidence interval.</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b/>
                <w:sz w:val="16"/>
                <w:szCs w:val="16"/>
              </w:rPr>
            </w:pPr>
            <w:r>
              <w:rPr>
                <w:sz w:val="16"/>
                <w:szCs w:val="16"/>
              </w:rPr>
              <w:t>a. It was downgraded one level due to serious risk of bias and imprecision.</w:t>
            </w:r>
          </w:p>
        </w:tc>
      </w:tr>
    </w:tbl>
    <w:p w:rsidR="009C6A81" w:rsidRDefault="00ED5651">
      <w:pPr>
        <w:rPr>
          <w:sz w:val="20"/>
          <w:szCs w:val="20"/>
        </w:rPr>
      </w:pPr>
      <w:r>
        <w:rPr>
          <w:sz w:val="20"/>
          <w:szCs w:val="20"/>
        </w:rPr>
        <w:t xml:space="preserve"> </w:t>
      </w:r>
    </w:p>
    <w:p w:rsidR="009C6A81" w:rsidRDefault="009C6A81">
      <w:pPr>
        <w:ind w:left="-990"/>
      </w:pPr>
    </w:p>
    <w:p w:rsidR="009C6A81" w:rsidRDefault="009C6A81">
      <w:pPr>
        <w:ind w:left="-990"/>
      </w:pPr>
    </w:p>
    <w:p w:rsidR="009C6A81" w:rsidRDefault="00ED5651">
      <w:pPr>
        <w:ind w:left="-990"/>
      </w:pPr>
      <w:r>
        <w:t xml:space="preserve">An interactive version of this Summary of Findings table is available at the </w:t>
      </w:r>
      <w:hyperlink r:id="rId32" w:anchor="/finding/668717b9e3089d04b934e5c1">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the long-term use of naltrexone/bupropion.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tbl>
      <w:tblPr>
        <w:tblStyle w:val="afff9"/>
        <w:tblW w:w="885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7"/>
        <w:gridCol w:w="1000"/>
        <w:gridCol w:w="1001"/>
        <w:gridCol w:w="1001"/>
        <w:gridCol w:w="1001"/>
        <w:gridCol w:w="1001"/>
        <w:gridCol w:w="1001"/>
        <w:gridCol w:w="1001"/>
      </w:tblGrid>
      <w:tr w:rsidR="009C6A81">
        <w:trPr>
          <w:trHeight w:val="525"/>
        </w:trPr>
        <w:tc>
          <w:tcPr>
            <w:tcW w:w="1847"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0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00"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Low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Large costs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costs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reduced</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847"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yes</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100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100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pPr>
      <w:bookmarkStart w:id="52" w:name="_ufjchxmnlsoq" w:colFirst="0" w:colLast="0"/>
      <w:bookmarkEnd w:id="52"/>
      <w:r>
        <w:t xml:space="preserve">Question 18. </w:t>
      </w:r>
      <w:r>
        <w:t>In adults aged 18 years or older with obesity (BMI &gt;30), should pharmacotherapy for obesity be phenotyped compared to conventional prescription?</w:t>
      </w:r>
    </w:p>
    <w:p w:rsidR="009C6A81" w:rsidRDefault="009C6A81">
      <w:pPr>
        <w:ind w:left="-990"/>
      </w:pPr>
    </w:p>
    <w:p w:rsidR="009C6A81" w:rsidRDefault="00ED5651">
      <w:pPr>
        <w:ind w:left="-990"/>
      </w:pPr>
      <w:r>
        <w:t xml:space="preserve">Table. Summary of EtD judgments for the use of phenotyped pharmacotherapy.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tbl>
      <w:tblPr>
        <w:tblStyle w:val="afffa"/>
        <w:tblW w:w="88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14"/>
        <w:gridCol w:w="990"/>
        <w:gridCol w:w="990"/>
        <w:gridCol w:w="990"/>
        <w:gridCol w:w="990"/>
        <w:gridCol w:w="990"/>
        <w:gridCol w:w="990"/>
        <w:gridCol w:w="990"/>
      </w:tblGrid>
      <w:tr w:rsidR="009C6A81">
        <w:trPr>
          <w:trHeight w:val="525"/>
        </w:trPr>
        <w:tc>
          <w:tcPr>
            <w:tcW w:w="1914" w:type="dxa"/>
            <w:tcBorders>
              <w:top w:val="single" w:sz="6" w:space="0" w:color="000000"/>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9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9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w:t>
            </w:r>
            <w:r>
              <w:rPr>
                <w:color w:val="BBBBBB"/>
                <w:sz w:val="12"/>
                <w:szCs w:val="12"/>
              </w:rPr>
              <w:t>obably yes</w:t>
            </w:r>
          </w:p>
        </w:tc>
        <w:tc>
          <w:tcPr>
            <w:tcW w:w="99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90"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90"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Moderate costs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Varies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reduced</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increased</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1914" w:type="dxa"/>
            <w:tcBorders>
              <w:top w:val="nil"/>
              <w:left w:val="single" w:sz="6" w:space="0" w:color="000000"/>
              <w:bottom w:val="single" w:sz="6" w:space="0" w:color="000000"/>
              <w:right w:val="single" w:sz="6" w:space="0" w:color="000000"/>
            </w:tcBorders>
            <w:shd w:val="clear" w:color="auto" w:fill="1E2138"/>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90"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90"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ind w:left="-990"/>
      </w:pPr>
    </w:p>
    <w:p w:rsidR="009C6A81" w:rsidRDefault="00ED5651">
      <w:pPr>
        <w:pStyle w:val="Ttulo6"/>
        <w:ind w:hanging="990"/>
        <w:rPr>
          <w:highlight w:val="yellow"/>
        </w:rPr>
      </w:pPr>
      <w:bookmarkStart w:id="53" w:name="_z2xokyqurfl8" w:colFirst="0" w:colLast="0"/>
      <w:bookmarkEnd w:id="53"/>
      <w:r>
        <w:t>Question 19.</w:t>
      </w:r>
      <w:r>
        <w:t xml:space="preserve"> In adults aged 18 and over with overweight or obesity, should combined drug therapy for obesity be used compared to monotherapy for obesity drugs?</w:t>
      </w:r>
    </w:p>
    <w:p w:rsidR="009C6A81" w:rsidRDefault="009C6A81"/>
    <w:p w:rsidR="009C6A81" w:rsidRDefault="00ED5651">
      <w:pPr>
        <w:ind w:left="-990"/>
      </w:pPr>
      <w:r>
        <w:t>Table. Summary of findings for the effects of combined drug therapy.</w:t>
      </w:r>
    </w:p>
    <w:p w:rsidR="009C6A81" w:rsidRDefault="009C6A81">
      <w:pPr>
        <w:ind w:left="-990"/>
      </w:pP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b"/>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1"/>
        <w:gridCol w:w="1906"/>
        <w:gridCol w:w="1477"/>
        <w:gridCol w:w="1477"/>
        <w:gridCol w:w="937"/>
        <w:gridCol w:w="937"/>
      </w:tblGrid>
      <w:tr w:rsidR="009C6A81">
        <w:trPr>
          <w:trHeight w:val="435"/>
        </w:trPr>
        <w:tc>
          <w:tcPr>
            <w:tcW w:w="2100" w:type="dxa"/>
            <w:vMerge w:val="restart"/>
            <w:tcBorders>
              <w:top w:val="single" w:sz="6" w:space="0" w:color="000000"/>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1905" w:type="dxa"/>
            <w:vMerge w:val="restart"/>
            <w:tcBorders>
              <w:top w:val="single" w:sz="6" w:space="0" w:color="000000"/>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954" w:type="dxa"/>
            <w:gridSpan w:val="2"/>
            <w:tcBorders>
              <w:top w:val="single" w:sz="6" w:space="0" w:color="000000"/>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37" w:type="dxa"/>
            <w:vMerge w:val="restart"/>
            <w:tcBorders>
              <w:top w:val="single" w:sz="6" w:space="0" w:color="000000"/>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37" w:type="dxa"/>
            <w:vMerge w:val="restart"/>
            <w:tcBorders>
              <w:top w:val="single" w:sz="6" w:space="0" w:color="000000"/>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675"/>
        </w:trPr>
        <w:tc>
          <w:tcPr>
            <w:tcW w:w="2100" w:type="dxa"/>
            <w:vMerge/>
            <w:tcBorders>
              <w:top w:val="single" w:sz="6" w:space="0" w:color="000000"/>
              <w:left w:val="single" w:sz="6" w:space="0" w:color="000000"/>
              <w:bottom w:val="single" w:sz="6" w:space="0" w:color="000000"/>
              <w:right w:val="single" w:sz="6" w:space="0" w:color="000000"/>
            </w:tcBorders>
            <w:shd w:val="clear" w:color="auto" w:fill="1F2136"/>
            <w:tcMar>
              <w:top w:w="100" w:type="dxa"/>
              <w:left w:w="100" w:type="dxa"/>
              <w:bottom w:w="100" w:type="dxa"/>
              <w:right w:w="100" w:type="dxa"/>
            </w:tcMar>
          </w:tcPr>
          <w:p w:rsidR="009C6A81" w:rsidRDefault="009C6A81">
            <w:pPr>
              <w:ind w:left="-990"/>
            </w:pPr>
          </w:p>
        </w:tc>
        <w:tc>
          <w:tcPr>
            <w:tcW w:w="1905" w:type="dxa"/>
            <w:vMerge/>
            <w:tcBorders>
              <w:top w:val="single" w:sz="6" w:space="0" w:color="000000"/>
              <w:left w:val="nil"/>
              <w:bottom w:val="single" w:sz="6" w:space="0" w:color="000000"/>
              <w:right w:val="single" w:sz="6" w:space="0" w:color="000000"/>
            </w:tcBorders>
            <w:shd w:val="clear" w:color="auto" w:fill="1F2136"/>
            <w:tcMar>
              <w:top w:w="100" w:type="dxa"/>
              <w:left w:w="100" w:type="dxa"/>
              <w:bottom w:w="100" w:type="dxa"/>
              <w:right w:w="100" w:type="dxa"/>
            </w:tcMar>
          </w:tcPr>
          <w:p w:rsidR="009C6A81" w:rsidRDefault="009C6A81">
            <w:pPr>
              <w:ind w:left="-990"/>
            </w:pPr>
          </w:p>
        </w:tc>
        <w:tc>
          <w:tcPr>
            <w:tcW w:w="1477" w:type="dxa"/>
            <w:tcBorders>
              <w:top w:val="nil"/>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monotherapy</w:t>
            </w:r>
          </w:p>
        </w:tc>
        <w:tc>
          <w:tcPr>
            <w:tcW w:w="1477" w:type="dxa"/>
            <w:tcBorders>
              <w:top w:val="nil"/>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With Combined therapy</w:t>
            </w:r>
          </w:p>
        </w:tc>
        <w:tc>
          <w:tcPr>
            <w:tcW w:w="937" w:type="dxa"/>
            <w:vMerge/>
            <w:tcBorders>
              <w:top w:val="single" w:sz="6" w:space="0" w:color="000000"/>
              <w:left w:val="nil"/>
              <w:bottom w:val="single" w:sz="6" w:space="0" w:color="000000"/>
              <w:right w:val="single" w:sz="6" w:space="0" w:color="000000"/>
            </w:tcBorders>
            <w:shd w:val="clear" w:color="auto" w:fill="1F2136"/>
            <w:tcMar>
              <w:top w:w="100" w:type="dxa"/>
              <w:left w:w="100" w:type="dxa"/>
              <w:bottom w:w="100" w:type="dxa"/>
              <w:right w:w="100" w:type="dxa"/>
            </w:tcMar>
          </w:tcPr>
          <w:p w:rsidR="009C6A81" w:rsidRDefault="009C6A81">
            <w:pPr>
              <w:ind w:left="-990"/>
            </w:pPr>
          </w:p>
        </w:tc>
        <w:tc>
          <w:tcPr>
            <w:tcW w:w="937" w:type="dxa"/>
            <w:vMerge/>
            <w:tcBorders>
              <w:top w:val="single" w:sz="6" w:space="0" w:color="000000"/>
              <w:left w:val="nil"/>
              <w:bottom w:val="single" w:sz="6" w:space="0" w:color="000000"/>
              <w:right w:val="single" w:sz="6" w:space="0" w:color="000000"/>
            </w:tcBorders>
            <w:shd w:val="clear" w:color="auto" w:fill="1F2136"/>
            <w:tcMar>
              <w:top w:w="100" w:type="dxa"/>
              <w:left w:w="100" w:type="dxa"/>
              <w:bottom w:w="100" w:type="dxa"/>
              <w:right w:w="100" w:type="dxa"/>
            </w:tcMar>
          </w:tcPr>
          <w:p w:rsidR="009C6A81" w:rsidRDefault="009C6A81">
            <w:pPr>
              <w:ind w:left="-990"/>
            </w:pPr>
          </w:p>
        </w:tc>
      </w:tr>
      <w:tr w:rsidR="009C6A81">
        <w:trPr>
          <w:trHeight w:val="495"/>
        </w:trPr>
        <w:tc>
          <w:tcPr>
            <w:tcW w:w="21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from baseline (%)</w:t>
            </w:r>
          </w:p>
        </w:tc>
        <w:tc>
          <w:tcPr>
            <w:tcW w:w="19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Combined therapy may result in little to no difference in the percentage change of body weight.</w:t>
            </w:r>
          </w:p>
        </w:tc>
        <w:tc>
          <w:tcPr>
            <w:tcW w:w="147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100</w:t>
            </w:r>
          </w:p>
          <w:p w:rsidR="009C6A81" w:rsidRDefault="00ED5651">
            <w:pPr>
              <w:jc w:val="center"/>
              <w:rPr>
                <w:sz w:val="16"/>
                <w:szCs w:val="16"/>
              </w:rPr>
            </w:pPr>
            <w:r>
              <w:rPr>
                <w:sz w:val="16"/>
                <w:szCs w:val="16"/>
              </w:rPr>
              <w:t>kg</w:t>
            </w:r>
          </w:p>
        </w:tc>
        <w:tc>
          <w:tcPr>
            <w:tcW w:w="147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97</w:t>
            </w:r>
          </w:p>
          <w:p w:rsidR="009C6A81" w:rsidRDefault="00ED5651">
            <w:pPr>
              <w:jc w:val="center"/>
              <w:rPr>
                <w:sz w:val="16"/>
                <w:szCs w:val="16"/>
              </w:rPr>
            </w:pPr>
            <w:r>
              <w:rPr>
                <w:sz w:val="16"/>
                <w:szCs w:val="16"/>
              </w:rPr>
              <w:t>kg</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2 studies (data from 280 patients)</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1035"/>
        </w:trPr>
        <w:tc>
          <w:tcPr>
            <w:tcW w:w="210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3 kg less</w:t>
            </w:r>
          </w:p>
          <w:p w:rsidR="009C6A81" w:rsidRDefault="00ED5651">
            <w:pPr>
              <w:jc w:val="center"/>
              <w:rPr>
                <w:sz w:val="10"/>
                <w:szCs w:val="10"/>
              </w:rPr>
            </w:pPr>
            <w:r>
              <w:rPr>
                <w:sz w:val="10"/>
                <w:szCs w:val="10"/>
              </w:rPr>
              <w:t>(IC 95 % 4 less to 2 less)</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-2.96</w:t>
            </w:r>
          </w:p>
          <w:p w:rsidR="009C6A81" w:rsidRDefault="00ED5651">
            <w:pPr>
              <w:jc w:val="center"/>
              <w:rPr>
                <w:sz w:val="16"/>
                <w:szCs w:val="16"/>
              </w:rPr>
            </w:pPr>
            <w:r>
              <w:rPr>
                <w:sz w:val="16"/>
                <w:szCs w:val="16"/>
              </w:rPr>
              <w:t>(-4 to -2)</w:t>
            </w: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21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from baseline</w:t>
            </w:r>
          </w:p>
        </w:tc>
        <w:tc>
          <w:tcPr>
            <w:tcW w:w="19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Combined therapy may result in little to no difference in body weight.</w:t>
            </w:r>
          </w:p>
        </w:tc>
        <w:tc>
          <w:tcPr>
            <w:tcW w:w="147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105.7</w:t>
            </w:r>
          </w:p>
          <w:p w:rsidR="009C6A81" w:rsidRDefault="00ED5651">
            <w:pPr>
              <w:jc w:val="center"/>
              <w:rPr>
                <w:sz w:val="16"/>
                <w:szCs w:val="16"/>
              </w:rPr>
            </w:pPr>
            <w:r>
              <w:rPr>
                <w:sz w:val="16"/>
                <w:szCs w:val="16"/>
              </w:rPr>
              <w:t>kg</w:t>
            </w:r>
          </w:p>
        </w:tc>
        <w:tc>
          <w:tcPr>
            <w:tcW w:w="147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103.1</w:t>
            </w:r>
          </w:p>
          <w:p w:rsidR="009C6A81" w:rsidRDefault="00ED5651">
            <w:pPr>
              <w:jc w:val="center"/>
              <w:rPr>
                <w:sz w:val="16"/>
                <w:szCs w:val="16"/>
              </w:rPr>
            </w:pPr>
            <w:r>
              <w:rPr>
                <w:sz w:val="16"/>
                <w:szCs w:val="16"/>
              </w:rPr>
              <w:t>kg</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5 studies (data from 472 patients)</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b</w:t>
            </w:r>
          </w:p>
        </w:tc>
      </w:tr>
      <w:tr w:rsidR="009C6A81">
        <w:trPr>
          <w:trHeight w:val="1035"/>
        </w:trPr>
        <w:tc>
          <w:tcPr>
            <w:tcW w:w="210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2.6 kg less</w:t>
            </w:r>
          </w:p>
          <w:p w:rsidR="009C6A81" w:rsidRDefault="00ED5651">
            <w:pPr>
              <w:jc w:val="center"/>
              <w:rPr>
                <w:sz w:val="10"/>
                <w:szCs w:val="10"/>
              </w:rPr>
            </w:pPr>
            <w:r>
              <w:rPr>
                <w:sz w:val="10"/>
                <w:szCs w:val="10"/>
              </w:rPr>
              <w:t>(IC 95 % 3 less to 2 less)</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-2.58</w:t>
            </w:r>
          </w:p>
          <w:p w:rsidR="009C6A81" w:rsidRDefault="00ED5651">
            <w:pPr>
              <w:jc w:val="center"/>
              <w:rPr>
                <w:sz w:val="16"/>
                <w:szCs w:val="16"/>
              </w:rPr>
            </w:pPr>
            <w:r>
              <w:rPr>
                <w:sz w:val="16"/>
                <w:szCs w:val="16"/>
              </w:rPr>
              <w:t>(-3 to -2)</w:t>
            </w: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21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Weight loss over 5%</w:t>
            </w:r>
          </w:p>
        </w:tc>
        <w:tc>
          <w:tcPr>
            <w:tcW w:w="19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Combined therapy may increase the number of people achieving a weight loss greater than 5% but the evidence is very uncertain.</w:t>
            </w:r>
          </w:p>
        </w:tc>
        <w:tc>
          <w:tcPr>
            <w:tcW w:w="1477"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494</w:t>
            </w:r>
          </w:p>
          <w:p w:rsidR="009C6A81" w:rsidRDefault="00ED5651">
            <w:pPr>
              <w:jc w:val="center"/>
              <w:rPr>
                <w:sz w:val="16"/>
                <w:szCs w:val="16"/>
              </w:rPr>
            </w:pPr>
            <w:r>
              <w:rPr>
                <w:sz w:val="16"/>
                <w:szCs w:val="16"/>
              </w:rPr>
              <w:t>per 1000</w:t>
            </w:r>
          </w:p>
        </w:tc>
        <w:tc>
          <w:tcPr>
            <w:tcW w:w="1477"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617</w:t>
            </w:r>
          </w:p>
          <w:p w:rsidR="009C6A81" w:rsidRDefault="00ED5651">
            <w:pPr>
              <w:jc w:val="center"/>
              <w:rPr>
                <w:sz w:val="16"/>
                <w:szCs w:val="16"/>
              </w:rPr>
            </w:pPr>
            <w:r>
              <w:rPr>
                <w:sz w:val="16"/>
                <w:szCs w:val="16"/>
              </w:rPr>
              <w:t>per 1000</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1,25</w:t>
            </w:r>
          </w:p>
          <w:p w:rsidR="009C6A81" w:rsidRDefault="00ED5651">
            <w:pPr>
              <w:jc w:val="center"/>
              <w:rPr>
                <w:sz w:val="10"/>
                <w:szCs w:val="10"/>
              </w:rPr>
            </w:pPr>
            <w:r>
              <w:rPr>
                <w:sz w:val="10"/>
                <w:szCs w:val="10"/>
              </w:rPr>
              <w:t>(0,98 to 1,59)</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2 studies (data from 126 patients)</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c</w:t>
            </w:r>
          </w:p>
        </w:tc>
      </w:tr>
      <w:tr w:rsidR="009C6A81">
        <w:trPr>
          <w:trHeight w:val="540"/>
        </w:trPr>
        <w:tc>
          <w:tcPr>
            <w:tcW w:w="210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123 patients more per 1000</w:t>
            </w:r>
          </w:p>
          <w:p w:rsidR="009C6A81" w:rsidRDefault="00ED5651">
            <w:pPr>
              <w:jc w:val="center"/>
              <w:rPr>
                <w:sz w:val="10"/>
                <w:szCs w:val="10"/>
              </w:rPr>
            </w:pPr>
            <w:r>
              <w:rPr>
                <w:sz w:val="10"/>
                <w:szCs w:val="10"/>
              </w:rPr>
              <w:t>(95% CI: 8 less a 290 more patients)</w:t>
            </w: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235"/>
        </w:trPr>
        <w:tc>
          <w:tcPr>
            <w:tcW w:w="21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Weight loss over 10%</w:t>
            </w:r>
          </w:p>
        </w:tc>
        <w:tc>
          <w:tcPr>
            <w:tcW w:w="19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Combined therapy may increase the number of people achieving a weight loss greater than 10% but the evidence is very uncertain.</w:t>
            </w:r>
          </w:p>
        </w:tc>
        <w:tc>
          <w:tcPr>
            <w:tcW w:w="295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 xml:space="preserve">A clinical trial with a total of 81 participants, reported this outcome. The use of combined drug therapy for obesity was associated with a relative increase of 43% in the number of participants who would achieve a weight loss greater than 10% at 10 weeks </w:t>
            </w:r>
            <w:r>
              <w:rPr>
                <w:sz w:val="16"/>
                <w:szCs w:val="16"/>
              </w:rPr>
              <w:t>of treatment (RR 1.43, 95% CI: 0.89 - 2.3).</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d</w:t>
            </w:r>
          </w:p>
        </w:tc>
      </w:tr>
      <w:tr w:rsidR="009C6A81">
        <w:trPr>
          <w:trHeight w:val="495"/>
        </w:trPr>
        <w:tc>
          <w:tcPr>
            <w:tcW w:w="210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235"/>
        </w:trPr>
        <w:tc>
          <w:tcPr>
            <w:tcW w:w="21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lastRenderedPageBreak/>
              <w:t>Health-related quality of life -  physical health/functioning dimension</w:t>
            </w:r>
          </w:p>
        </w:tc>
        <w:tc>
          <w:tcPr>
            <w:tcW w:w="19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Combined therapy may result in little to no difference in the physical health-related quality of life.</w:t>
            </w:r>
          </w:p>
        </w:tc>
        <w:tc>
          <w:tcPr>
            <w:tcW w:w="295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clinical trial with a total of 45 participants, reported this outcome. The use of combined drug therapy for obesity did not show to be associated with significant changes in health-related quality of life in the physical domain (mean difference of 0.90 (</w:t>
            </w:r>
            <w:r>
              <w:rPr>
                <w:sz w:val="16"/>
                <w:szCs w:val="16"/>
              </w:rPr>
              <w:t>95% CI: -1.88 - 3.68; SF-36)</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e</w:t>
            </w:r>
          </w:p>
        </w:tc>
      </w:tr>
      <w:tr w:rsidR="009C6A81">
        <w:trPr>
          <w:trHeight w:val="495"/>
        </w:trPr>
        <w:tc>
          <w:tcPr>
            <w:tcW w:w="210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2235"/>
        </w:trPr>
        <w:tc>
          <w:tcPr>
            <w:tcW w:w="21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Health-related quality of life - mental health/psychological dimension</w:t>
            </w:r>
          </w:p>
        </w:tc>
        <w:tc>
          <w:tcPr>
            <w:tcW w:w="19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Combined therapy may result in little to no difference in the mental health-related quality of life.</w:t>
            </w:r>
          </w:p>
        </w:tc>
        <w:tc>
          <w:tcPr>
            <w:tcW w:w="295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A clinical trial  with a total of 45 participants, reported this outcome. The use of combined drug therapy for obesity did not show to be associated with significant changes in health-related quality of life in the mental domain (mean difference of 0.30 (9</w:t>
            </w:r>
            <w:r>
              <w:rPr>
                <w:sz w:val="16"/>
                <w:szCs w:val="16"/>
              </w:rPr>
              <w:t>5% CI: -2.77 - 3.37; SF-36)</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e</w:t>
            </w:r>
          </w:p>
        </w:tc>
      </w:tr>
      <w:tr w:rsidR="009C6A81">
        <w:trPr>
          <w:trHeight w:val="495"/>
        </w:trPr>
        <w:tc>
          <w:tcPr>
            <w:tcW w:w="210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0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875"/>
        </w:trPr>
        <w:tc>
          <w:tcPr>
            <w:tcW w:w="2100"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Serious adverse events</w:t>
            </w:r>
          </w:p>
        </w:tc>
        <w:tc>
          <w:tcPr>
            <w:tcW w:w="190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Combined therapy may not increase the incidence of serious adverse events but the evidence is very uncertain.</w:t>
            </w:r>
          </w:p>
        </w:tc>
        <w:tc>
          <w:tcPr>
            <w:tcW w:w="2954"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Four clinical trials with a total of 381 patients reported this outcome. From the total number of patients who received combined therapy, only two serious adverse events were reported, with no significant differences between both groups.</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7"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Very low</w:t>
            </w:r>
            <w:r>
              <w:rPr>
                <w:color w:val="1E2138"/>
                <w:sz w:val="14"/>
                <w:szCs w:val="14"/>
                <w:vertAlign w:val="superscript"/>
              </w:rPr>
              <w:t>c</w:t>
            </w:r>
          </w:p>
        </w:tc>
      </w:tr>
      <w:tr w:rsidR="009C6A81">
        <w:trPr>
          <w:trHeight w:val="495"/>
        </w:trPr>
        <w:tc>
          <w:tcPr>
            <w:tcW w:w="2100"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190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954"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7"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875"/>
        </w:trPr>
        <w:tc>
          <w:tcPr>
            <w:tcW w:w="8833"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t>RR: Relative risk; MD: mean difference; 95% CI: 95% confidence interval.</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two levels due to serious inconsistency and imprecision.</w:t>
            </w:r>
          </w:p>
          <w:p w:rsidR="009C6A81" w:rsidRDefault="00ED5651">
            <w:pPr>
              <w:spacing w:before="120"/>
              <w:rPr>
                <w:sz w:val="16"/>
                <w:szCs w:val="16"/>
              </w:rPr>
            </w:pPr>
            <w:r>
              <w:rPr>
                <w:sz w:val="16"/>
                <w:szCs w:val="16"/>
              </w:rPr>
              <w:t>b. It was downgraded two levels due to serious risk of bias and inconsistency.</w:t>
            </w:r>
          </w:p>
          <w:p w:rsidR="009C6A81" w:rsidRDefault="00ED5651">
            <w:pPr>
              <w:spacing w:before="120"/>
              <w:rPr>
                <w:sz w:val="16"/>
                <w:szCs w:val="16"/>
              </w:rPr>
            </w:pPr>
            <w:r>
              <w:rPr>
                <w:sz w:val="16"/>
                <w:szCs w:val="16"/>
              </w:rPr>
              <w:t>c. It was downgraded three levels due to serious risk of bias and very serious imprecision.</w:t>
            </w:r>
          </w:p>
          <w:p w:rsidR="009C6A81" w:rsidRDefault="00ED5651">
            <w:pPr>
              <w:spacing w:before="120"/>
              <w:rPr>
                <w:sz w:val="16"/>
                <w:szCs w:val="16"/>
              </w:rPr>
            </w:pPr>
            <w:r>
              <w:rPr>
                <w:sz w:val="16"/>
                <w:szCs w:val="16"/>
              </w:rPr>
              <w:t>d. It was downgraded three levels due to serious risk of bias, inconsistency and very serious imprecision.</w:t>
            </w:r>
          </w:p>
          <w:p w:rsidR="009C6A81" w:rsidRDefault="00ED5651">
            <w:pPr>
              <w:spacing w:before="120"/>
              <w:rPr>
                <w:b/>
                <w:sz w:val="16"/>
                <w:szCs w:val="16"/>
                <w:highlight w:val="black"/>
              </w:rPr>
            </w:pPr>
            <w:r>
              <w:rPr>
                <w:sz w:val="16"/>
                <w:szCs w:val="16"/>
              </w:rPr>
              <w:t>e. It was downgraded two levels due to very serious imprecision.</w:t>
            </w:r>
          </w:p>
        </w:tc>
      </w:tr>
    </w:tbl>
    <w:p w:rsidR="009C6A81" w:rsidRDefault="00ED5651">
      <w:pPr>
        <w:rPr>
          <w:sz w:val="20"/>
          <w:szCs w:val="20"/>
        </w:rPr>
      </w:pPr>
      <w:r>
        <w:rPr>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33" w:anchor="/finding/6645385ce3089d04aed6d8b2">
        <w:r>
          <w:rPr>
            <w:color w:val="1155CC"/>
            <w:u w:val="single"/>
          </w:rPr>
          <w:t>iSoF platform</w:t>
        </w:r>
      </w:hyperlink>
      <w:r>
        <w:t>.</w:t>
      </w:r>
    </w:p>
    <w:p w:rsidR="009C6A81" w:rsidRDefault="009C6A81">
      <w:pPr>
        <w:ind w:left="-990"/>
      </w:pPr>
    </w:p>
    <w:p w:rsidR="009C6A81" w:rsidRDefault="00ED5651">
      <w:pPr>
        <w:ind w:left="-990"/>
      </w:pPr>
      <w:r>
        <w:lastRenderedPageBreak/>
        <w:t>Tab</w:t>
      </w:r>
      <w:r>
        <w:t xml:space="preserve">le. Summary of EtD judgments for combined drug therapy for obesity.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c"/>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77"/>
        <w:gridCol w:w="954"/>
        <w:gridCol w:w="954"/>
        <w:gridCol w:w="953"/>
        <w:gridCol w:w="953"/>
        <w:gridCol w:w="953"/>
        <w:gridCol w:w="953"/>
        <w:gridCol w:w="953"/>
      </w:tblGrid>
      <w:tr w:rsidR="009C6A81">
        <w:trPr>
          <w:trHeight w:val="525"/>
        </w:trPr>
        <w:tc>
          <w:tcPr>
            <w:tcW w:w="2175" w:type="dxa"/>
            <w:tcBorders>
              <w:top w:val="single" w:sz="6" w:space="0" w:color="000000"/>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53"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53"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53"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53"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53"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53"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53"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Very low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Large costs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costs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comparison</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Equity</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reduced</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175"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53"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53"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ind w:left="-990"/>
      </w:pPr>
    </w:p>
    <w:p w:rsidR="009C6A81" w:rsidRDefault="009C6A81">
      <w:pPr>
        <w:pStyle w:val="Ttulo2"/>
        <w:ind w:hanging="990"/>
      </w:pPr>
      <w:bookmarkStart w:id="54" w:name="_xrt7krirgxk5" w:colFirst="0" w:colLast="0"/>
      <w:bookmarkEnd w:id="54"/>
    </w:p>
    <w:p w:rsidR="009C6A81" w:rsidRDefault="00ED5651">
      <w:pPr>
        <w:pStyle w:val="Ttulo6"/>
        <w:ind w:hanging="990"/>
      </w:pPr>
      <w:bookmarkStart w:id="55" w:name="_tvw9k5op8p4a" w:colFirst="0" w:colLast="0"/>
      <w:bookmarkEnd w:id="55"/>
      <w:r>
        <w:t xml:space="preserve">Question 20. </w:t>
      </w:r>
      <w:r>
        <w:t>In adults aged 18 years or older with overweight or obesity without glucose metabolism disorders, should oral antidiabetics (iSGLT2 or metformin) be used compared to lifestyle interventions or placebo?</w:t>
      </w:r>
    </w:p>
    <w:p w:rsidR="009C6A81" w:rsidRDefault="009C6A81"/>
    <w:p w:rsidR="009C6A81" w:rsidRDefault="00ED5651">
      <w:pPr>
        <w:ind w:left="-990"/>
      </w:pPr>
      <w:r>
        <w:t>Table. Summary of findings for the effects of oral an</w:t>
      </w:r>
      <w:r>
        <w:t>tidiabetics (iSGLT2 or metformin).</w:t>
      </w:r>
    </w:p>
    <w:p w:rsidR="009C6A81" w:rsidRDefault="009C6A81">
      <w:pPr>
        <w:ind w:left="-990"/>
      </w:pP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d"/>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85"/>
        <w:gridCol w:w="2025"/>
        <w:gridCol w:w="1440"/>
        <w:gridCol w:w="1440"/>
        <w:gridCol w:w="930"/>
        <w:gridCol w:w="930"/>
      </w:tblGrid>
      <w:tr w:rsidR="009C6A81">
        <w:trPr>
          <w:trHeight w:val="435"/>
        </w:trPr>
        <w:tc>
          <w:tcPr>
            <w:tcW w:w="2085" w:type="dxa"/>
            <w:vMerge w:val="restart"/>
            <w:tcBorders>
              <w:top w:val="single" w:sz="6" w:space="0" w:color="000000"/>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Outcomes</w:t>
            </w:r>
          </w:p>
        </w:tc>
        <w:tc>
          <w:tcPr>
            <w:tcW w:w="2025" w:type="dxa"/>
            <w:vMerge w:val="restart"/>
            <w:tcBorders>
              <w:top w:val="single" w:sz="6" w:space="0" w:color="000000"/>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Key messages</w:t>
            </w:r>
          </w:p>
        </w:tc>
        <w:tc>
          <w:tcPr>
            <w:tcW w:w="2880" w:type="dxa"/>
            <w:gridSpan w:val="2"/>
            <w:tcBorders>
              <w:top w:val="single" w:sz="6" w:space="0" w:color="000000"/>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Absolute effect</w:t>
            </w:r>
          </w:p>
        </w:tc>
        <w:tc>
          <w:tcPr>
            <w:tcW w:w="930" w:type="dxa"/>
            <w:vMerge w:val="restart"/>
            <w:tcBorders>
              <w:top w:val="single" w:sz="6" w:space="0" w:color="000000"/>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Relative effect (95% CI)</w:t>
            </w:r>
          </w:p>
        </w:tc>
        <w:tc>
          <w:tcPr>
            <w:tcW w:w="930" w:type="dxa"/>
            <w:vMerge w:val="restart"/>
            <w:tcBorders>
              <w:top w:val="single" w:sz="6" w:space="0" w:color="000000"/>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6"/>
                <w:szCs w:val="16"/>
              </w:rPr>
            </w:pPr>
            <w:r>
              <w:rPr>
                <w:b/>
                <w:color w:val="FFFFFF"/>
                <w:sz w:val="16"/>
                <w:szCs w:val="16"/>
              </w:rPr>
              <w:t>Certainty of the evidence (GRADE)</w:t>
            </w:r>
          </w:p>
        </w:tc>
      </w:tr>
      <w:tr w:rsidR="009C6A81">
        <w:trPr>
          <w:trHeight w:val="795"/>
        </w:trPr>
        <w:tc>
          <w:tcPr>
            <w:tcW w:w="2085" w:type="dxa"/>
            <w:vMerge/>
            <w:tcBorders>
              <w:top w:val="single" w:sz="6" w:space="0" w:color="000000"/>
              <w:left w:val="single" w:sz="6" w:space="0" w:color="000000"/>
              <w:bottom w:val="single" w:sz="6" w:space="0" w:color="000000"/>
              <w:right w:val="single" w:sz="6" w:space="0" w:color="000000"/>
            </w:tcBorders>
            <w:shd w:val="clear" w:color="auto" w:fill="1F2136"/>
            <w:tcMar>
              <w:top w:w="100" w:type="dxa"/>
              <w:left w:w="100" w:type="dxa"/>
              <w:bottom w:w="100" w:type="dxa"/>
              <w:right w:w="100" w:type="dxa"/>
            </w:tcMar>
          </w:tcPr>
          <w:p w:rsidR="009C6A81" w:rsidRDefault="009C6A81">
            <w:pPr>
              <w:ind w:left="-990"/>
            </w:pPr>
          </w:p>
        </w:tc>
        <w:tc>
          <w:tcPr>
            <w:tcW w:w="2025" w:type="dxa"/>
            <w:vMerge/>
            <w:tcBorders>
              <w:top w:val="single" w:sz="6" w:space="0" w:color="000000"/>
              <w:left w:val="nil"/>
              <w:bottom w:val="single" w:sz="6" w:space="0" w:color="000000"/>
              <w:right w:val="single" w:sz="6" w:space="0" w:color="000000"/>
            </w:tcBorders>
            <w:shd w:val="clear" w:color="auto" w:fill="1F2136"/>
            <w:tcMar>
              <w:top w:w="100" w:type="dxa"/>
              <w:left w:w="100" w:type="dxa"/>
              <w:bottom w:w="100" w:type="dxa"/>
              <w:right w:w="100" w:type="dxa"/>
            </w:tcMar>
          </w:tcPr>
          <w:p w:rsidR="009C6A81" w:rsidRDefault="009C6A81">
            <w:pPr>
              <w:ind w:left="-990"/>
            </w:pPr>
          </w:p>
        </w:tc>
        <w:tc>
          <w:tcPr>
            <w:tcW w:w="1440" w:type="dxa"/>
            <w:tcBorders>
              <w:top w:val="nil"/>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Placebo or lifestyle interventions</w:t>
            </w:r>
          </w:p>
        </w:tc>
        <w:tc>
          <w:tcPr>
            <w:tcW w:w="1440" w:type="dxa"/>
            <w:tcBorders>
              <w:top w:val="nil"/>
              <w:left w:val="nil"/>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4"/>
                <w:szCs w:val="14"/>
              </w:rPr>
            </w:pPr>
            <w:r>
              <w:rPr>
                <w:b/>
                <w:color w:val="FFFFFF"/>
                <w:sz w:val="14"/>
                <w:szCs w:val="14"/>
              </w:rPr>
              <w:t>With oral antidiabetics</w:t>
            </w:r>
          </w:p>
        </w:tc>
        <w:tc>
          <w:tcPr>
            <w:tcW w:w="930" w:type="dxa"/>
            <w:vMerge/>
            <w:tcBorders>
              <w:top w:val="single" w:sz="6" w:space="0" w:color="000000"/>
              <w:left w:val="nil"/>
              <w:bottom w:val="single" w:sz="6" w:space="0" w:color="000000"/>
              <w:right w:val="single" w:sz="6" w:space="0" w:color="000000"/>
            </w:tcBorders>
            <w:shd w:val="clear" w:color="auto" w:fill="1F2136"/>
            <w:tcMar>
              <w:top w:w="100" w:type="dxa"/>
              <w:left w:w="100" w:type="dxa"/>
              <w:bottom w:w="100" w:type="dxa"/>
              <w:right w:w="100" w:type="dxa"/>
            </w:tcMar>
          </w:tcPr>
          <w:p w:rsidR="009C6A81" w:rsidRDefault="009C6A81">
            <w:pPr>
              <w:ind w:left="-990"/>
            </w:pPr>
          </w:p>
        </w:tc>
        <w:tc>
          <w:tcPr>
            <w:tcW w:w="930" w:type="dxa"/>
            <w:vMerge/>
            <w:tcBorders>
              <w:top w:val="single" w:sz="6" w:space="0" w:color="000000"/>
              <w:left w:val="nil"/>
              <w:bottom w:val="single" w:sz="6" w:space="0" w:color="000000"/>
              <w:right w:val="single" w:sz="6" w:space="0" w:color="000000"/>
            </w:tcBorders>
            <w:shd w:val="clear" w:color="auto" w:fill="1F2136"/>
            <w:tcMar>
              <w:top w:w="100" w:type="dxa"/>
              <w:left w:w="100" w:type="dxa"/>
              <w:bottom w:w="100" w:type="dxa"/>
              <w:right w:w="100" w:type="dxa"/>
            </w:tcMar>
          </w:tcPr>
          <w:p w:rsidR="009C6A81" w:rsidRDefault="009C6A81">
            <w:pPr>
              <w:ind w:left="-990"/>
            </w:pPr>
          </w:p>
        </w:tc>
      </w:tr>
      <w:tr w:rsidR="009C6A81">
        <w:trPr>
          <w:trHeight w:val="615"/>
        </w:trPr>
        <w:tc>
          <w:tcPr>
            <w:tcW w:w="208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Cardiovascular death</w:t>
            </w:r>
          </w:p>
        </w:tc>
        <w:tc>
          <w:tcPr>
            <w:tcW w:w="202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Oral antidiabetics may results in a small reduction in cardiovascular death, but the evidence is very uncertain</w:t>
            </w:r>
          </w:p>
        </w:tc>
        <w:tc>
          <w:tcPr>
            <w:tcW w:w="144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80</w:t>
            </w:r>
          </w:p>
          <w:p w:rsidR="009C6A81" w:rsidRDefault="00ED5651">
            <w:pPr>
              <w:jc w:val="center"/>
              <w:rPr>
                <w:sz w:val="16"/>
                <w:szCs w:val="16"/>
              </w:rPr>
            </w:pPr>
            <w:r>
              <w:rPr>
                <w:sz w:val="16"/>
                <w:szCs w:val="16"/>
              </w:rPr>
              <w:t>per 1000</w:t>
            </w:r>
          </w:p>
        </w:tc>
        <w:tc>
          <w:tcPr>
            <w:tcW w:w="144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66</w:t>
            </w:r>
          </w:p>
          <w:p w:rsidR="009C6A81" w:rsidRDefault="00ED5651">
            <w:pPr>
              <w:jc w:val="center"/>
              <w:rPr>
                <w:sz w:val="16"/>
                <w:szCs w:val="16"/>
              </w:rPr>
            </w:pPr>
            <w:r>
              <w:rPr>
                <w:sz w:val="16"/>
                <w:szCs w:val="16"/>
              </w:rPr>
              <w:t>per 1000</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0,83</w:t>
            </w:r>
          </w:p>
          <w:p w:rsidR="009C6A81" w:rsidRDefault="00ED5651">
            <w:pPr>
              <w:jc w:val="center"/>
              <w:rPr>
                <w:sz w:val="10"/>
                <w:szCs w:val="10"/>
              </w:rPr>
            </w:pPr>
            <w:r>
              <w:rPr>
                <w:sz w:val="10"/>
                <w:szCs w:val="10"/>
              </w:rPr>
              <w:t>(0,68 to 1,01)</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1 study (data from 4860 patients)</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a</w:t>
            </w:r>
          </w:p>
        </w:tc>
      </w:tr>
      <w:tr w:rsidR="009C6A81">
        <w:trPr>
          <w:trHeight w:val="540"/>
        </w:trPr>
        <w:tc>
          <w:tcPr>
            <w:tcW w:w="208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2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8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14 patients less per 1000</w:t>
            </w:r>
          </w:p>
          <w:p w:rsidR="009C6A81" w:rsidRDefault="00ED5651">
            <w:pPr>
              <w:jc w:val="center"/>
              <w:rPr>
                <w:sz w:val="10"/>
                <w:szCs w:val="10"/>
              </w:rPr>
            </w:pPr>
            <w:r>
              <w:rPr>
                <w:sz w:val="10"/>
                <w:szCs w:val="10"/>
              </w:rPr>
              <w:t>(95% CI: 26 less a 1 more patient)</w:t>
            </w:r>
          </w:p>
        </w:tc>
        <w:tc>
          <w:tcPr>
            <w:tcW w:w="9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495"/>
        </w:trPr>
        <w:tc>
          <w:tcPr>
            <w:tcW w:w="208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change</w:t>
            </w:r>
          </w:p>
        </w:tc>
        <w:tc>
          <w:tcPr>
            <w:tcW w:w="202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Oral antidiabetics may result in little to no difference in body weight.</w:t>
            </w:r>
          </w:p>
        </w:tc>
        <w:tc>
          <w:tcPr>
            <w:tcW w:w="144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100</w:t>
            </w:r>
          </w:p>
          <w:p w:rsidR="009C6A81" w:rsidRDefault="00ED5651">
            <w:pPr>
              <w:jc w:val="center"/>
              <w:rPr>
                <w:sz w:val="16"/>
                <w:szCs w:val="16"/>
              </w:rPr>
            </w:pPr>
            <w:r>
              <w:rPr>
                <w:sz w:val="16"/>
                <w:szCs w:val="16"/>
              </w:rPr>
              <w:t>kg</w:t>
            </w:r>
          </w:p>
        </w:tc>
        <w:tc>
          <w:tcPr>
            <w:tcW w:w="144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97.72</w:t>
            </w:r>
          </w:p>
          <w:p w:rsidR="009C6A81" w:rsidRDefault="00ED5651">
            <w:pPr>
              <w:jc w:val="center"/>
              <w:rPr>
                <w:sz w:val="16"/>
                <w:szCs w:val="16"/>
              </w:rPr>
            </w:pPr>
            <w:r>
              <w:rPr>
                <w:sz w:val="16"/>
                <w:szCs w:val="16"/>
              </w:rPr>
              <w:t>kg</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14 studies (data from 2053 patients)</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Low</w:t>
            </w:r>
            <w:r>
              <w:rPr>
                <w:color w:val="1E2138"/>
                <w:sz w:val="14"/>
                <w:szCs w:val="14"/>
                <w:vertAlign w:val="superscript"/>
              </w:rPr>
              <w:t>b</w:t>
            </w:r>
          </w:p>
        </w:tc>
      </w:tr>
      <w:tr w:rsidR="009C6A81">
        <w:trPr>
          <w:trHeight w:val="1035"/>
        </w:trPr>
        <w:tc>
          <w:tcPr>
            <w:tcW w:w="208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2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8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2.28 kg less</w:t>
            </w:r>
          </w:p>
          <w:p w:rsidR="009C6A81" w:rsidRDefault="00ED5651">
            <w:pPr>
              <w:jc w:val="center"/>
              <w:rPr>
                <w:sz w:val="10"/>
                <w:szCs w:val="10"/>
              </w:rPr>
            </w:pPr>
            <w:r>
              <w:rPr>
                <w:sz w:val="10"/>
                <w:szCs w:val="10"/>
              </w:rPr>
              <w:t>(IC 95 % 3.04 less to 1.51 less)</w:t>
            </w:r>
          </w:p>
          <w:p w:rsidR="009C6A81" w:rsidRDefault="00ED5651">
            <w:pPr>
              <w:jc w:val="center"/>
              <w:rPr>
                <w:sz w:val="20"/>
                <w:szCs w:val="20"/>
              </w:rPr>
            </w:pPr>
            <w:r>
              <w:rPr>
                <w:sz w:val="20"/>
                <w:szCs w:val="20"/>
              </w:rPr>
              <w:t xml:space="preserve"> </w:t>
            </w:r>
          </w:p>
          <w:p w:rsidR="009C6A81" w:rsidRDefault="00ED5651">
            <w:pPr>
              <w:jc w:val="center"/>
              <w:rPr>
                <w:sz w:val="16"/>
                <w:szCs w:val="16"/>
              </w:rPr>
            </w:pPr>
            <w:r>
              <w:rPr>
                <w:sz w:val="16"/>
                <w:szCs w:val="16"/>
              </w:rPr>
              <w:t>MD 2.28</w:t>
            </w:r>
          </w:p>
          <w:p w:rsidR="009C6A81" w:rsidRDefault="00ED5651">
            <w:pPr>
              <w:jc w:val="center"/>
              <w:rPr>
                <w:sz w:val="16"/>
                <w:szCs w:val="16"/>
              </w:rPr>
            </w:pPr>
            <w:r>
              <w:rPr>
                <w:sz w:val="16"/>
                <w:szCs w:val="16"/>
              </w:rPr>
              <w:t>(-3.04 to -1.51)</w:t>
            </w:r>
          </w:p>
        </w:tc>
        <w:tc>
          <w:tcPr>
            <w:tcW w:w="9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615"/>
        </w:trPr>
        <w:tc>
          <w:tcPr>
            <w:tcW w:w="208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Body weight reduction over 5%</w:t>
            </w:r>
          </w:p>
        </w:tc>
        <w:tc>
          <w:tcPr>
            <w:tcW w:w="202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Oral antidiabetics probably results in a significant increase in the number of patients achieving a weight reduction greater than 5%.</w:t>
            </w:r>
          </w:p>
        </w:tc>
        <w:tc>
          <w:tcPr>
            <w:tcW w:w="1440" w:type="dxa"/>
            <w:tcBorders>
              <w:top w:val="nil"/>
              <w:left w:val="nil"/>
              <w:bottom w:val="nil"/>
              <w:right w:val="nil"/>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94</w:t>
            </w:r>
          </w:p>
          <w:p w:rsidR="009C6A81" w:rsidRDefault="00ED5651">
            <w:pPr>
              <w:jc w:val="center"/>
              <w:rPr>
                <w:sz w:val="16"/>
                <w:szCs w:val="16"/>
              </w:rPr>
            </w:pPr>
            <w:r>
              <w:rPr>
                <w:sz w:val="16"/>
                <w:szCs w:val="16"/>
              </w:rPr>
              <w:t>per 1000</w:t>
            </w:r>
          </w:p>
        </w:tc>
        <w:tc>
          <w:tcPr>
            <w:tcW w:w="1440" w:type="dxa"/>
            <w:tcBorders>
              <w:top w:val="nil"/>
              <w:left w:val="nil"/>
              <w:bottom w:val="nil"/>
              <w:right w:val="single" w:sz="6" w:space="0" w:color="000000"/>
            </w:tcBorders>
            <w:shd w:val="clear" w:color="auto" w:fill="FFFFFF"/>
            <w:tcMar>
              <w:top w:w="120" w:type="dxa"/>
              <w:left w:w="120" w:type="dxa"/>
              <w:bottom w:w="0" w:type="dxa"/>
              <w:right w:w="120" w:type="dxa"/>
            </w:tcMar>
          </w:tcPr>
          <w:p w:rsidR="009C6A81" w:rsidRDefault="00ED5651">
            <w:pPr>
              <w:jc w:val="center"/>
              <w:rPr>
                <w:sz w:val="16"/>
                <w:szCs w:val="16"/>
              </w:rPr>
            </w:pPr>
            <w:r>
              <w:rPr>
                <w:sz w:val="16"/>
                <w:szCs w:val="16"/>
              </w:rPr>
              <w:t>276</w:t>
            </w:r>
          </w:p>
          <w:p w:rsidR="009C6A81" w:rsidRDefault="00ED5651">
            <w:pPr>
              <w:jc w:val="center"/>
              <w:rPr>
                <w:sz w:val="16"/>
                <w:szCs w:val="16"/>
              </w:rPr>
            </w:pPr>
            <w:r>
              <w:rPr>
                <w:sz w:val="16"/>
                <w:szCs w:val="16"/>
              </w:rPr>
              <w:t>per 1000</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RR 2,93</w:t>
            </w:r>
          </w:p>
          <w:p w:rsidR="009C6A81" w:rsidRDefault="00ED5651">
            <w:pPr>
              <w:jc w:val="center"/>
              <w:rPr>
                <w:sz w:val="10"/>
                <w:szCs w:val="10"/>
              </w:rPr>
            </w:pPr>
            <w:r>
              <w:rPr>
                <w:sz w:val="10"/>
                <w:szCs w:val="10"/>
              </w:rPr>
              <w:t>(1,23 to 7)</w:t>
            </w:r>
          </w:p>
          <w:p w:rsidR="009C6A81" w:rsidRDefault="00ED5651">
            <w:pPr>
              <w:jc w:val="center"/>
              <w:rPr>
                <w:sz w:val="20"/>
                <w:szCs w:val="20"/>
              </w:rPr>
            </w:pPr>
            <w:r>
              <w:rPr>
                <w:sz w:val="20"/>
                <w:szCs w:val="20"/>
              </w:rPr>
              <w:t xml:space="preserve"> </w:t>
            </w:r>
          </w:p>
          <w:p w:rsidR="009C6A81" w:rsidRDefault="00ED5651">
            <w:pPr>
              <w:jc w:val="center"/>
              <w:rPr>
                <w:sz w:val="14"/>
                <w:szCs w:val="14"/>
              </w:rPr>
            </w:pPr>
            <w:r>
              <w:rPr>
                <w:sz w:val="14"/>
                <w:szCs w:val="14"/>
              </w:rPr>
              <w:t>2 studies (data from 581 patients)</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c</w:t>
            </w:r>
          </w:p>
        </w:tc>
      </w:tr>
      <w:tr w:rsidR="009C6A81">
        <w:trPr>
          <w:trHeight w:val="540"/>
        </w:trPr>
        <w:tc>
          <w:tcPr>
            <w:tcW w:w="2085"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2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80" w:type="dxa"/>
            <w:gridSpan w:val="2"/>
            <w:tcBorders>
              <w:top w:val="nil"/>
              <w:left w:val="nil"/>
              <w:bottom w:val="single" w:sz="6" w:space="0" w:color="000000"/>
              <w:right w:val="single" w:sz="6" w:space="0" w:color="000000"/>
            </w:tcBorders>
            <w:shd w:val="clear" w:color="auto" w:fill="FFFFFF"/>
            <w:tcMar>
              <w:top w:w="0" w:type="dxa"/>
              <w:left w:w="120" w:type="dxa"/>
              <w:bottom w:w="120" w:type="dxa"/>
              <w:right w:w="120" w:type="dxa"/>
            </w:tcMar>
          </w:tcPr>
          <w:p w:rsidR="009C6A81" w:rsidRDefault="00ED5651">
            <w:pPr>
              <w:jc w:val="center"/>
              <w:rPr>
                <w:sz w:val="16"/>
                <w:szCs w:val="16"/>
              </w:rPr>
            </w:pPr>
            <w:r>
              <w:rPr>
                <w:sz w:val="16"/>
                <w:szCs w:val="16"/>
              </w:rPr>
              <w:t>182 patients more per 1000</w:t>
            </w:r>
          </w:p>
          <w:p w:rsidR="009C6A81" w:rsidRDefault="00ED5651">
            <w:pPr>
              <w:jc w:val="center"/>
              <w:rPr>
                <w:sz w:val="10"/>
                <w:szCs w:val="10"/>
              </w:rPr>
            </w:pPr>
            <w:r>
              <w:rPr>
                <w:sz w:val="10"/>
                <w:szCs w:val="10"/>
              </w:rPr>
              <w:t>(95% CI: 22  a 566 more patients)</w:t>
            </w:r>
          </w:p>
        </w:tc>
        <w:tc>
          <w:tcPr>
            <w:tcW w:w="9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0"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515"/>
        </w:trPr>
        <w:tc>
          <w:tcPr>
            <w:tcW w:w="2085" w:type="dxa"/>
            <w:vMerge w:val="restart"/>
            <w:tcBorders>
              <w:top w:val="nil"/>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6"/>
                <w:szCs w:val="16"/>
              </w:rPr>
            </w:pPr>
            <w:r>
              <w:rPr>
                <w:b/>
                <w:sz w:val="16"/>
                <w:szCs w:val="16"/>
              </w:rPr>
              <w:t>Serious adverse events</w:t>
            </w:r>
          </w:p>
        </w:tc>
        <w:tc>
          <w:tcPr>
            <w:tcW w:w="2025"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Oral antidiabetics probably does not increase the risk of serious adverse events.</w:t>
            </w:r>
          </w:p>
        </w:tc>
        <w:tc>
          <w:tcPr>
            <w:tcW w:w="2880" w:type="dxa"/>
            <w:gridSpan w:val="2"/>
            <w:tcBorders>
              <w:top w:val="nil"/>
              <w:left w:val="nil"/>
              <w:bottom w:val="nil"/>
              <w:right w:val="single" w:sz="6" w:space="0" w:color="000000"/>
            </w:tcBorders>
            <w:shd w:val="clear" w:color="auto" w:fill="FFFFFF"/>
            <w:tcMar>
              <w:top w:w="120" w:type="dxa"/>
              <w:left w:w="120" w:type="dxa"/>
              <w:bottom w:w="120" w:type="dxa"/>
              <w:right w:w="120" w:type="dxa"/>
            </w:tcMar>
          </w:tcPr>
          <w:p w:rsidR="009C6A81" w:rsidRDefault="00ED5651">
            <w:pPr>
              <w:jc w:val="center"/>
              <w:rPr>
                <w:sz w:val="16"/>
                <w:szCs w:val="16"/>
              </w:rPr>
            </w:pPr>
            <w:r>
              <w:rPr>
                <w:sz w:val="16"/>
                <w:szCs w:val="16"/>
              </w:rPr>
              <w:t>Eleven randomized clinical trials with a total of 5815 participants reported this outcome. No significant differences were observed in the risk of developing serious adverse events, and no mortality events were reported.</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30" w:type="dxa"/>
            <w:vMerge w:val="restart"/>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sz w:val="14"/>
                <w:szCs w:val="14"/>
              </w:rPr>
            </w:pPr>
            <w:r>
              <w:rPr>
                <w:sz w:val="14"/>
                <w:szCs w:val="14"/>
              </w:rPr>
              <w:t>⨁⨁⨁</w:t>
            </w:r>
            <w:r>
              <w:rPr>
                <w:sz w:val="14"/>
                <w:szCs w:val="14"/>
              </w:rPr>
              <w:t>◯</w:t>
            </w:r>
          </w:p>
          <w:p w:rsidR="009C6A81" w:rsidRDefault="00ED5651">
            <w:pPr>
              <w:jc w:val="center"/>
              <w:rPr>
                <w:sz w:val="14"/>
                <w:szCs w:val="14"/>
              </w:rPr>
            </w:pPr>
            <w:r>
              <w:rPr>
                <w:sz w:val="14"/>
                <w:szCs w:val="14"/>
              </w:rPr>
              <w:t>Moderate</w:t>
            </w:r>
            <w:r>
              <w:rPr>
                <w:color w:val="1E2138"/>
                <w:sz w:val="14"/>
                <w:szCs w:val="14"/>
                <w:vertAlign w:val="superscript"/>
              </w:rPr>
              <w:t>d</w:t>
            </w:r>
          </w:p>
        </w:tc>
      </w:tr>
      <w:tr w:rsidR="009C6A81">
        <w:trPr>
          <w:trHeight w:val="495"/>
        </w:trPr>
        <w:tc>
          <w:tcPr>
            <w:tcW w:w="2085" w:type="dxa"/>
            <w:vMerge/>
            <w:tcBorders>
              <w:top w:val="nil"/>
              <w:left w:val="single" w:sz="6" w:space="0" w:color="000000"/>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025"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2880" w:type="dxa"/>
            <w:gridSpan w:val="2"/>
            <w:tcBorders>
              <w:top w:val="nil"/>
              <w:left w:val="nil"/>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3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c>
          <w:tcPr>
            <w:tcW w:w="930" w:type="dxa"/>
            <w:vMerge/>
            <w:tcBorders>
              <w:top w:val="nil"/>
              <w:left w:val="nil"/>
              <w:bottom w:val="single" w:sz="8" w:space="0" w:color="000000"/>
              <w:right w:val="single" w:sz="6" w:space="0" w:color="000000"/>
            </w:tcBorders>
            <w:shd w:val="clear" w:color="auto" w:fill="auto"/>
            <w:tcMar>
              <w:top w:w="100" w:type="dxa"/>
              <w:left w:w="100" w:type="dxa"/>
              <w:bottom w:w="100" w:type="dxa"/>
              <w:right w:w="100" w:type="dxa"/>
            </w:tcMar>
          </w:tcPr>
          <w:p w:rsidR="009C6A81" w:rsidRDefault="009C6A81">
            <w:pPr>
              <w:ind w:left="-990"/>
            </w:pPr>
          </w:p>
        </w:tc>
      </w:tr>
      <w:tr w:rsidR="009C6A81">
        <w:trPr>
          <w:trHeight w:val="1515"/>
        </w:trPr>
        <w:tc>
          <w:tcPr>
            <w:tcW w:w="8850" w:type="dxa"/>
            <w:gridSpan w:val="6"/>
            <w:tcBorders>
              <w:top w:val="single" w:sz="8" w:space="0" w:color="000000"/>
              <w:left w:val="single" w:sz="8" w:space="0" w:color="000000"/>
              <w:bottom w:val="single" w:sz="8" w:space="0" w:color="000000"/>
              <w:right w:val="single" w:sz="6" w:space="0" w:color="000000"/>
            </w:tcBorders>
            <w:shd w:val="clear" w:color="auto" w:fill="FFFFFF"/>
            <w:tcMar>
              <w:top w:w="120" w:type="dxa"/>
              <w:left w:w="120" w:type="dxa"/>
              <w:bottom w:w="120" w:type="dxa"/>
              <w:right w:w="120" w:type="dxa"/>
            </w:tcMar>
          </w:tcPr>
          <w:p w:rsidR="009C6A81" w:rsidRDefault="00ED5651">
            <w:pPr>
              <w:jc w:val="left"/>
              <w:rPr>
                <w:sz w:val="16"/>
                <w:szCs w:val="16"/>
              </w:rPr>
            </w:pPr>
            <w:r>
              <w:rPr>
                <w:sz w:val="16"/>
                <w:szCs w:val="16"/>
              </w:rPr>
              <w:lastRenderedPageBreak/>
              <w:t>RR: Relative risk; MD: mean difference; 95% CI: 95% confidence interval.</w:t>
            </w:r>
          </w:p>
          <w:p w:rsidR="009C6A81" w:rsidRDefault="009C6A81">
            <w:pPr>
              <w:jc w:val="left"/>
              <w:rPr>
                <w:sz w:val="16"/>
                <w:szCs w:val="16"/>
              </w:rPr>
            </w:pPr>
          </w:p>
          <w:p w:rsidR="009C6A81" w:rsidRDefault="00ED5651">
            <w:pPr>
              <w:jc w:val="left"/>
              <w:rPr>
                <w:sz w:val="16"/>
                <w:szCs w:val="16"/>
              </w:rPr>
            </w:pPr>
            <w:r>
              <w:rPr>
                <w:b/>
                <w:sz w:val="16"/>
                <w:szCs w:val="16"/>
              </w:rPr>
              <w:t>EXPLANATION</w:t>
            </w:r>
          </w:p>
          <w:p w:rsidR="009C6A81" w:rsidRDefault="00ED5651">
            <w:pPr>
              <w:spacing w:before="120"/>
              <w:rPr>
                <w:sz w:val="16"/>
                <w:szCs w:val="16"/>
              </w:rPr>
            </w:pPr>
            <w:r>
              <w:rPr>
                <w:sz w:val="16"/>
                <w:szCs w:val="16"/>
              </w:rPr>
              <w:t>a. It was downgraded due to very serious indirectness.</w:t>
            </w:r>
          </w:p>
          <w:p w:rsidR="009C6A81" w:rsidRDefault="00ED5651">
            <w:pPr>
              <w:spacing w:before="120"/>
              <w:rPr>
                <w:sz w:val="16"/>
                <w:szCs w:val="16"/>
              </w:rPr>
            </w:pPr>
            <w:r>
              <w:rPr>
                <w:sz w:val="16"/>
                <w:szCs w:val="16"/>
              </w:rPr>
              <w:t>b. It was downgraded due to serious risk of bias and heterogeneity.</w:t>
            </w:r>
          </w:p>
          <w:p w:rsidR="009C6A81" w:rsidRDefault="00ED5651">
            <w:pPr>
              <w:spacing w:before="120"/>
              <w:rPr>
                <w:sz w:val="16"/>
                <w:szCs w:val="16"/>
              </w:rPr>
            </w:pPr>
            <w:r>
              <w:rPr>
                <w:sz w:val="16"/>
                <w:szCs w:val="16"/>
              </w:rPr>
              <w:t>c. It was downgraded one level due to serious imprecision.</w:t>
            </w:r>
          </w:p>
          <w:p w:rsidR="009C6A81" w:rsidRDefault="00ED5651">
            <w:pPr>
              <w:spacing w:before="120"/>
              <w:rPr>
                <w:b/>
                <w:sz w:val="16"/>
                <w:szCs w:val="16"/>
              </w:rPr>
            </w:pPr>
            <w:r>
              <w:rPr>
                <w:sz w:val="16"/>
                <w:szCs w:val="16"/>
              </w:rPr>
              <w:t>d. It was downgraded due to serious risk of bias.</w:t>
            </w:r>
          </w:p>
        </w:tc>
      </w:tr>
    </w:tbl>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9C6A81" w:rsidRDefault="009C6A81">
      <w:pPr>
        <w:ind w:left="-990"/>
      </w:pPr>
    </w:p>
    <w:p w:rsidR="009C6A81" w:rsidRDefault="009C6A81">
      <w:pPr>
        <w:ind w:left="-990"/>
      </w:pPr>
    </w:p>
    <w:p w:rsidR="009C6A81" w:rsidRDefault="00ED5651">
      <w:pPr>
        <w:ind w:left="-990"/>
        <w:rPr>
          <w:highlight w:val="yellow"/>
        </w:rPr>
      </w:pPr>
      <w:r>
        <w:t xml:space="preserve">An interactive version of this Summary of Findings table is available at the </w:t>
      </w:r>
      <w:hyperlink r:id="rId34" w:anchor="/finding/665e8523e3089d04c1109e00">
        <w:r>
          <w:rPr>
            <w:color w:val="1155CC"/>
            <w:u w:val="single"/>
          </w:rPr>
          <w:t>iSoF platform</w:t>
        </w:r>
      </w:hyperlink>
      <w:r>
        <w:t>.</w:t>
      </w:r>
    </w:p>
    <w:p w:rsidR="009C6A81" w:rsidRDefault="009C6A81">
      <w:pPr>
        <w:ind w:left="-990"/>
      </w:pPr>
    </w:p>
    <w:p w:rsidR="009C6A81" w:rsidRDefault="00ED5651">
      <w:pPr>
        <w:ind w:left="-990"/>
      </w:pPr>
      <w:r>
        <w:t xml:space="preserve">Table. Summary of EtD judgments for oral antidiabetics (iSGLT2 or metformin). </w:t>
      </w:r>
    </w:p>
    <w:p w:rsidR="009C6A81" w:rsidRDefault="00ED565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ffe"/>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72"/>
        <w:gridCol w:w="967"/>
        <w:gridCol w:w="966"/>
        <w:gridCol w:w="966"/>
        <w:gridCol w:w="966"/>
        <w:gridCol w:w="966"/>
        <w:gridCol w:w="966"/>
        <w:gridCol w:w="966"/>
      </w:tblGrid>
      <w:tr w:rsidR="009C6A81">
        <w:trPr>
          <w:trHeight w:val="525"/>
        </w:trPr>
        <w:tc>
          <w:tcPr>
            <w:tcW w:w="2070" w:type="dxa"/>
            <w:tcBorders>
              <w:top w:val="single" w:sz="6" w:space="0" w:color="000000"/>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Problem</w:t>
            </w:r>
          </w:p>
        </w:tc>
        <w:tc>
          <w:tcPr>
            <w:tcW w:w="966"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6"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6"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Yes</w:t>
            </w:r>
          </w:p>
        </w:tc>
        <w:tc>
          <w:tcPr>
            <w:tcW w:w="966"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66"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w:t>
            </w:r>
          </w:p>
        </w:tc>
        <w:tc>
          <w:tcPr>
            <w:tcW w:w="966" w:type="dxa"/>
            <w:tcBorders>
              <w:top w:val="single" w:sz="6" w:space="0" w:color="000000"/>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66" w:type="dxa"/>
            <w:tcBorders>
              <w:top w:val="single" w:sz="6" w:space="0" w:color="000000"/>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Desirable effects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Trivial</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Small</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Undesirable effects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Trivial</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Small</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660"/>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the evidence</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included studies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Low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Values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Important uncertainty or variability</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Possibly important uncertainty or variability</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important uncertainty or variability</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 important uncertainty or variability</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Balance of effects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Does not favour either the intervention or the comparison</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favours the intervention</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660"/>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Resources required</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Varies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costs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costs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Negligible costs or savings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 savings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Large savings</w:t>
            </w:r>
          </w:p>
        </w:tc>
      </w:tr>
      <w:tr w:rsidR="009C6A81">
        <w:trPr>
          <w:trHeight w:val="660"/>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Certainty of evidence of required resources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No included studies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Very low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Low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Moderate</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High</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1065"/>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Cost-effectiveness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comparison</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comparison</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Does not favour either the intervention or the comparison</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favours the intervention</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Favours the intervention</w:t>
            </w:r>
          </w:p>
        </w:tc>
      </w:tr>
      <w:tr w:rsidR="009C6A81">
        <w:trPr>
          <w:trHeight w:val="525"/>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lastRenderedPageBreak/>
              <w:t>Equity</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Reduced</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reduced</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no impact</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increased</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Increased</w:t>
            </w:r>
          </w:p>
        </w:tc>
      </w:tr>
      <w:tr w:rsidR="009C6A81">
        <w:trPr>
          <w:trHeight w:val="525"/>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Acceptability</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r w:rsidR="009C6A81">
        <w:trPr>
          <w:trHeight w:val="525"/>
        </w:trPr>
        <w:tc>
          <w:tcPr>
            <w:tcW w:w="2070" w:type="dxa"/>
            <w:tcBorders>
              <w:top w:val="nil"/>
              <w:left w:val="single" w:sz="6" w:space="0" w:color="000000"/>
              <w:bottom w:val="single" w:sz="6" w:space="0" w:color="000000"/>
              <w:right w:val="single" w:sz="6" w:space="0" w:color="000000"/>
            </w:tcBorders>
            <w:shd w:val="clear" w:color="auto" w:fill="1F2136"/>
            <w:tcMar>
              <w:top w:w="120" w:type="dxa"/>
              <w:left w:w="120" w:type="dxa"/>
              <w:bottom w:w="120" w:type="dxa"/>
              <w:right w:w="120" w:type="dxa"/>
            </w:tcMar>
          </w:tcPr>
          <w:p w:rsidR="009C6A81" w:rsidRDefault="00ED5651">
            <w:pPr>
              <w:jc w:val="center"/>
              <w:rPr>
                <w:b/>
                <w:color w:val="FFFFFF"/>
                <w:sz w:val="12"/>
                <w:szCs w:val="12"/>
              </w:rPr>
            </w:pPr>
            <w:r>
              <w:rPr>
                <w:b/>
                <w:color w:val="FFFFFF"/>
                <w:sz w:val="12"/>
                <w:szCs w:val="12"/>
              </w:rPr>
              <w:t>Feasibility</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Don't know</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Varies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Yes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Probably yes</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b/>
                <w:sz w:val="12"/>
                <w:szCs w:val="12"/>
              </w:rPr>
            </w:pPr>
            <w:r>
              <w:rPr>
                <w:b/>
                <w:sz w:val="12"/>
                <w:szCs w:val="12"/>
              </w:rPr>
              <w:t>Probably no</w:t>
            </w:r>
          </w:p>
        </w:tc>
        <w:tc>
          <w:tcPr>
            <w:tcW w:w="966" w:type="dxa"/>
            <w:tcBorders>
              <w:top w:val="nil"/>
              <w:left w:val="nil"/>
              <w:bottom w:val="single" w:sz="6" w:space="0" w:color="000000"/>
              <w:right w:val="single" w:sz="6" w:space="0" w:color="000000"/>
            </w:tcBorders>
            <w:shd w:val="clear" w:color="auto" w:fill="FFFFFF"/>
            <w:tcMar>
              <w:top w:w="120" w:type="dxa"/>
              <w:left w:w="120" w:type="dxa"/>
              <w:bottom w:w="120" w:type="dxa"/>
              <w:right w:w="120" w:type="dxa"/>
            </w:tcMar>
          </w:tcPr>
          <w:p w:rsidR="009C6A81" w:rsidRDefault="00ED5651">
            <w:pPr>
              <w:jc w:val="center"/>
              <w:rPr>
                <w:color w:val="BBBBBB"/>
                <w:sz w:val="12"/>
                <w:szCs w:val="12"/>
              </w:rPr>
            </w:pPr>
            <w:r>
              <w:rPr>
                <w:color w:val="BBBBBB"/>
                <w:sz w:val="12"/>
                <w:szCs w:val="12"/>
              </w:rPr>
              <w:t>No</w:t>
            </w:r>
          </w:p>
        </w:tc>
        <w:tc>
          <w:tcPr>
            <w:tcW w:w="966" w:type="dxa"/>
            <w:tcBorders>
              <w:top w:val="nil"/>
              <w:left w:val="nil"/>
              <w:bottom w:val="single" w:sz="6" w:space="0" w:color="000000"/>
              <w:right w:val="single" w:sz="6" w:space="0" w:color="000000"/>
            </w:tcBorders>
            <w:shd w:val="clear" w:color="auto" w:fill="BBBBBB"/>
            <w:tcMar>
              <w:top w:w="120" w:type="dxa"/>
              <w:left w:w="120" w:type="dxa"/>
              <w:bottom w:w="120" w:type="dxa"/>
              <w:right w:w="120" w:type="dxa"/>
            </w:tcMar>
          </w:tcPr>
          <w:p w:rsidR="009C6A81" w:rsidRDefault="00ED5651">
            <w:pPr>
              <w:jc w:val="center"/>
              <w:rPr>
                <w:sz w:val="20"/>
                <w:szCs w:val="20"/>
              </w:rPr>
            </w:pPr>
            <w:r>
              <w:rPr>
                <w:sz w:val="20"/>
                <w:szCs w:val="20"/>
              </w:rPr>
              <w:t xml:space="preserve"> </w:t>
            </w:r>
          </w:p>
        </w:tc>
      </w:tr>
    </w:tbl>
    <w:p w:rsidR="009C6A81" w:rsidRDefault="009C6A81">
      <w:pPr>
        <w:sectPr w:rsidR="009C6A81">
          <w:pgSz w:w="12240" w:h="15840"/>
          <w:pgMar w:top="0" w:right="1701" w:bottom="1020" w:left="1701" w:header="709" w:footer="567" w:gutter="0"/>
          <w:cols w:space="720"/>
        </w:sectPr>
      </w:pPr>
    </w:p>
    <w:p w:rsidR="009C6A81" w:rsidRDefault="00ED5651">
      <w:pPr>
        <w:pStyle w:val="Ttulo2"/>
        <w:ind w:hanging="990"/>
      </w:pPr>
      <w:bookmarkStart w:id="56" w:name="_3x8tuzt" w:colFirst="0" w:colLast="0"/>
      <w:bookmarkEnd w:id="56"/>
      <w:r>
        <w:lastRenderedPageBreak/>
        <w:t xml:space="preserve">Appendix </w:t>
      </w:r>
      <w:r>
        <w:t>3.1 Criteria for developing Good Practice Statements</w:t>
      </w:r>
    </w:p>
    <w:p w:rsidR="009C6A81" w:rsidRDefault="009C6A81"/>
    <w:p w:rsidR="009C6A81" w:rsidRDefault="00ED5651">
      <w:pPr>
        <w:pStyle w:val="Ttulo6"/>
        <w:ind w:hanging="990"/>
      </w:pPr>
      <w:bookmarkStart w:id="57" w:name="_24ufcor" w:colFirst="0" w:colLast="0"/>
      <w:bookmarkEnd w:id="57"/>
      <w:r>
        <w:t>Good practice statement 1. Healthcare professionals should examine, assess, and diagnose obesity using standardized measures that consider additional elements beyond weight, body mass index (BMI), and w</w:t>
      </w:r>
      <w:r>
        <w:t>aist circumference.</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0"/>
              </w:numPr>
              <w:jc w:val="left"/>
              <w:rPr>
                <w:sz w:val="20"/>
                <w:szCs w:val="20"/>
              </w:rPr>
            </w:pPr>
            <w:r>
              <w:rPr>
                <w:b/>
                <w:sz w:val="20"/>
                <w:szCs w:val="20"/>
              </w:rPr>
              <w:t>Yes</w:t>
            </w:r>
          </w:p>
          <w:p w:rsidR="009C6A81" w:rsidRDefault="00ED5651">
            <w:pPr>
              <w:numPr>
                <w:ilvl w:val="0"/>
                <w:numId w:val="70"/>
              </w:numPr>
              <w:jc w:val="left"/>
              <w:rPr>
                <w:color w:val="AEAAAA"/>
                <w:sz w:val="20"/>
                <w:szCs w:val="20"/>
              </w:rPr>
            </w:pPr>
            <w:r>
              <w:rPr>
                <w:color w:val="AEAAAA"/>
                <w:sz w:val="20"/>
                <w:szCs w:val="20"/>
              </w:rPr>
              <w:t>Probably yes</w:t>
            </w:r>
          </w:p>
          <w:p w:rsidR="009C6A81" w:rsidRDefault="00ED5651">
            <w:pPr>
              <w:numPr>
                <w:ilvl w:val="0"/>
                <w:numId w:val="70"/>
              </w:numPr>
              <w:jc w:val="left"/>
              <w:rPr>
                <w:color w:val="AEAAAA"/>
                <w:sz w:val="20"/>
                <w:szCs w:val="20"/>
              </w:rPr>
            </w:pPr>
            <w:r>
              <w:rPr>
                <w:color w:val="AEAAAA"/>
                <w:sz w:val="20"/>
                <w:szCs w:val="20"/>
              </w:rPr>
              <w:t>Probably not</w:t>
            </w:r>
          </w:p>
          <w:p w:rsidR="009C6A81" w:rsidRDefault="00ED5651">
            <w:pPr>
              <w:numPr>
                <w:ilvl w:val="0"/>
                <w:numId w:val="70"/>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0"/>
              </w:numPr>
              <w:jc w:val="left"/>
              <w:rPr>
                <w:sz w:val="20"/>
                <w:szCs w:val="20"/>
              </w:rPr>
            </w:pPr>
            <w:r>
              <w:rPr>
                <w:b/>
                <w:sz w:val="20"/>
                <w:szCs w:val="20"/>
              </w:rPr>
              <w:t>Yes</w:t>
            </w:r>
          </w:p>
          <w:p w:rsidR="009C6A81" w:rsidRDefault="00ED5651">
            <w:pPr>
              <w:numPr>
                <w:ilvl w:val="0"/>
                <w:numId w:val="70"/>
              </w:numPr>
              <w:jc w:val="left"/>
              <w:rPr>
                <w:color w:val="AEAAAA"/>
                <w:sz w:val="20"/>
                <w:szCs w:val="20"/>
              </w:rPr>
            </w:pPr>
            <w:r>
              <w:rPr>
                <w:color w:val="AEAAAA"/>
                <w:sz w:val="20"/>
                <w:szCs w:val="20"/>
              </w:rPr>
              <w:t>Probably yes</w:t>
            </w:r>
          </w:p>
          <w:p w:rsidR="009C6A81" w:rsidRDefault="00ED5651">
            <w:pPr>
              <w:numPr>
                <w:ilvl w:val="0"/>
                <w:numId w:val="70"/>
              </w:numPr>
              <w:jc w:val="left"/>
              <w:rPr>
                <w:color w:val="AEAAAA"/>
                <w:sz w:val="20"/>
                <w:szCs w:val="20"/>
              </w:rPr>
            </w:pPr>
            <w:r>
              <w:rPr>
                <w:color w:val="AEAAAA"/>
                <w:sz w:val="20"/>
                <w:szCs w:val="20"/>
              </w:rPr>
              <w:t>Probably not</w:t>
            </w:r>
          </w:p>
          <w:p w:rsidR="009C6A81" w:rsidRDefault="00ED5651">
            <w:pPr>
              <w:numPr>
                <w:ilvl w:val="0"/>
                <w:numId w:val="70"/>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60"/>
              </w:numPr>
              <w:rPr>
                <w:sz w:val="20"/>
                <w:szCs w:val="20"/>
              </w:rPr>
            </w:pPr>
            <w:r>
              <w:rPr>
                <w:b/>
                <w:sz w:val="20"/>
                <w:szCs w:val="20"/>
              </w:rPr>
              <w:t>Population</w:t>
            </w:r>
            <w:r>
              <w:rPr>
                <w:sz w:val="20"/>
                <w:szCs w:val="20"/>
              </w:rPr>
              <w:t>: people at risk of obesity.</w:t>
            </w:r>
          </w:p>
          <w:p w:rsidR="009C6A81" w:rsidRDefault="00ED5651">
            <w:pPr>
              <w:numPr>
                <w:ilvl w:val="0"/>
                <w:numId w:val="60"/>
              </w:numPr>
              <w:rPr>
                <w:sz w:val="20"/>
                <w:szCs w:val="20"/>
              </w:rPr>
            </w:pPr>
            <w:r>
              <w:rPr>
                <w:b/>
                <w:sz w:val="20"/>
                <w:szCs w:val="20"/>
              </w:rPr>
              <w:t>Intervention</w:t>
            </w:r>
            <w:r>
              <w:rPr>
                <w:sz w:val="20"/>
                <w:szCs w:val="20"/>
              </w:rPr>
              <w:t>: assessment and diagnosis of obesity using standardized measures in addition to weight, BMI and waist circumference (WC).</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0"/>
              </w:numPr>
              <w:jc w:val="left"/>
              <w:rPr>
                <w:sz w:val="20"/>
                <w:szCs w:val="20"/>
              </w:rPr>
            </w:pPr>
            <w:r>
              <w:rPr>
                <w:b/>
                <w:sz w:val="20"/>
                <w:szCs w:val="20"/>
              </w:rPr>
              <w:t>Yes</w:t>
            </w:r>
          </w:p>
          <w:p w:rsidR="009C6A81" w:rsidRDefault="00ED5651">
            <w:pPr>
              <w:numPr>
                <w:ilvl w:val="0"/>
                <w:numId w:val="70"/>
              </w:numPr>
              <w:jc w:val="left"/>
              <w:rPr>
                <w:color w:val="AEAAAA"/>
                <w:sz w:val="20"/>
                <w:szCs w:val="20"/>
              </w:rPr>
            </w:pPr>
            <w:r>
              <w:rPr>
                <w:color w:val="AEAAAA"/>
                <w:sz w:val="20"/>
                <w:szCs w:val="20"/>
              </w:rPr>
              <w:t>Probably yes</w:t>
            </w:r>
          </w:p>
          <w:p w:rsidR="009C6A81" w:rsidRDefault="00ED5651">
            <w:pPr>
              <w:numPr>
                <w:ilvl w:val="0"/>
                <w:numId w:val="70"/>
              </w:numPr>
              <w:jc w:val="left"/>
              <w:rPr>
                <w:color w:val="AEAAAA"/>
                <w:sz w:val="20"/>
                <w:szCs w:val="20"/>
              </w:rPr>
            </w:pPr>
            <w:r>
              <w:rPr>
                <w:color w:val="AEAAAA"/>
                <w:sz w:val="20"/>
                <w:szCs w:val="20"/>
              </w:rPr>
              <w:t>Probably not</w:t>
            </w:r>
          </w:p>
          <w:p w:rsidR="009C6A81" w:rsidRDefault="00ED5651">
            <w:pPr>
              <w:numPr>
                <w:ilvl w:val="0"/>
                <w:numId w:val="70"/>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Obesity is a complex and heterogeneous chronic disease that arises from the interaction between multiple genetic, metabolic, behavioral and environmental factors. An assessment based merely on indicators obtained from anthropometric measurements is not suf</w:t>
            </w:r>
            <w:r>
              <w:rPr>
                <w:sz w:val="20"/>
                <w:szCs w:val="20"/>
              </w:rPr>
              <w:t>ficient to encompass the complexity of this disease. This would be more relevant in certain clinical contexts such as elderly people, with high risk of sarcopenia, renal, hepatic or cardiovascular disease.</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2. Implementing the good practice statement resul</w:t>
            </w:r>
            <w:r>
              <w:rPr>
                <w:b/>
                <w:sz w:val="20"/>
                <w:szCs w:val="20"/>
              </w:rPr>
              <w:t xml:space="preserve">ts in a large net positive consequence (i.e. satisfy several evidence to decision (EtD) criteria) after consideration of all </w:t>
            </w:r>
            <w:r>
              <w:rPr>
                <w:b/>
                <w:sz w:val="20"/>
                <w:szCs w:val="20"/>
              </w:rPr>
              <w:lastRenderedPageBreak/>
              <w:t xml:space="preserve">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10"/>
              </w:numPr>
              <w:jc w:val="left"/>
              <w:rPr>
                <w:sz w:val="20"/>
                <w:szCs w:val="20"/>
              </w:rPr>
            </w:pPr>
            <w:r>
              <w:rPr>
                <w:b/>
                <w:sz w:val="20"/>
                <w:szCs w:val="20"/>
              </w:rPr>
              <w:lastRenderedPageBreak/>
              <w:t>Yes</w:t>
            </w:r>
          </w:p>
          <w:p w:rsidR="009C6A81" w:rsidRDefault="00ED5651">
            <w:pPr>
              <w:numPr>
                <w:ilvl w:val="0"/>
                <w:numId w:val="10"/>
              </w:numPr>
              <w:jc w:val="left"/>
              <w:rPr>
                <w:color w:val="AEAAAA"/>
                <w:sz w:val="20"/>
                <w:szCs w:val="20"/>
              </w:rPr>
            </w:pPr>
            <w:r>
              <w:rPr>
                <w:color w:val="AEAAAA"/>
                <w:sz w:val="20"/>
                <w:szCs w:val="20"/>
              </w:rPr>
              <w:t>Probably yes</w:t>
            </w:r>
          </w:p>
          <w:p w:rsidR="009C6A81" w:rsidRDefault="00ED5651">
            <w:pPr>
              <w:numPr>
                <w:ilvl w:val="0"/>
                <w:numId w:val="10"/>
              </w:numPr>
              <w:jc w:val="left"/>
              <w:rPr>
                <w:color w:val="AEAAAA"/>
                <w:sz w:val="20"/>
                <w:szCs w:val="20"/>
              </w:rPr>
            </w:pPr>
            <w:r>
              <w:rPr>
                <w:color w:val="AEAAAA"/>
                <w:sz w:val="20"/>
                <w:szCs w:val="20"/>
              </w:rPr>
              <w:t>Probably not</w:t>
            </w:r>
          </w:p>
          <w:p w:rsidR="009C6A81" w:rsidRDefault="00ED5651">
            <w:pPr>
              <w:numPr>
                <w:ilvl w:val="0"/>
                <w:numId w:val="10"/>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68"/>
              </w:numPr>
              <w:jc w:val="left"/>
              <w:rPr>
                <w:sz w:val="20"/>
                <w:szCs w:val="20"/>
              </w:rPr>
            </w:pPr>
            <w:r>
              <w:rPr>
                <w:color w:val="AEAAAA"/>
                <w:sz w:val="20"/>
                <w:szCs w:val="20"/>
              </w:rPr>
              <w:lastRenderedPageBreak/>
              <w:t>Importance of the problem.</w:t>
            </w:r>
          </w:p>
          <w:p w:rsidR="009C6A81" w:rsidRDefault="00ED5651">
            <w:pPr>
              <w:numPr>
                <w:ilvl w:val="0"/>
                <w:numId w:val="68"/>
              </w:numPr>
              <w:jc w:val="left"/>
              <w:rPr>
                <w:color w:val="AEAAAA"/>
                <w:sz w:val="20"/>
                <w:szCs w:val="20"/>
              </w:rPr>
            </w:pPr>
            <w:r>
              <w:rPr>
                <w:color w:val="AEAAAA"/>
                <w:sz w:val="20"/>
                <w:szCs w:val="20"/>
              </w:rPr>
              <w:t>Certainty of evidence.</w:t>
            </w:r>
          </w:p>
          <w:p w:rsidR="009C6A81" w:rsidRDefault="00ED5651">
            <w:pPr>
              <w:numPr>
                <w:ilvl w:val="0"/>
                <w:numId w:val="68"/>
              </w:numPr>
              <w:jc w:val="left"/>
              <w:rPr>
                <w:sz w:val="20"/>
                <w:szCs w:val="20"/>
              </w:rPr>
            </w:pPr>
            <w:r>
              <w:rPr>
                <w:color w:val="AEAAAA"/>
                <w:sz w:val="20"/>
                <w:szCs w:val="20"/>
              </w:rPr>
              <w:t>Values.</w:t>
            </w:r>
          </w:p>
          <w:p w:rsidR="009C6A81" w:rsidRDefault="00ED5651">
            <w:pPr>
              <w:numPr>
                <w:ilvl w:val="0"/>
                <w:numId w:val="68"/>
              </w:numPr>
              <w:jc w:val="left"/>
              <w:rPr>
                <w:sz w:val="20"/>
                <w:szCs w:val="20"/>
              </w:rPr>
            </w:pPr>
            <w:r>
              <w:rPr>
                <w:sz w:val="20"/>
                <w:szCs w:val="20"/>
              </w:rPr>
              <w:t>Magnitude of resource requirements.</w:t>
            </w:r>
          </w:p>
          <w:p w:rsidR="009C6A81" w:rsidRDefault="00ED5651">
            <w:pPr>
              <w:numPr>
                <w:ilvl w:val="0"/>
                <w:numId w:val="68"/>
              </w:numPr>
              <w:jc w:val="left"/>
              <w:rPr>
                <w:color w:val="AEAAAA"/>
                <w:sz w:val="20"/>
                <w:szCs w:val="20"/>
              </w:rPr>
            </w:pPr>
            <w:r>
              <w:rPr>
                <w:color w:val="AEAAAA"/>
                <w:sz w:val="20"/>
                <w:szCs w:val="20"/>
              </w:rPr>
              <w:t>Certainty of evidence or resource use.</w:t>
            </w:r>
          </w:p>
          <w:p w:rsidR="009C6A81" w:rsidRDefault="00ED5651">
            <w:pPr>
              <w:numPr>
                <w:ilvl w:val="0"/>
                <w:numId w:val="68"/>
              </w:numPr>
              <w:jc w:val="left"/>
              <w:rPr>
                <w:sz w:val="20"/>
                <w:szCs w:val="20"/>
              </w:rPr>
            </w:pPr>
            <w:r>
              <w:rPr>
                <w:sz w:val="20"/>
                <w:szCs w:val="20"/>
              </w:rPr>
              <w:t>Cost-effectiveness.</w:t>
            </w:r>
          </w:p>
          <w:p w:rsidR="009C6A81" w:rsidRDefault="00ED5651">
            <w:pPr>
              <w:numPr>
                <w:ilvl w:val="0"/>
                <w:numId w:val="68"/>
              </w:numPr>
              <w:jc w:val="left"/>
              <w:rPr>
                <w:sz w:val="20"/>
                <w:szCs w:val="20"/>
              </w:rPr>
            </w:pPr>
            <w:r>
              <w:rPr>
                <w:sz w:val="20"/>
                <w:szCs w:val="20"/>
              </w:rPr>
              <w:t>Equity.</w:t>
            </w:r>
          </w:p>
          <w:p w:rsidR="009C6A81" w:rsidRDefault="00ED5651">
            <w:pPr>
              <w:numPr>
                <w:ilvl w:val="0"/>
                <w:numId w:val="68"/>
              </w:numPr>
              <w:jc w:val="left"/>
              <w:rPr>
                <w:sz w:val="20"/>
                <w:szCs w:val="20"/>
              </w:rPr>
            </w:pPr>
            <w:r>
              <w:rPr>
                <w:sz w:val="20"/>
                <w:szCs w:val="20"/>
              </w:rPr>
              <w:t>Acceptability.</w:t>
            </w:r>
          </w:p>
          <w:p w:rsidR="009C6A81" w:rsidRDefault="00ED5651">
            <w:pPr>
              <w:numPr>
                <w:ilvl w:val="0"/>
                <w:numId w:val="68"/>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lastRenderedPageBreak/>
              <w:t>Based on the indirect evidence identified and the panel's experience, a comprehensive approach to obesity using standardized measures in conjunction with BMI and WC assessment would likely be of great benefit.</w:t>
            </w:r>
          </w:p>
          <w:p w:rsidR="009C6A81" w:rsidRDefault="009C6A81">
            <w:pPr>
              <w:jc w:val="left"/>
              <w:rPr>
                <w:sz w:val="20"/>
                <w:szCs w:val="20"/>
              </w:rPr>
            </w:pPr>
          </w:p>
          <w:p w:rsidR="009C6A81" w:rsidRDefault="00ED5651">
            <w:pPr>
              <w:jc w:val="left"/>
              <w:rPr>
                <w:sz w:val="20"/>
                <w:szCs w:val="20"/>
              </w:rPr>
            </w:pPr>
            <w:r>
              <w:rPr>
                <w:sz w:val="20"/>
                <w:szCs w:val="20"/>
              </w:rPr>
              <w:t>This statement is deemed to satisfy the follo</w:t>
            </w:r>
            <w:r>
              <w:rPr>
                <w:sz w:val="20"/>
                <w:szCs w:val="20"/>
              </w:rPr>
              <w:t>wing EtD criteria:</w:t>
            </w:r>
          </w:p>
          <w:p w:rsidR="009C6A81" w:rsidRDefault="00ED5651">
            <w:pPr>
              <w:numPr>
                <w:ilvl w:val="0"/>
                <w:numId w:val="77"/>
              </w:numPr>
              <w:ind w:left="270"/>
              <w:rPr>
                <w:sz w:val="20"/>
                <w:szCs w:val="20"/>
              </w:rPr>
            </w:pPr>
            <w:r>
              <w:rPr>
                <w:b/>
                <w:sz w:val="20"/>
                <w:szCs w:val="20"/>
              </w:rPr>
              <w:lastRenderedPageBreak/>
              <w:t>Magnitude of resource requirements:</w:t>
            </w:r>
            <w:r>
              <w:rPr>
                <w:sz w:val="20"/>
                <w:szCs w:val="20"/>
              </w:rPr>
              <w:t xml:space="preserve"> The use of complementary measures could result in a small increase in indirect costs, both for the equipment required and for the training of personnel for their correct implementation.</w:t>
            </w:r>
          </w:p>
          <w:p w:rsidR="009C6A81" w:rsidRDefault="00ED5651">
            <w:pPr>
              <w:numPr>
                <w:ilvl w:val="0"/>
                <w:numId w:val="77"/>
              </w:numPr>
              <w:ind w:left="270"/>
              <w:rPr>
                <w:sz w:val="20"/>
                <w:szCs w:val="20"/>
              </w:rPr>
            </w:pPr>
            <w:r>
              <w:rPr>
                <w:b/>
                <w:sz w:val="20"/>
                <w:szCs w:val="20"/>
              </w:rPr>
              <w:t>Cost-effectiven</w:t>
            </w:r>
            <w:r>
              <w:rPr>
                <w:b/>
                <w:sz w:val="20"/>
                <w:szCs w:val="20"/>
              </w:rPr>
              <w:t>ess:</w:t>
            </w:r>
            <w:r>
              <w:rPr>
                <w:sz w:val="20"/>
                <w:szCs w:val="20"/>
              </w:rPr>
              <w:t xml:space="preserve"> Although the use of complementary standardized measures could mean an extra cost, this could reduce expenditure on ineffective treatments and those associated with complications due to inadequate management.   </w:t>
            </w:r>
          </w:p>
          <w:p w:rsidR="009C6A81" w:rsidRDefault="00ED5651">
            <w:pPr>
              <w:numPr>
                <w:ilvl w:val="0"/>
                <w:numId w:val="77"/>
              </w:numPr>
              <w:ind w:left="270"/>
              <w:rPr>
                <w:sz w:val="20"/>
                <w:szCs w:val="20"/>
              </w:rPr>
            </w:pPr>
            <w:r>
              <w:rPr>
                <w:b/>
                <w:sz w:val="20"/>
                <w:szCs w:val="20"/>
              </w:rPr>
              <w:t>Equity:</w:t>
            </w:r>
            <w:r>
              <w:rPr>
                <w:sz w:val="20"/>
                <w:szCs w:val="20"/>
              </w:rPr>
              <w:t xml:space="preserve"> A diagnosis with standardized an</w:t>
            </w:r>
            <w:r>
              <w:rPr>
                <w:sz w:val="20"/>
                <w:szCs w:val="20"/>
              </w:rPr>
              <w:t>d more complete measures would help to reduce gaps in access to obesity treatment.</w:t>
            </w:r>
          </w:p>
          <w:p w:rsidR="009C6A81" w:rsidRDefault="00ED5651">
            <w:pPr>
              <w:numPr>
                <w:ilvl w:val="0"/>
                <w:numId w:val="77"/>
              </w:numPr>
              <w:ind w:left="270"/>
              <w:rPr>
                <w:sz w:val="20"/>
                <w:szCs w:val="20"/>
              </w:rPr>
            </w:pPr>
            <w:r>
              <w:rPr>
                <w:b/>
                <w:sz w:val="20"/>
                <w:szCs w:val="20"/>
              </w:rPr>
              <w:t>Acceptability:</w:t>
            </w:r>
            <w:r>
              <w:rPr>
                <w:sz w:val="20"/>
                <w:szCs w:val="20"/>
              </w:rPr>
              <w:t xml:space="preserve"> It would be acceptable to patients, since it would improve the multifactorial understanding of disease manifestation and for follow-up intervention.</w:t>
            </w:r>
          </w:p>
          <w:p w:rsidR="009C6A81" w:rsidRDefault="00ED5651">
            <w:pPr>
              <w:numPr>
                <w:ilvl w:val="0"/>
                <w:numId w:val="77"/>
              </w:numPr>
              <w:ind w:left="270"/>
              <w:rPr>
                <w:sz w:val="20"/>
                <w:szCs w:val="20"/>
              </w:rPr>
            </w:pPr>
            <w:r>
              <w:rPr>
                <w:b/>
                <w:sz w:val="20"/>
                <w:szCs w:val="20"/>
              </w:rPr>
              <w:t>Factibili</w:t>
            </w:r>
            <w:r>
              <w:rPr>
                <w:b/>
                <w:sz w:val="20"/>
                <w:szCs w:val="20"/>
              </w:rPr>
              <w:t>ty:</w:t>
            </w:r>
            <w:r>
              <w:rPr>
                <w:sz w:val="20"/>
                <w:szCs w:val="20"/>
              </w:rPr>
              <w:t xml:space="preserve"> It would be feasible to implement from the first level of care onwards, however, limitations in bioimpedance equipment such as calibration, whether these are for personal or professional use and whether they are in the necessary conditions to perform t</w:t>
            </w:r>
            <w:r>
              <w:rPr>
                <w:sz w:val="20"/>
                <w:szCs w:val="20"/>
              </w:rPr>
              <w:t>he measurement should be considered.</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70"/>
              </w:numPr>
              <w:jc w:val="left"/>
              <w:rPr>
                <w:sz w:val="20"/>
                <w:szCs w:val="20"/>
              </w:rPr>
            </w:pPr>
            <w:r>
              <w:rPr>
                <w:b/>
                <w:sz w:val="20"/>
                <w:szCs w:val="20"/>
              </w:rPr>
              <w:t>Yes</w:t>
            </w:r>
          </w:p>
          <w:p w:rsidR="009C6A81" w:rsidRDefault="00ED5651">
            <w:pPr>
              <w:numPr>
                <w:ilvl w:val="0"/>
                <w:numId w:val="70"/>
              </w:numPr>
              <w:jc w:val="left"/>
              <w:rPr>
                <w:color w:val="AEAAAA"/>
                <w:sz w:val="20"/>
                <w:szCs w:val="20"/>
              </w:rPr>
            </w:pPr>
            <w:r>
              <w:rPr>
                <w:color w:val="AEAAAA"/>
                <w:sz w:val="20"/>
                <w:szCs w:val="20"/>
              </w:rPr>
              <w:t>Probably yes</w:t>
            </w:r>
          </w:p>
          <w:p w:rsidR="009C6A81" w:rsidRDefault="00ED5651">
            <w:pPr>
              <w:numPr>
                <w:ilvl w:val="0"/>
                <w:numId w:val="70"/>
              </w:numPr>
              <w:jc w:val="left"/>
              <w:rPr>
                <w:color w:val="AEAAAA"/>
                <w:sz w:val="20"/>
                <w:szCs w:val="20"/>
              </w:rPr>
            </w:pPr>
            <w:r>
              <w:rPr>
                <w:color w:val="AEAAAA"/>
                <w:sz w:val="20"/>
                <w:szCs w:val="20"/>
              </w:rPr>
              <w:t>Probably not</w:t>
            </w:r>
          </w:p>
          <w:p w:rsidR="009C6A81" w:rsidRDefault="00ED5651">
            <w:pPr>
              <w:numPr>
                <w:ilvl w:val="0"/>
                <w:numId w:val="70"/>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Current methods of examination, evaluation and diagnosis of obesity do not seem to be sufficient for its adequate management. However, most studies continue focusing on “ideal weight” as the central axis, so the available evid</w:t>
            </w:r>
            <w:r>
              <w:rPr>
                <w:sz w:val="20"/>
                <w:szCs w:val="20"/>
              </w:rPr>
              <w:t>ence is very limited. There is international consensus that BMI and WC are screening tools and do not define the disease by themselves nor replace clinical judgment.</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70"/>
              </w:numPr>
              <w:jc w:val="left"/>
              <w:rPr>
                <w:sz w:val="20"/>
                <w:szCs w:val="20"/>
              </w:rPr>
            </w:pPr>
            <w:r>
              <w:rPr>
                <w:b/>
                <w:sz w:val="20"/>
                <w:szCs w:val="20"/>
              </w:rPr>
              <w:t>Yes</w:t>
            </w:r>
          </w:p>
          <w:p w:rsidR="009C6A81" w:rsidRDefault="00ED5651">
            <w:pPr>
              <w:numPr>
                <w:ilvl w:val="0"/>
                <w:numId w:val="70"/>
              </w:numPr>
              <w:jc w:val="left"/>
              <w:rPr>
                <w:color w:val="AEAAAA"/>
                <w:sz w:val="20"/>
                <w:szCs w:val="20"/>
              </w:rPr>
            </w:pPr>
            <w:r>
              <w:rPr>
                <w:color w:val="AEAAAA"/>
                <w:sz w:val="20"/>
                <w:szCs w:val="20"/>
              </w:rPr>
              <w:t>Probably yes</w:t>
            </w:r>
          </w:p>
          <w:p w:rsidR="009C6A81" w:rsidRDefault="00ED5651">
            <w:pPr>
              <w:numPr>
                <w:ilvl w:val="0"/>
                <w:numId w:val="70"/>
              </w:numPr>
              <w:jc w:val="left"/>
              <w:rPr>
                <w:color w:val="AEAAAA"/>
                <w:sz w:val="20"/>
                <w:szCs w:val="20"/>
              </w:rPr>
            </w:pPr>
            <w:r>
              <w:rPr>
                <w:color w:val="AEAAAA"/>
                <w:sz w:val="20"/>
                <w:szCs w:val="20"/>
              </w:rPr>
              <w:t>Probably not</w:t>
            </w:r>
          </w:p>
          <w:p w:rsidR="009C6A81" w:rsidRDefault="00ED5651">
            <w:pPr>
              <w:numPr>
                <w:ilvl w:val="0"/>
                <w:numId w:val="70"/>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The Canadian clinical practice guideline (1) was identified as indirect evidence to support this statement of good practice. BMI an</w:t>
            </w:r>
            <w:r>
              <w:rPr>
                <w:sz w:val="20"/>
                <w:szCs w:val="20"/>
              </w:rPr>
              <w:t xml:space="preserve">d WC are considered to have limitations such as: they do not directly measure body fat, cardiovascular risk, do not consider muscle mass, overestimate or underestimate body fat depending on the </w:t>
            </w:r>
            <w:r>
              <w:rPr>
                <w:sz w:val="20"/>
                <w:szCs w:val="20"/>
              </w:rPr>
              <w:lastRenderedPageBreak/>
              <w:t>level of muscle mass, fluid distension or belonging to certain</w:t>
            </w:r>
            <w:r>
              <w:rPr>
                <w:sz w:val="20"/>
                <w:szCs w:val="20"/>
              </w:rPr>
              <w:t xml:space="preserve"> ethnic groups. Comparable levels of excess adipose tissue can impact health, lead to complications and affect quality of life in highly variable ways among individuals.</w:t>
            </w:r>
          </w:p>
          <w:p w:rsidR="009C6A81" w:rsidRDefault="00ED5651">
            <w:pPr>
              <w:rPr>
                <w:sz w:val="20"/>
                <w:szCs w:val="20"/>
              </w:rPr>
            </w:pPr>
            <w:r>
              <w:rPr>
                <w:sz w:val="20"/>
                <w:szCs w:val="20"/>
              </w:rPr>
              <w:t>Additionally, based on the recommendations of other Guidelines (2,3), health professio</w:t>
            </w:r>
            <w:r>
              <w:rPr>
                <w:sz w:val="20"/>
                <w:szCs w:val="20"/>
              </w:rPr>
              <w:t>nals may consider the use of bioimpedance equipment as an adjunct. However, these have limitations related to their availability, costs, measurement conditions and variability in cut-off points.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5. The declaration is clear and actionable.</w:t>
            </w:r>
          </w:p>
        </w:tc>
        <w:tc>
          <w:tcPr>
            <w:tcW w:w="2520" w:type="dxa"/>
            <w:tcMar>
              <w:top w:w="150" w:type="dxa"/>
              <w:left w:w="150" w:type="dxa"/>
              <w:bottom w:w="150" w:type="dxa"/>
              <w:right w:w="150" w:type="dxa"/>
            </w:tcMar>
          </w:tcPr>
          <w:p w:rsidR="009C6A81" w:rsidRDefault="00ED5651">
            <w:pPr>
              <w:numPr>
                <w:ilvl w:val="0"/>
                <w:numId w:val="70"/>
              </w:numPr>
              <w:jc w:val="left"/>
              <w:rPr>
                <w:sz w:val="20"/>
                <w:szCs w:val="20"/>
              </w:rPr>
            </w:pPr>
            <w:r>
              <w:rPr>
                <w:b/>
                <w:sz w:val="20"/>
                <w:szCs w:val="20"/>
              </w:rPr>
              <w:t>Yes</w:t>
            </w:r>
          </w:p>
          <w:p w:rsidR="009C6A81" w:rsidRDefault="00ED5651">
            <w:pPr>
              <w:numPr>
                <w:ilvl w:val="0"/>
                <w:numId w:val="70"/>
              </w:numPr>
              <w:jc w:val="left"/>
              <w:rPr>
                <w:color w:val="AEAAAA"/>
                <w:sz w:val="20"/>
                <w:szCs w:val="20"/>
              </w:rPr>
            </w:pPr>
            <w:r>
              <w:rPr>
                <w:color w:val="AEAAAA"/>
                <w:sz w:val="20"/>
                <w:szCs w:val="20"/>
              </w:rPr>
              <w:t>Probably yes</w:t>
            </w:r>
          </w:p>
          <w:p w:rsidR="009C6A81" w:rsidRDefault="00ED5651">
            <w:pPr>
              <w:numPr>
                <w:ilvl w:val="0"/>
                <w:numId w:val="70"/>
              </w:numPr>
              <w:jc w:val="left"/>
              <w:rPr>
                <w:color w:val="AEAAAA"/>
                <w:sz w:val="20"/>
                <w:szCs w:val="20"/>
              </w:rPr>
            </w:pPr>
            <w:r>
              <w:rPr>
                <w:color w:val="AEAAAA"/>
                <w:sz w:val="20"/>
                <w:szCs w:val="20"/>
              </w:rPr>
              <w:t>Probably not</w:t>
            </w:r>
          </w:p>
          <w:p w:rsidR="009C6A81" w:rsidRDefault="00ED5651">
            <w:pPr>
              <w:numPr>
                <w:ilvl w:val="0"/>
                <w:numId w:val="70"/>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This statement establishes a clear course of action (the use of standardized measures to screen, evaluate and diagnose obesity) and provides additional elements that would be applicable to the Mexican context (measurement of body composition through bioimp</w:t>
            </w:r>
            <w:r>
              <w:rPr>
                <w:sz w:val="20"/>
                <w:szCs w:val="20"/>
              </w:rPr>
              <w:t>edance).</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59"/>
              </w:numPr>
              <w:tabs>
                <w:tab w:val="left" w:pos="142"/>
              </w:tabs>
              <w:spacing w:line="276" w:lineRule="auto"/>
              <w:jc w:val="left"/>
              <w:rPr>
                <w:sz w:val="18"/>
                <w:szCs w:val="18"/>
              </w:rPr>
            </w:pPr>
            <w:r>
              <w:rPr>
                <w:sz w:val="18"/>
                <w:szCs w:val="18"/>
              </w:rPr>
              <w:t xml:space="preserve">Rueda-Clausen CF, Poddar M, Lear SA, Poirier P, Sharma AM. Canadian Adult Obesity Clinical Practice Guidelines: Assessment of People Living with Obesity. Available from: https://obesitycanada.ca/guidelines/assessment. </w:t>
            </w:r>
          </w:p>
          <w:p w:rsidR="009C6A81" w:rsidRDefault="00ED5651">
            <w:pPr>
              <w:numPr>
                <w:ilvl w:val="0"/>
                <w:numId w:val="59"/>
              </w:numPr>
              <w:tabs>
                <w:tab w:val="left" w:pos="142"/>
              </w:tabs>
              <w:spacing w:line="276" w:lineRule="auto"/>
              <w:jc w:val="left"/>
              <w:rPr>
                <w:sz w:val="18"/>
                <w:szCs w:val="18"/>
              </w:rPr>
            </w:pPr>
            <w:r>
              <w:rPr>
                <w:sz w:val="18"/>
                <w:szCs w:val="18"/>
              </w:rPr>
              <w:t>Garvey WT, Mechanick JI, Brett EM, et al. AMERICAN ASSOCIATION OF CLINICAL ENDOCRINOLOGISTS AND AMERICAN COLLEGE OF ENDOCRINOLOGY COMPREHENSIVE CLINICAL PRACTICE GUIDELINES FOR MEDICAL CARE OF PATIENTS WITH OBESITY. Endocr Pract. 2016;22 Suppl 3:1-203. doi</w:t>
            </w:r>
            <w:r>
              <w:rPr>
                <w:sz w:val="18"/>
                <w:szCs w:val="18"/>
              </w:rPr>
              <w:t>:10.4158/EP161365.GL</w:t>
            </w:r>
          </w:p>
          <w:p w:rsidR="009C6A81" w:rsidRDefault="00ED5651">
            <w:pPr>
              <w:numPr>
                <w:ilvl w:val="0"/>
                <w:numId w:val="59"/>
              </w:numPr>
              <w:tabs>
                <w:tab w:val="left" w:pos="142"/>
              </w:tabs>
              <w:spacing w:line="276" w:lineRule="auto"/>
              <w:jc w:val="left"/>
              <w:rPr>
                <w:sz w:val="18"/>
                <w:szCs w:val="18"/>
              </w:rPr>
            </w:pPr>
            <w:r>
              <w:rPr>
                <w:sz w:val="18"/>
                <w:szCs w:val="18"/>
              </w:rPr>
              <w:t>Yumuk V, Tsigos C, Fried M, et al. European Guidelines for Obesity Management in Adults [published correction appears in Obes Facts. 2016;9(1):64. doi: 10.1159/000444869]. Obes Facts. 2015;8(6):402-424. doi:10.1159/000442721</w:t>
            </w:r>
          </w:p>
        </w:tc>
      </w:tr>
    </w:tbl>
    <w:p w:rsidR="009C6A81" w:rsidRDefault="009C6A81">
      <w:pPr>
        <w:jc w:val="left"/>
      </w:pPr>
    </w:p>
    <w:p w:rsidR="009C6A81" w:rsidRDefault="009C6A81">
      <w:pPr>
        <w:ind w:hanging="990"/>
      </w:pPr>
    </w:p>
    <w:p w:rsidR="009C6A81" w:rsidRDefault="00ED5651">
      <w:pPr>
        <w:pStyle w:val="Ttulo6"/>
        <w:ind w:hanging="990"/>
      </w:pPr>
      <w:bookmarkStart w:id="58" w:name="_jzpmwk" w:colFirst="0" w:colLast="0"/>
      <w:bookmarkEnd w:id="58"/>
      <w:r>
        <w:t>Good practice statement 2. Healthcare professionals should conduct a medical history aimed at identifying the causes of overweight or obesity in order to make appropriate therapeutic decisions and implement effective treatments.</w:t>
      </w:r>
    </w:p>
    <w:p w:rsidR="009C6A81" w:rsidRDefault="009C6A81"/>
    <w:p w:rsidR="009C6A81" w:rsidRDefault="00ED5651">
      <w:pPr>
        <w:ind w:hanging="990"/>
      </w:pPr>
      <w:r>
        <w:t>Table. Summary of criteria</w:t>
      </w:r>
      <w:r>
        <w:t xml:space="preserve"> for the formulation of good practice statements.</w:t>
      </w:r>
    </w:p>
    <w:p w:rsidR="009C6A81" w:rsidRDefault="009C6A81">
      <w:pPr>
        <w:ind w:hanging="990"/>
      </w:pPr>
    </w:p>
    <w:tbl>
      <w:tblPr>
        <w:tblStyle w:val="affff0"/>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92"/>
              </w:numPr>
              <w:jc w:val="left"/>
              <w:rPr>
                <w:sz w:val="20"/>
                <w:szCs w:val="20"/>
              </w:rPr>
            </w:pPr>
            <w:r>
              <w:rPr>
                <w:b/>
                <w:sz w:val="20"/>
                <w:szCs w:val="20"/>
              </w:rPr>
              <w:t>Yes</w:t>
            </w:r>
          </w:p>
          <w:p w:rsidR="009C6A81" w:rsidRDefault="00ED5651">
            <w:pPr>
              <w:numPr>
                <w:ilvl w:val="0"/>
                <w:numId w:val="92"/>
              </w:numPr>
              <w:jc w:val="left"/>
              <w:rPr>
                <w:color w:val="AEAAAA"/>
                <w:sz w:val="20"/>
                <w:szCs w:val="20"/>
              </w:rPr>
            </w:pPr>
            <w:r>
              <w:rPr>
                <w:color w:val="AEAAAA"/>
                <w:sz w:val="20"/>
                <w:szCs w:val="20"/>
              </w:rPr>
              <w:t>Probably yes</w:t>
            </w:r>
          </w:p>
          <w:p w:rsidR="009C6A81" w:rsidRDefault="00ED5651">
            <w:pPr>
              <w:numPr>
                <w:ilvl w:val="0"/>
                <w:numId w:val="92"/>
              </w:numPr>
              <w:jc w:val="left"/>
              <w:rPr>
                <w:color w:val="AEAAAA"/>
                <w:sz w:val="20"/>
                <w:szCs w:val="20"/>
              </w:rPr>
            </w:pPr>
            <w:r>
              <w:rPr>
                <w:color w:val="AEAAAA"/>
                <w:sz w:val="20"/>
                <w:szCs w:val="20"/>
              </w:rPr>
              <w:t>Probably not</w:t>
            </w:r>
          </w:p>
          <w:p w:rsidR="009C6A81" w:rsidRDefault="00ED5651">
            <w:pPr>
              <w:numPr>
                <w:ilvl w:val="0"/>
                <w:numId w:val="92"/>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92"/>
              </w:numPr>
              <w:jc w:val="left"/>
              <w:rPr>
                <w:sz w:val="20"/>
                <w:szCs w:val="20"/>
              </w:rPr>
            </w:pPr>
            <w:r>
              <w:rPr>
                <w:b/>
                <w:sz w:val="20"/>
                <w:szCs w:val="20"/>
              </w:rPr>
              <w:t>Yes</w:t>
            </w:r>
          </w:p>
          <w:p w:rsidR="009C6A81" w:rsidRDefault="00ED5651">
            <w:pPr>
              <w:numPr>
                <w:ilvl w:val="0"/>
                <w:numId w:val="92"/>
              </w:numPr>
              <w:jc w:val="left"/>
              <w:rPr>
                <w:color w:val="AEAAAA"/>
                <w:sz w:val="20"/>
                <w:szCs w:val="20"/>
              </w:rPr>
            </w:pPr>
            <w:r>
              <w:rPr>
                <w:color w:val="AEAAAA"/>
                <w:sz w:val="20"/>
                <w:szCs w:val="20"/>
              </w:rPr>
              <w:t>Probably yes</w:t>
            </w:r>
          </w:p>
          <w:p w:rsidR="009C6A81" w:rsidRDefault="00ED5651">
            <w:pPr>
              <w:numPr>
                <w:ilvl w:val="0"/>
                <w:numId w:val="92"/>
              </w:numPr>
              <w:jc w:val="left"/>
              <w:rPr>
                <w:color w:val="AEAAAA"/>
                <w:sz w:val="20"/>
                <w:szCs w:val="20"/>
              </w:rPr>
            </w:pPr>
            <w:r>
              <w:rPr>
                <w:color w:val="AEAAAA"/>
                <w:sz w:val="20"/>
                <w:szCs w:val="20"/>
              </w:rPr>
              <w:t>Probably not</w:t>
            </w:r>
          </w:p>
          <w:p w:rsidR="009C6A81" w:rsidRDefault="00ED5651">
            <w:pPr>
              <w:numPr>
                <w:ilvl w:val="0"/>
                <w:numId w:val="92"/>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components of the statemen</w:t>
            </w:r>
            <w:r>
              <w:rPr>
                <w:sz w:val="20"/>
                <w:szCs w:val="20"/>
              </w:rPr>
              <w:t xml:space="preserve">t are:  </w:t>
            </w:r>
          </w:p>
          <w:p w:rsidR="009C6A81" w:rsidRDefault="00ED5651">
            <w:pPr>
              <w:numPr>
                <w:ilvl w:val="0"/>
                <w:numId w:val="72"/>
              </w:numPr>
              <w:rPr>
                <w:sz w:val="20"/>
                <w:szCs w:val="20"/>
              </w:rPr>
            </w:pPr>
            <w:r>
              <w:rPr>
                <w:b/>
                <w:sz w:val="20"/>
                <w:szCs w:val="20"/>
              </w:rPr>
              <w:t>Population</w:t>
            </w:r>
            <w:r>
              <w:rPr>
                <w:sz w:val="20"/>
                <w:szCs w:val="20"/>
              </w:rPr>
              <w:t>: people living with overweight and obesity.</w:t>
            </w:r>
          </w:p>
          <w:p w:rsidR="009C6A81" w:rsidRDefault="00ED5651">
            <w:pPr>
              <w:numPr>
                <w:ilvl w:val="0"/>
                <w:numId w:val="72"/>
              </w:numPr>
              <w:rPr>
                <w:sz w:val="20"/>
                <w:szCs w:val="20"/>
              </w:rPr>
            </w:pPr>
            <w:r>
              <w:rPr>
                <w:b/>
                <w:sz w:val="20"/>
                <w:szCs w:val="20"/>
              </w:rPr>
              <w:t>Intervention</w:t>
            </w:r>
            <w:r>
              <w:rPr>
                <w:sz w:val="20"/>
                <w:szCs w:val="20"/>
              </w:rPr>
              <w:t>: clinical history aimed at identifying the causes of overweight and obesity.</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92"/>
              </w:numPr>
              <w:jc w:val="left"/>
              <w:rPr>
                <w:sz w:val="20"/>
                <w:szCs w:val="20"/>
              </w:rPr>
            </w:pPr>
            <w:r>
              <w:rPr>
                <w:b/>
                <w:sz w:val="20"/>
                <w:szCs w:val="20"/>
              </w:rPr>
              <w:t>Yes</w:t>
            </w:r>
          </w:p>
          <w:p w:rsidR="009C6A81" w:rsidRDefault="00ED5651">
            <w:pPr>
              <w:numPr>
                <w:ilvl w:val="0"/>
                <w:numId w:val="92"/>
              </w:numPr>
              <w:jc w:val="left"/>
              <w:rPr>
                <w:color w:val="AEAAAA"/>
                <w:sz w:val="20"/>
                <w:szCs w:val="20"/>
              </w:rPr>
            </w:pPr>
            <w:r>
              <w:rPr>
                <w:color w:val="AEAAAA"/>
                <w:sz w:val="20"/>
                <w:szCs w:val="20"/>
              </w:rPr>
              <w:t>Probably yes</w:t>
            </w:r>
          </w:p>
          <w:p w:rsidR="009C6A81" w:rsidRDefault="00ED5651">
            <w:pPr>
              <w:numPr>
                <w:ilvl w:val="0"/>
                <w:numId w:val="92"/>
              </w:numPr>
              <w:jc w:val="left"/>
              <w:rPr>
                <w:color w:val="AEAAAA"/>
                <w:sz w:val="20"/>
                <w:szCs w:val="20"/>
              </w:rPr>
            </w:pPr>
            <w:r>
              <w:rPr>
                <w:color w:val="AEAAAA"/>
                <w:sz w:val="20"/>
                <w:szCs w:val="20"/>
              </w:rPr>
              <w:t>Probably not</w:t>
            </w:r>
          </w:p>
          <w:p w:rsidR="009C6A81" w:rsidRDefault="00ED5651">
            <w:pPr>
              <w:numPr>
                <w:ilvl w:val="0"/>
                <w:numId w:val="92"/>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Obesity is a complex and heterogeneous chronic disease whose cause arises from the interaction between multiple genetic, metabolic, behavioral and</w:t>
            </w:r>
            <w:r>
              <w:rPr>
                <w:sz w:val="20"/>
                <w:szCs w:val="20"/>
              </w:rPr>
              <w:t xml:space="preserve"> environmental factors. Therefore, its evaluation should identify the causes and thus optimize the treatment plan.</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104"/>
              </w:numPr>
              <w:jc w:val="left"/>
              <w:rPr>
                <w:sz w:val="20"/>
                <w:szCs w:val="20"/>
              </w:rPr>
            </w:pPr>
            <w:r>
              <w:rPr>
                <w:b/>
                <w:sz w:val="20"/>
                <w:szCs w:val="20"/>
              </w:rPr>
              <w:t>Yes</w:t>
            </w:r>
          </w:p>
          <w:p w:rsidR="009C6A81" w:rsidRDefault="00ED5651">
            <w:pPr>
              <w:numPr>
                <w:ilvl w:val="0"/>
                <w:numId w:val="104"/>
              </w:numPr>
              <w:jc w:val="left"/>
              <w:rPr>
                <w:color w:val="AEAAAA"/>
                <w:sz w:val="20"/>
                <w:szCs w:val="20"/>
              </w:rPr>
            </w:pPr>
            <w:r>
              <w:rPr>
                <w:color w:val="AEAAAA"/>
                <w:sz w:val="20"/>
                <w:szCs w:val="20"/>
              </w:rPr>
              <w:t>Probably yes</w:t>
            </w:r>
          </w:p>
          <w:p w:rsidR="009C6A81" w:rsidRDefault="00ED5651">
            <w:pPr>
              <w:numPr>
                <w:ilvl w:val="0"/>
                <w:numId w:val="104"/>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104"/>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61"/>
              </w:numPr>
              <w:jc w:val="left"/>
              <w:rPr>
                <w:sz w:val="20"/>
                <w:szCs w:val="20"/>
              </w:rPr>
            </w:pPr>
            <w:r>
              <w:rPr>
                <w:sz w:val="20"/>
                <w:szCs w:val="20"/>
              </w:rPr>
              <w:t>Importance of the problem.</w:t>
            </w:r>
          </w:p>
          <w:p w:rsidR="009C6A81" w:rsidRDefault="00ED5651">
            <w:pPr>
              <w:numPr>
                <w:ilvl w:val="0"/>
                <w:numId w:val="61"/>
              </w:numPr>
              <w:jc w:val="left"/>
              <w:rPr>
                <w:color w:val="AEAAAA"/>
                <w:sz w:val="20"/>
                <w:szCs w:val="20"/>
              </w:rPr>
            </w:pPr>
            <w:r>
              <w:rPr>
                <w:color w:val="AEAAAA"/>
                <w:sz w:val="20"/>
                <w:szCs w:val="20"/>
              </w:rPr>
              <w:t>Certainty of evidence.</w:t>
            </w:r>
          </w:p>
          <w:p w:rsidR="009C6A81" w:rsidRDefault="00ED5651">
            <w:pPr>
              <w:numPr>
                <w:ilvl w:val="0"/>
                <w:numId w:val="61"/>
              </w:numPr>
              <w:jc w:val="left"/>
              <w:rPr>
                <w:sz w:val="20"/>
                <w:szCs w:val="20"/>
              </w:rPr>
            </w:pPr>
            <w:r>
              <w:rPr>
                <w:sz w:val="20"/>
                <w:szCs w:val="20"/>
              </w:rPr>
              <w:t>Values.</w:t>
            </w:r>
          </w:p>
          <w:p w:rsidR="009C6A81" w:rsidRDefault="00ED5651">
            <w:pPr>
              <w:numPr>
                <w:ilvl w:val="0"/>
                <w:numId w:val="61"/>
              </w:numPr>
              <w:jc w:val="left"/>
              <w:rPr>
                <w:sz w:val="20"/>
                <w:szCs w:val="20"/>
              </w:rPr>
            </w:pPr>
            <w:r>
              <w:rPr>
                <w:sz w:val="20"/>
                <w:szCs w:val="20"/>
              </w:rPr>
              <w:t>Magnitude of resource requirements.</w:t>
            </w:r>
          </w:p>
          <w:p w:rsidR="009C6A81" w:rsidRDefault="00ED5651">
            <w:pPr>
              <w:numPr>
                <w:ilvl w:val="0"/>
                <w:numId w:val="61"/>
              </w:numPr>
              <w:jc w:val="left"/>
              <w:rPr>
                <w:color w:val="AEAAAA"/>
                <w:sz w:val="20"/>
                <w:szCs w:val="20"/>
              </w:rPr>
            </w:pPr>
            <w:r>
              <w:rPr>
                <w:color w:val="AEAAAA"/>
                <w:sz w:val="20"/>
                <w:szCs w:val="20"/>
              </w:rPr>
              <w:t>Certainty of evidence or resource use.</w:t>
            </w:r>
          </w:p>
          <w:p w:rsidR="009C6A81" w:rsidRDefault="00ED5651">
            <w:pPr>
              <w:numPr>
                <w:ilvl w:val="0"/>
                <w:numId w:val="61"/>
              </w:numPr>
              <w:jc w:val="left"/>
              <w:rPr>
                <w:sz w:val="20"/>
                <w:szCs w:val="20"/>
              </w:rPr>
            </w:pPr>
            <w:r>
              <w:rPr>
                <w:sz w:val="20"/>
                <w:szCs w:val="20"/>
              </w:rPr>
              <w:t>Cost-effectiveness.</w:t>
            </w:r>
          </w:p>
          <w:p w:rsidR="009C6A81" w:rsidRDefault="00ED5651">
            <w:pPr>
              <w:numPr>
                <w:ilvl w:val="0"/>
                <w:numId w:val="61"/>
              </w:numPr>
              <w:jc w:val="left"/>
              <w:rPr>
                <w:sz w:val="20"/>
                <w:szCs w:val="20"/>
              </w:rPr>
            </w:pPr>
            <w:r>
              <w:rPr>
                <w:sz w:val="20"/>
                <w:szCs w:val="20"/>
              </w:rPr>
              <w:t>Equity.</w:t>
            </w:r>
          </w:p>
          <w:p w:rsidR="009C6A81" w:rsidRDefault="00ED5651">
            <w:pPr>
              <w:numPr>
                <w:ilvl w:val="0"/>
                <w:numId w:val="61"/>
              </w:numPr>
              <w:jc w:val="left"/>
              <w:rPr>
                <w:sz w:val="20"/>
                <w:szCs w:val="20"/>
              </w:rPr>
            </w:pPr>
            <w:r>
              <w:rPr>
                <w:sz w:val="20"/>
                <w:szCs w:val="20"/>
              </w:rPr>
              <w:t>Acceptability.</w:t>
            </w:r>
          </w:p>
          <w:p w:rsidR="009C6A81" w:rsidRDefault="00ED5651">
            <w:pPr>
              <w:numPr>
                <w:ilvl w:val="0"/>
                <w:numId w:val="61"/>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experience of the panel, a clinical history aimed at understanding the causes of obesity and potential barriers to treatment would allow individualizing the therapeutic approach, avoid subjecting patients t</w:t>
            </w:r>
            <w:r>
              <w:rPr>
                <w:sz w:val="20"/>
                <w:szCs w:val="20"/>
              </w:rPr>
              <w:t>o ineffective treatments and thus avoid inefficient use of resources.</w:t>
            </w:r>
          </w:p>
          <w:p w:rsidR="009C6A81" w:rsidRDefault="009C6A81">
            <w:pPr>
              <w:rPr>
                <w:sz w:val="20"/>
                <w:szCs w:val="20"/>
              </w:rPr>
            </w:pPr>
          </w:p>
          <w:p w:rsidR="009C6A81" w:rsidRDefault="00ED5651">
            <w:pPr>
              <w:rPr>
                <w:sz w:val="20"/>
                <w:szCs w:val="20"/>
              </w:rPr>
            </w:pPr>
            <w:r>
              <w:rPr>
                <w:sz w:val="20"/>
                <w:szCs w:val="20"/>
              </w:rPr>
              <w:t>This statement is deemed to satisfy the following EtD criteria:</w:t>
            </w:r>
          </w:p>
          <w:p w:rsidR="009C6A81" w:rsidRDefault="00ED5651">
            <w:pPr>
              <w:numPr>
                <w:ilvl w:val="0"/>
                <w:numId w:val="118"/>
              </w:numPr>
              <w:rPr>
                <w:sz w:val="20"/>
                <w:szCs w:val="20"/>
              </w:rPr>
            </w:pPr>
            <w:r>
              <w:rPr>
                <w:b/>
                <w:sz w:val="20"/>
                <w:szCs w:val="20"/>
              </w:rPr>
              <w:t>Importance of the problem</w:t>
            </w:r>
            <w:r>
              <w:rPr>
                <w:sz w:val="20"/>
                <w:szCs w:val="20"/>
              </w:rPr>
              <w:t>: The multidimensional complexity of obesity makes its assessment and management based solely on</w:t>
            </w:r>
            <w:r>
              <w:rPr>
                <w:sz w:val="20"/>
                <w:szCs w:val="20"/>
              </w:rPr>
              <w:t xml:space="preserve"> anthropometric indicators contribute to stigmatization and lead to ineffective treatment.</w:t>
            </w:r>
          </w:p>
          <w:p w:rsidR="009C6A81" w:rsidRDefault="00ED5651">
            <w:pPr>
              <w:numPr>
                <w:ilvl w:val="0"/>
                <w:numId w:val="118"/>
              </w:numPr>
              <w:rPr>
                <w:sz w:val="20"/>
                <w:szCs w:val="20"/>
              </w:rPr>
            </w:pPr>
            <w:r>
              <w:rPr>
                <w:b/>
                <w:sz w:val="20"/>
                <w:szCs w:val="20"/>
              </w:rPr>
              <w:t>Values:</w:t>
            </w:r>
            <w:r>
              <w:rPr>
                <w:sz w:val="20"/>
                <w:szCs w:val="20"/>
              </w:rPr>
              <w:t xml:space="preserve"> Most people with obesity probably attribute great importance on having an individualized and appropriate treatment plan once the causes of their disease, ris</w:t>
            </w:r>
            <w:r>
              <w:rPr>
                <w:sz w:val="20"/>
                <w:szCs w:val="20"/>
              </w:rPr>
              <w:t>k factors, contextual and cultural factors have been identified.</w:t>
            </w:r>
          </w:p>
          <w:p w:rsidR="009C6A81" w:rsidRDefault="00ED5651">
            <w:pPr>
              <w:numPr>
                <w:ilvl w:val="0"/>
                <w:numId w:val="118"/>
              </w:numPr>
              <w:rPr>
                <w:sz w:val="20"/>
                <w:szCs w:val="20"/>
              </w:rPr>
            </w:pPr>
            <w:r>
              <w:rPr>
                <w:b/>
                <w:sz w:val="20"/>
                <w:szCs w:val="20"/>
              </w:rPr>
              <w:t>Magnitude of resource requirements:</w:t>
            </w:r>
            <w:r>
              <w:rPr>
                <w:sz w:val="20"/>
                <w:szCs w:val="20"/>
              </w:rPr>
              <w:t xml:space="preserve"> Although there is no direct cost associated with the implementation of a correct medical history, the preparation and training of professionals to conduct </w:t>
            </w:r>
            <w:r>
              <w:rPr>
                <w:sz w:val="20"/>
                <w:szCs w:val="20"/>
              </w:rPr>
              <w:t>a correct approach to the patient may require additional resources of a small magnitude.</w:t>
            </w:r>
          </w:p>
          <w:p w:rsidR="009C6A81" w:rsidRDefault="00ED5651">
            <w:pPr>
              <w:numPr>
                <w:ilvl w:val="0"/>
                <w:numId w:val="118"/>
              </w:numPr>
              <w:rPr>
                <w:sz w:val="20"/>
                <w:szCs w:val="20"/>
              </w:rPr>
            </w:pPr>
            <w:r>
              <w:rPr>
                <w:b/>
                <w:sz w:val="20"/>
                <w:szCs w:val="20"/>
              </w:rPr>
              <w:lastRenderedPageBreak/>
              <w:t>Cost-effectiveness</w:t>
            </w:r>
            <w:r>
              <w:rPr>
                <w:sz w:val="20"/>
                <w:szCs w:val="20"/>
              </w:rPr>
              <w:t>: Although there may be an indirect cost associated with ensuring the availability of professionals qualified in the elaboration of a correct clinical history, it would reduce the cost of ineffective treatments and the expenses associated with complication</w:t>
            </w:r>
            <w:r>
              <w:rPr>
                <w:sz w:val="20"/>
                <w:szCs w:val="20"/>
              </w:rPr>
              <w:t xml:space="preserve">s due to inadequate management of obesity. </w:t>
            </w:r>
          </w:p>
          <w:p w:rsidR="009C6A81" w:rsidRDefault="00ED5651">
            <w:pPr>
              <w:numPr>
                <w:ilvl w:val="0"/>
                <w:numId w:val="118"/>
              </w:numPr>
              <w:rPr>
                <w:sz w:val="20"/>
                <w:szCs w:val="20"/>
              </w:rPr>
            </w:pPr>
            <w:r>
              <w:rPr>
                <w:b/>
                <w:sz w:val="20"/>
                <w:szCs w:val="20"/>
              </w:rPr>
              <w:t>Equity:</w:t>
            </w:r>
            <w:r>
              <w:rPr>
                <w:sz w:val="20"/>
                <w:szCs w:val="20"/>
              </w:rPr>
              <w:t xml:space="preserve"> An adequate clinical history will reduce health inequities, since better identification of the biopsychosocial components that may be present in certain vulnerable groups will facilitate access to treatme</w:t>
            </w:r>
            <w:r>
              <w:rPr>
                <w:sz w:val="20"/>
                <w:szCs w:val="20"/>
              </w:rPr>
              <w:t>nt and management of obesity.</w:t>
            </w:r>
          </w:p>
          <w:p w:rsidR="009C6A81" w:rsidRDefault="00ED5651">
            <w:pPr>
              <w:numPr>
                <w:ilvl w:val="0"/>
                <w:numId w:val="118"/>
              </w:numPr>
              <w:rPr>
                <w:sz w:val="20"/>
                <w:szCs w:val="20"/>
              </w:rPr>
            </w:pPr>
            <w:r>
              <w:rPr>
                <w:b/>
                <w:sz w:val="20"/>
                <w:szCs w:val="20"/>
              </w:rPr>
              <w:t>Acceptability:</w:t>
            </w:r>
            <w:r>
              <w:rPr>
                <w:sz w:val="20"/>
                <w:szCs w:val="20"/>
              </w:rPr>
              <w:t xml:space="preserve"> People with obesity are likely to find acceptable a proper clinical history that allows for an individualized treatment plan, improving adherence to treatment and motivation. It is likely that health professiona</w:t>
            </w:r>
            <w:r>
              <w:rPr>
                <w:sz w:val="20"/>
                <w:szCs w:val="20"/>
              </w:rPr>
              <w:t>ls would consider it acceptable, as it would help them to conduct the clinical interview in a better way, improving the patient-health professional relationship and optimizing the time required for the elaboration of a correct anamnesis and clinical histor</w:t>
            </w:r>
            <w:r>
              <w:rPr>
                <w:sz w:val="20"/>
                <w:szCs w:val="20"/>
              </w:rPr>
              <w:t>y.</w:t>
            </w:r>
          </w:p>
          <w:p w:rsidR="009C6A81" w:rsidRDefault="00ED5651">
            <w:pPr>
              <w:numPr>
                <w:ilvl w:val="0"/>
                <w:numId w:val="118"/>
              </w:numPr>
              <w:rPr>
                <w:sz w:val="20"/>
                <w:szCs w:val="20"/>
              </w:rPr>
            </w:pPr>
            <w:r>
              <w:rPr>
                <w:b/>
                <w:sz w:val="20"/>
                <w:szCs w:val="20"/>
              </w:rPr>
              <w:t>Factibility</w:t>
            </w:r>
            <w:r>
              <w:rPr>
                <w:sz w:val="20"/>
                <w:szCs w:val="20"/>
              </w:rPr>
              <w:t>:The implementation of this strategy is feasible as it is not complex and does not require a large amount of resources. Like any other chronic multifactorial disease, the required resources should be targeted for its adequate diagnosis and tr</w:t>
            </w:r>
            <w:r>
              <w:rPr>
                <w:sz w:val="20"/>
                <w:szCs w:val="20"/>
              </w:rPr>
              <w:t>eatment.</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92"/>
              </w:numPr>
              <w:jc w:val="left"/>
              <w:rPr>
                <w:sz w:val="20"/>
                <w:szCs w:val="20"/>
              </w:rPr>
            </w:pPr>
            <w:r>
              <w:rPr>
                <w:b/>
                <w:sz w:val="20"/>
                <w:szCs w:val="20"/>
              </w:rPr>
              <w:t>Yes</w:t>
            </w:r>
          </w:p>
          <w:p w:rsidR="009C6A81" w:rsidRDefault="00ED5651">
            <w:pPr>
              <w:numPr>
                <w:ilvl w:val="0"/>
                <w:numId w:val="92"/>
              </w:numPr>
              <w:jc w:val="left"/>
              <w:rPr>
                <w:color w:val="AEAAAA"/>
                <w:sz w:val="20"/>
                <w:szCs w:val="20"/>
              </w:rPr>
            </w:pPr>
            <w:r>
              <w:rPr>
                <w:color w:val="AEAAAA"/>
                <w:sz w:val="20"/>
                <w:szCs w:val="20"/>
              </w:rPr>
              <w:t>Probably yes</w:t>
            </w:r>
          </w:p>
          <w:p w:rsidR="009C6A81" w:rsidRDefault="00ED5651">
            <w:pPr>
              <w:numPr>
                <w:ilvl w:val="0"/>
                <w:numId w:val="92"/>
              </w:numPr>
              <w:jc w:val="left"/>
              <w:rPr>
                <w:color w:val="AEAAAA"/>
                <w:sz w:val="20"/>
                <w:szCs w:val="20"/>
              </w:rPr>
            </w:pPr>
            <w:r>
              <w:rPr>
                <w:color w:val="AEAAAA"/>
                <w:sz w:val="20"/>
                <w:szCs w:val="20"/>
              </w:rPr>
              <w:t>Probably not</w:t>
            </w:r>
          </w:p>
          <w:p w:rsidR="009C6A81" w:rsidRDefault="00ED5651">
            <w:pPr>
              <w:numPr>
                <w:ilvl w:val="0"/>
                <w:numId w:val="92"/>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 xml:space="preserve">The implementation of holistic approaches to medical history development has been used in the context of multifactorial chronic diseases. The different strategies used to deal with each pathology, the different ways or approaches to cover the same disease </w:t>
            </w:r>
            <w:r>
              <w:rPr>
                <w:sz w:val="20"/>
                <w:szCs w:val="20"/>
              </w:rPr>
              <w:t>make it difficult to obtain direct evidence.</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92"/>
              </w:numPr>
              <w:jc w:val="left"/>
              <w:rPr>
                <w:sz w:val="20"/>
                <w:szCs w:val="20"/>
              </w:rPr>
            </w:pPr>
            <w:r>
              <w:rPr>
                <w:b/>
                <w:sz w:val="20"/>
                <w:szCs w:val="20"/>
              </w:rPr>
              <w:t>Yes</w:t>
            </w:r>
          </w:p>
          <w:p w:rsidR="009C6A81" w:rsidRDefault="00ED5651">
            <w:pPr>
              <w:numPr>
                <w:ilvl w:val="0"/>
                <w:numId w:val="92"/>
              </w:numPr>
              <w:jc w:val="left"/>
              <w:rPr>
                <w:color w:val="AEAAAA"/>
                <w:sz w:val="20"/>
                <w:szCs w:val="20"/>
              </w:rPr>
            </w:pPr>
            <w:r>
              <w:rPr>
                <w:color w:val="AEAAAA"/>
                <w:sz w:val="20"/>
                <w:szCs w:val="20"/>
              </w:rPr>
              <w:t>Probably yes</w:t>
            </w:r>
          </w:p>
          <w:p w:rsidR="009C6A81" w:rsidRDefault="00ED5651">
            <w:pPr>
              <w:numPr>
                <w:ilvl w:val="0"/>
                <w:numId w:val="92"/>
              </w:numPr>
              <w:jc w:val="left"/>
              <w:rPr>
                <w:color w:val="AEAAAA"/>
                <w:sz w:val="20"/>
                <w:szCs w:val="20"/>
              </w:rPr>
            </w:pPr>
            <w:r>
              <w:rPr>
                <w:color w:val="AEAAAA"/>
                <w:sz w:val="20"/>
                <w:szCs w:val="20"/>
              </w:rPr>
              <w:t>Probably not</w:t>
            </w:r>
          </w:p>
          <w:p w:rsidR="009C6A81" w:rsidRDefault="00ED5651">
            <w:pPr>
              <w:numPr>
                <w:ilvl w:val="0"/>
                <w:numId w:val="92"/>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Indirect evidence obtained from the Canadian clinical practice guideline (1) was identified to support this good practice statement. It reported that obesity has been associated with mental health disorders such as depression and anxiety, as well as substa</w:t>
            </w:r>
            <w:r>
              <w:rPr>
                <w:sz w:val="20"/>
                <w:szCs w:val="20"/>
              </w:rPr>
              <w:t>nce abuse and addiction. It has also been associated with the consumption of certain medications, metabolic disorders, economic situation, educational level, among others. According to the European guidelines (2), the assessment should be exhaustive, consi</w:t>
            </w:r>
            <w:r>
              <w:rPr>
                <w:sz w:val="20"/>
                <w:szCs w:val="20"/>
              </w:rPr>
              <w:t>dering the expectations and motivations of individuals, as well as external factors that may be barriers or facilitators, changes during the life course of individuals (both in body weight, previous treatments, behavioral factors such as occupation or leve</w:t>
            </w:r>
            <w:r>
              <w:rPr>
                <w:sz w:val="20"/>
                <w:szCs w:val="20"/>
              </w:rPr>
              <w:t>l of physical activity), among others.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92"/>
              </w:numPr>
              <w:jc w:val="left"/>
              <w:rPr>
                <w:sz w:val="20"/>
                <w:szCs w:val="20"/>
              </w:rPr>
            </w:pPr>
            <w:r>
              <w:rPr>
                <w:b/>
                <w:sz w:val="20"/>
                <w:szCs w:val="20"/>
              </w:rPr>
              <w:t>Yes</w:t>
            </w:r>
          </w:p>
          <w:p w:rsidR="009C6A81" w:rsidRDefault="00ED5651">
            <w:pPr>
              <w:numPr>
                <w:ilvl w:val="0"/>
                <w:numId w:val="92"/>
              </w:numPr>
              <w:jc w:val="left"/>
              <w:rPr>
                <w:color w:val="AEAAAA"/>
                <w:sz w:val="20"/>
                <w:szCs w:val="20"/>
              </w:rPr>
            </w:pPr>
            <w:r>
              <w:rPr>
                <w:color w:val="AEAAAA"/>
                <w:sz w:val="20"/>
                <w:szCs w:val="20"/>
              </w:rPr>
              <w:t>Probably yes</w:t>
            </w:r>
          </w:p>
          <w:p w:rsidR="009C6A81" w:rsidRDefault="00ED5651">
            <w:pPr>
              <w:numPr>
                <w:ilvl w:val="0"/>
                <w:numId w:val="92"/>
              </w:numPr>
              <w:jc w:val="left"/>
              <w:rPr>
                <w:color w:val="AEAAAA"/>
                <w:sz w:val="20"/>
                <w:szCs w:val="20"/>
              </w:rPr>
            </w:pPr>
            <w:r>
              <w:rPr>
                <w:color w:val="AEAAAA"/>
                <w:sz w:val="20"/>
                <w:szCs w:val="20"/>
              </w:rPr>
              <w:t>Probably not</w:t>
            </w:r>
          </w:p>
          <w:p w:rsidR="009C6A81" w:rsidRDefault="00ED5651">
            <w:pPr>
              <w:numPr>
                <w:ilvl w:val="0"/>
                <w:numId w:val="92"/>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This statement establishes a clear course of action (taking a comprehensive medical history in order to identify the main causes of weight</w:t>
            </w:r>
            <w:r>
              <w:rPr>
                <w:sz w:val="20"/>
                <w:szCs w:val="20"/>
              </w:rPr>
              <w:t xml:space="preserve"> gain) in a specific population (overweight or obese individuals).</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71"/>
              </w:numPr>
              <w:tabs>
                <w:tab w:val="left" w:pos="142"/>
              </w:tabs>
              <w:spacing w:line="276" w:lineRule="auto"/>
              <w:rPr>
                <w:sz w:val="18"/>
                <w:szCs w:val="18"/>
              </w:rPr>
            </w:pPr>
            <w:r>
              <w:rPr>
                <w:sz w:val="18"/>
                <w:szCs w:val="18"/>
              </w:rPr>
              <w:t xml:space="preserve">Rueda-Clausen CF, Poddar M, Lear SA, Poirier P, Sharma AM. Canadian Adult Obesity Clinical Practice Guidelines: Assessment of People Living with Obesity. Available from: </w:t>
            </w:r>
            <w:hyperlink r:id="rId35">
              <w:r>
                <w:rPr>
                  <w:color w:val="1155CC"/>
                  <w:sz w:val="18"/>
                  <w:szCs w:val="18"/>
                  <w:u w:val="single"/>
                </w:rPr>
                <w:t>https://obesitycanada.ca/guidelines/assessment</w:t>
              </w:r>
            </w:hyperlink>
            <w:r>
              <w:rPr>
                <w:sz w:val="18"/>
                <w:szCs w:val="18"/>
              </w:rPr>
              <w:t>.</w:t>
            </w:r>
          </w:p>
          <w:p w:rsidR="009C6A81" w:rsidRDefault="00ED5651">
            <w:pPr>
              <w:numPr>
                <w:ilvl w:val="0"/>
                <w:numId w:val="71"/>
              </w:numPr>
              <w:tabs>
                <w:tab w:val="left" w:pos="142"/>
              </w:tabs>
              <w:spacing w:line="276" w:lineRule="auto"/>
              <w:rPr>
                <w:sz w:val="18"/>
                <w:szCs w:val="18"/>
              </w:rPr>
            </w:pPr>
            <w:r>
              <w:rPr>
                <w:sz w:val="18"/>
                <w:szCs w:val="18"/>
              </w:rPr>
              <w:t>Yumuk V, Tsigos C, Fried M, et al. European Guidelines for Obesity Management in Adults [published correction appears in Obes Facts. 2016;9(1):6</w:t>
            </w:r>
            <w:r>
              <w:rPr>
                <w:sz w:val="18"/>
                <w:szCs w:val="18"/>
              </w:rPr>
              <w:t xml:space="preserve">4. doi: 10.1159/000444869]. Obes Facts. 2015;8(6):402-424. doi:10.1159/000442721 </w:t>
            </w:r>
          </w:p>
        </w:tc>
      </w:tr>
    </w:tbl>
    <w:p w:rsidR="009C6A81" w:rsidRDefault="009C6A81">
      <w:pPr>
        <w:ind w:left="-990"/>
      </w:pPr>
    </w:p>
    <w:p w:rsidR="009C6A81" w:rsidRDefault="009C6A81">
      <w:pPr>
        <w:ind w:hanging="990"/>
      </w:pPr>
    </w:p>
    <w:p w:rsidR="009C6A81" w:rsidRDefault="00ED5651">
      <w:pPr>
        <w:pStyle w:val="Ttulo6"/>
        <w:ind w:hanging="990"/>
      </w:pPr>
      <w:bookmarkStart w:id="59" w:name="_33zd5kd" w:colFirst="0" w:colLast="0"/>
      <w:bookmarkEnd w:id="59"/>
      <w:r>
        <w:t>Good practice statement 3. Healthcare professionals should assess and treat mechanical complications related to overweight or obesity, such as obstructive sleep apnea syndrome, osteoarthritis, gastroesophageal reflux disease, urinary incontinence, and plan</w:t>
      </w:r>
      <w:r>
        <w:t>tar fasciitis, which may coexist with other complications.</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1"/>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40"/>
              </w:numPr>
              <w:jc w:val="left"/>
              <w:rPr>
                <w:sz w:val="20"/>
                <w:szCs w:val="20"/>
              </w:rPr>
            </w:pPr>
            <w:r>
              <w:rPr>
                <w:b/>
                <w:sz w:val="20"/>
                <w:szCs w:val="20"/>
              </w:rPr>
              <w:t>Yes</w:t>
            </w:r>
          </w:p>
          <w:p w:rsidR="009C6A81" w:rsidRDefault="00ED5651">
            <w:pPr>
              <w:numPr>
                <w:ilvl w:val="0"/>
                <w:numId w:val="40"/>
              </w:numPr>
              <w:jc w:val="left"/>
              <w:rPr>
                <w:color w:val="AEAAAA"/>
                <w:sz w:val="20"/>
                <w:szCs w:val="20"/>
              </w:rPr>
            </w:pPr>
            <w:r>
              <w:rPr>
                <w:color w:val="AEAAAA"/>
                <w:sz w:val="20"/>
                <w:szCs w:val="20"/>
              </w:rPr>
              <w:t>Probably yes</w:t>
            </w:r>
          </w:p>
          <w:p w:rsidR="009C6A81" w:rsidRDefault="00ED5651">
            <w:pPr>
              <w:numPr>
                <w:ilvl w:val="0"/>
                <w:numId w:val="40"/>
              </w:numPr>
              <w:jc w:val="left"/>
              <w:rPr>
                <w:color w:val="AEAAAA"/>
                <w:sz w:val="20"/>
                <w:szCs w:val="20"/>
              </w:rPr>
            </w:pPr>
            <w:r>
              <w:rPr>
                <w:color w:val="AEAAAA"/>
                <w:sz w:val="20"/>
                <w:szCs w:val="20"/>
              </w:rPr>
              <w:t>Probably not</w:t>
            </w:r>
          </w:p>
          <w:p w:rsidR="009C6A81" w:rsidRDefault="00ED5651">
            <w:pPr>
              <w:numPr>
                <w:ilvl w:val="0"/>
                <w:numId w:val="40"/>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Are the Population and Inte</w:t>
            </w:r>
            <w:r>
              <w:rPr>
                <w:b/>
                <w:sz w:val="20"/>
                <w:szCs w:val="20"/>
              </w:rPr>
              <w:t>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40"/>
              </w:numPr>
              <w:jc w:val="left"/>
              <w:rPr>
                <w:sz w:val="20"/>
                <w:szCs w:val="20"/>
              </w:rPr>
            </w:pPr>
            <w:r>
              <w:rPr>
                <w:b/>
                <w:sz w:val="20"/>
                <w:szCs w:val="20"/>
              </w:rPr>
              <w:t>Yes</w:t>
            </w:r>
          </w:p>
          <w:p w:rsidR="009C6A81" w:rsidRDefault="00ED5651">
            <w:pPr>
              <w:numPr>
                <w:ilvl w:val="0"/>
                <w:numId w:val="40"/>
              </w:numPr>
              <w:jc w:val="left"/>
              <w:rPr>
                <w:color w:val="AEAAAA"/>
                <w:sz w:val="20"/>
                <w:szCs w:val="20"/>
              </w:rPr>
            </w:pPr>
            <w:r>
              <w:rPr>
                <w:color w:val="AEAAAA"/>
                <w:sz w:val="20"/>
                <w:szCs w:val="20"/>
              </w:rPr>
              <w:t>Probably yes</w:t>
            </w:r>
          </w:p>
          <w:p w:rsidR="009C6A81" w:rsidRDefault="00ED5651">
            <w:pPr>
              <w:numPr>
                <w:ilvl w:val="0"/>
                <w:numId w:val="40"/>
              </w:numPr>
              <w:jc w:val="left"/>
              <w:rPr>
                <w:color w:val="AEAAAA"/>
                <w:sz w:val="20"/>
                <w:szCs w:val="20"/>
              </w:rPr>
            </w:pPr>
            <w:r>
              <w:rPr>
                <w:color w:val="AEAAAA"/>
                <w:sz w:val="20"/>
                <w:szCs w:val="20"/>
              </w:rPr>
              <w:t>Probably not</w:t>
            </w:r>
          </w:p>
          <w:p w:rsidR="009C6A81" w:rsidRDefault="00ED5651">
            <w:pPr>
              <w:numPr>
                <w:ilvl w:val="0"/>
                <w:numId w:val="40"/>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36"/>
              </w:numPr>
              <w:rPr>
                <w:sz w:val="20"/>
                <w:szCs w:val="20"/>
              </w:rPr>
            </w:pPr>
            <w:r>
              <w:rPr>
                <w:b/>
                <w:sz w:val="20"/>
                <w:szCs w:val="20"/>
              </w:rPr>
              <w:t>Population</w:t>
            </w:r>
            <w:r>
              <w:rPr>
                <w:sz w:val="20"/>
                <w:szCs w:val="20"/>
              </w:rPr>
              <w:t>: people living with overweight or obesity.</w:t>
            </w:r>
          </w:p>
          <w:p w:rsidR="009C6A81" w:rsidRDefault="00ED5651">
            <w:pPr>
              <w:numPr>
                <w:ilvl w:val="0"/>
                <w:numId w:val="36"/>
              </w:numPr>
              <w:rPr>
                <w:sz w:val="20"/>
                <w:szCs w:val="20"/>
              </w:rPr>
            </w:pPr>
            <w:r>
              <w:rPr>
                <w:b/>
                <w:sz w:val="20"/>
                <w:szCs w:val="20"/>
              </w:rPr>
              <w:t>Intervention</w:t>
            </w:r>
            <w:r>
              <w:rPr>
                <w:sz w:val="20"/>
                <w:szCs w:val="20"/>
              </w:rPr>
              <w:t>: early treatment of mechanical complications related to excess weight.</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40"/>
              </w:numPr>
              <w:jc w:val="left"/>
              <w:rPr>
                <w:sz w:val="20"/>
                <w:szCs w:val="20"/>
              </w:rPr>
            </w:pPr>
            <w:r>
              <w:rPr>
                <w:b/>
                <w:sz w:val="20"/>
                <w:szCs w:val="20"/>
              </w:rPr>
              <w:t>Yes</w:t>
            </w:r>
          </w:p>
          <w:p w:rsidR="009C6A81" w:rsidRDefault="00ED5651">
            <w:pPr>
              <w:numPr>
                <w:ilvl w:val="0"/>
                <w:numId w:val="40"/>
              </w:numPr>
              <w:jc w:val="left"/>
              <w:rPr>
                <w:color w:val="AEAAAA"/>
                <w:sz w:val="20"/>
                <w:szCs w:val="20"/>
              </w:rPr>
            </w:pPr>
            <w:r>
              <w:rPr>
                <w:color w:val="AEAAAA"/>
                <w:sz w:val="20"/>
                <w:szCs w:val="20"/>
              </w:rPr>
              <w:t>Probably yes</w:t>
            </w:r>
          </w:p>
          <w:p w:rsidR="009C6A81" w:rsidRDefault="00ED5651">
            <w:pPr>
              <w:numPr>
                <w:ilvl w:val="0"/>
                <w:numId w:val="40"/>
              </w:numPr>
              <w:jc w:val="left"/>
              <w:rPr>
                <w:color w:val="AEAAAA"/>
                <w:sz w:val="20"/>
                <w:szCs w:val="20"/>
              </w:rPr>
            </w:pPr>
            <w:r>
              <w:rPr>
                <w:color w:val="AEAAAA"/>
                <w:sz w:val="20"/>
                <w:szCs w:val="20"/>
              </w:rPr>
              <w:t>Probably not</w:t>
            </w:r>
          </w:p>
          <w:p w:rsidR="009C6A81" w:rsidRDefault="00ED5651">
            <w:pPr>
              <w:numPr>
                <w:ilvl w:val="0"/>
                <w:numId w:val="40"/>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Obesity is a multisystemic disease that increases the risk of developing other chronic non-communicable diseases. Its main mechanical complications are due to the collapse of pathways and organs resulting from the accumulation of fat tissue.</w:t>
            </w:r>
          </w:p>
          <w:p w:rsidR="009C6A81" w:rsidRDefault="00ED5651">
            <w:pPr>
              <w:rPr>
                <w:sz w:val="20"/>
                <w:szCs w:val="20"/>
              </w:rPr>
            </w:pPr>
            <w:r>
              <w:rPr>
                <w:sz w:val="20"/>
                <w:szCs w:val="20"/>
              </w:rPr>
              <w:t>It has been sh</w:t>
            </w:r>
            <w:r>
              <w:rPr>
                <w:sz w:val="20"/>
                <w:szCs w:val="20"/>
              </w:rPr>
              <w:t>own that obesity is the main risk factor for the development of obstructive sleep apnea (OSA), it increases the risk of developing knee osteoarthritis, the prevalence of gastroesophageal reflux increases with the prevalence of obesity, increased BMI and WC</w:t>
            </w:r>
            <w:r>
              <w:rPr>
                <w:sz w:val="20"/>
                <w:szCs w:val="20"/>
              </w:rPr>
              <w:t xml:space="preserve"> are risk factors for biliary disease, among other complications. This requires timely action by health professionals to avoid complications affecting overweight or obese individuals. </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106"/>
              </w:numPr>
              <w:jc w:val="left"/>
              <w:rPr>
                <w:sz w:val="20"/>
                <w:szCs w:val="20"/>
              </w:rPr>
            </w:pPr>
            <w:r>
              <w:rPr>
                <w:b/>
                <w:sz w:val="20"/>
                <w:szCs w:val="20"/>
              </w:rPr>
              <w:t>Yes</w:t>
            </w:r>
          </w:p>
          <w:p w:rsidR="009C6A81" w:rsidRDefault="00ED5651">
            <w:pPr>
              <w:numPr>
                <w:ilvl w:val="0"/>
                <w:numId w:val="106"/>
              </w:numPr>
              <w:jc w:val="left"/>
              <w:rPr>
                <w:color w:val="AEAAAA"/>
                <w:sz w:val="20"/>
                <w:szCs w:val="20"/>
              </w:rPr>
            </w:pPr>
            <w:r>
              <w:rPr>
                <w:color w:val="AEAAAA"/>
                <w:sz w:val="20"/>
                <w:szCs w:val="20"/>
              </w:rPr>
              <w:t>Probably yes</w:t>
            </w:r>
          </w:p>
          <w:p w:rsidR="009C6A81" w:rsidRDefault="00ED5651">
            <w:pPr>
              <w:numPr>
                <w:ilvl w:val="0"/>
                <w:numId w:val="106"/>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106"/>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44"/>
              </w:numPr>
              <w:jc w:val="left"/>
              <w:rPr>
                <w:sz w:val="20"/>
                <w:szCs w:val="20"/>
              </w:rPr>
            </w:pPr>
            <w:r>
              <w:rPr>
                <w:color w:val="AEAAAA"/>
                <w:sz w:val="20"/>
                <w:szCs w:val="20"/>
              </w:rPr>
              <w:t>Importance of the problem.</w:t>
            </w:r>
          </w:p>
          <w:p w:rsidR="009C6A81" w:rsidRDefault="00ED5651">
            <w:pPr>
              <w:numPr>
                <w:ilvl w:val="0"/>
                <w:numId w:val="44"/>
              </w:numPr>
              <w:jc w:val="left"/>
              <w:rPr>
                <w:color w:val="AEAAAA"/>
                <w:sz w:val="20"/>
                <w:szCs w:val="20"/>
              </w:rPr>
            </w:pPr>
            <w:r>
              <w:rPr>
                <w:color w:val="AEAAAA"/>
                <w:sz w:val="20"/>
                <w:szCs w:val="20"/>
              </w:rPr>
              <w:t>Certainty of evidence.</w:t>
            </w:r>
          </w:p>
          <w:p w:rsidR="009C6A81" w:rsidRDefault="00ED5651">
            <w:pPr>
              <w:numPr>
                <w:ilvl w:val="0"/>
                <w:numId w:val="44"/>
              </w:numPr>
              <w:jc w:val="left"/>
              <w:rPr>
                <w:sz w:val="20"/>
                <w:szCs w:val="20"/>
              </w:rPr>
            </w:pPr>
            <w:r>
              <w:rPr>
                <w:sz w:val="20"/>
                <w:szCs w:val="20"/>
              </w:rPr>
              <w:t>Values.</w:t>
            </w:r>
          </w:p>
          <w:p w:rsidR="009C6A81" w:rsidRDefault="00ED5651">
            <w:pPr>
              <w:numPr>
                <w:ilvl w:val="0"/>
                <w:numId w:val="44"/>
              </w:numPr>
              <w:jc w:val="left"/>
              <w:rPr>
                <w:sz w:val="20"/>
                <w:szCs w:val="20"/>
              </w:rPr>
            </w:pPr>
            <w:r>
              <w:rPr>
                <w:sz w:val="20"/>
                <w:szCs w:val="20"/>
              </w:rPr>
              <w:t>Magnitude of resource requirements.</w:t>
            </w:r>
          </w:p>
          <w:p w:rsidR="009C6A81" w:rsidRDefault="00ED5651">
            <w:pPr>
              <w:numPr>
                <w:ilvl w:val="0"/>
                <w:numId w:val="44"/>
              </w:numPr>
              <w:jc w:val="left"/>
              <w:rPr>
                <w:color w:val="AEAAAA"/>
                <w:sz w:val="20"/>
                <w:szCs w:val="20"/>
              </w:rPr>
            </w:pPr>
            <w:r>
              <w:rPr>
                <w:color w:val="AEAAAA"/>
                <w:sz w:val="20"/>
                <w:szCs w:val="20"/>
              </w:rPr>
              <w:t>Certainty of evidence or resource use.</w:t>
            </w:r>
          </w:p>
          <w:p w:rsidR="009C6A81" w:rsidRDefault="00ED5651">
            <w:pPr>
              <w:numPr>
                <w:ilvl w:val="0"/>
                <w:numId w:val="44"/>
              </w:numPr>
              <w:jc w:val="left"/>
              <w:rPr>
                <w:sz w:val="20"/>
                <w:szCs w:val="20"/>
              </w:rPr>
            </w:pPr>
            <w:r>
              <w:rPr>
                <w:sz w:val="20"/>
                <w:szCs w:val="20"/>
              </w:rPr>
              <w:t>Cost-effectiveness.</w:t>
            </w:r>
          </w:p>
          <w:p w:rsidR="009C6A81" w:rsidRDefault="00ED5651">
            <w:pPr>
              <w:numPr>
                <w:ilvl w:val="0"/>
                <w:numId w:val="44"/>
              </w:numPr>
              <w:jc w:val="left"/>
              <w:rPr>
                <w:sz w:val="20"/>
                <w:szCs w:val="20"/>
              </w:rPr>
            </w:pPr>
            <w:r>
              <w:rPr>
                <w:sz w:val="20"/>
                <w:szCs w:val="20"/>
              </w:rPr>
              <w:t>Equity.</w:t>
            </w:r>
          </w:p>
          <w:p w:rsidR="009C6A81" w:rsidRDefault="00ED5651">
            <w:pPr>
              <w:numPr>
                <w:ilvl w:val="0"/>
                <w:numId w:val="44"/>
              </w:numPr>
              <w:jc w:val="left"/>
              <w:rPr>
                <w:sz w:val="20"/>
                <w:szCs w:val="20"/>
              </w:rPr>
            </w:pPr>
            <w:r>
              <w:rPr>
                <w:sz w:val="20"/>
                <w:szCs w:val="20"/>
              </w:rPr>
              <w:t>Acceptability.</w:t>
            </w:r>
          </w:p>
          <w:p w:rsidR="009C6A81" w:rsidRDefault="00ED5651">
            <w:pPr>
              <w:numPr>
                <w:ilvl w:val="0"/>
                <w:numId w:val="44"/>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experience of the panel, early management of mechanical complications associated with obesity would result in great benefit.</w:t>
            </w:r>
          </w:p>
          <w:p w:rsidR="009C6A81" w:rsidRDefault="009C6A81">
            <w:pPr>
              <w:jc w:val="left"/>
              <w:rPr>
                <w:sz w:val="20"/>
                <w:szCs w:val="20"/>
              </w:rPr>
            </w:pPr>
          </w:p>
          <w:p w:rsidR="009C6A81" w:rsidRDefault="00ED5651">
            <w:pPr>
              <w:jc w:val="left"/>
              <w:rPr>
                <w:sz w:val="20"/>
                <w:szCs w:val="20"/>
              </w:rPr>
            </w:pPr>
            <w:r>
              <w:rPr>
                <w:sz w:val="20"/>
                <w:szCs w:val="20"/>
              </w:rPr>
              <w:t>This statement is deemed to satisfy the following EtD criteria:</w:t>
            </w:r>
          </w:p>
          <w:p w:rsidR="009C6A81" w:rsidRDefault="00ED5651">
            <w:pPr>
              <w:numPr>
                <w:ilvl w:val="0"/>
                <w:numId w:val="26"/>
              </w:numPr>
              <w:rPr>
                <w:sz w:val="20"/>
                <w:szCs w:val="20"/>
              </w:rPr>
            </w:pPr>
            <w:r>
              <w:rPr>
                <w:b/>
                <w:sz w:val="20"/>
                <w:szCs w:val="20"/>
              </w:rPr>
              <w:t>Values:</w:t>
            </w:r>
            <w:r>
              <w:rPr>
                <w:sz w:val="20"/>
                <w:szCs w:val="20"/>
              </w:rPr>
              <w:t xml:space="preserve"> Complica</w:t>
            </w:r>
            <w:r>
              <w:rPr>
                <w:sz w:val="20"/>
                <w:szCs w:val="20"/>
              </w:rPr>
              <w:t>tions associated with obesity affect the quality of life of individuals. There is no reason to suspect variability in the importance given to the outcomes.</w:t>
            </w:r>
          </w:p>
          <w:p w:rsidR="009C6A81" w:rsidRDefault="00ED5651">
            <w:pPr>
              <w:numPr>
                <w:ilvl w:val="0"/>
                <w:numId w:val="26"/>
              </w:numPr>
              <w:rPr>
                <w:sz w:val="20"/>
                <w:szCs w:val="20"/>
              </w:rPr>
            </w:pPr>
            <w:r>
              <w:rPr>
                <w:b/>
                <w:sz w:val="20"/>
                <w:szCs w:val="20"/>
              </w:rPr>
              <w:t>Magnitude of resource requirements:</w:t>
            </w:r>
            <w:r>
              <w:rPr>
                <w:sz w:val="20"/>
                <w:szCs w:val="20"/>
              </w:rPr>
              <w:t xml:space="preserve"> The identification of mechanical complications of obesity has mi</w:t>
            </w:r>
            <w:r>
              <w:rPr>
                <w:sz w:val="20"/>
                <w:szCs w:val="20"/>
              </w:rPr>
              <w:t>nimal associated costs. Depending on the mechanical complication, treatment costs may vary.</w:t>
            </w:r>
          </w:p>
          <w:p w:rsidR="009C6A81" w:rsidRDefault="00ED5651">
            <w:pPr>
              <w:numPr>
                <w:ilvl w:val="0"/>
                <w:numId w:val="26"/>
              </w:numPr>
              <w:rPr>
                <w:sz w:val="20"/>
                <w:szCs w:val="20"/>
              </w:rPr>
            </w:pPr>
            <w:r>
              <w:rPr>
                <w:b/>
                <w:sz w:val="20"/>
                <w:szCs w:val="20"/>
              </w:rPr>
              <w:t xml:space="preserve">Cost-effectiveness: </w:t>
            </w:r>
            <w:r>
              <w:rPr>
                <w:sz w:val="20"/>
                <w:szCs w:val="20"/>
              </w:rPr>
              <w:t xml:space="preserve">Assessing complications associated with obesity has no costs, while timely </w:t>
            </w:r>
            <w:r>
              <w:rPr>
                <w:sz w:val="20"/>
                <w:szCs w:val="20"/>
              </w:rPr>
              <w:lastRenderedPageBreak/>
              <w:t xml:space="preserve">treatment could considerably decrease its associated costs. </w:t>
            </w:r>
          </w:p>
          <w:p w:rsidR="009C6A81" w:rsidRDefault="00ED5651">
            <w:pPr>
              <w:numPr>
                <w:ilvl w:val="0"/>
                <w:numId w:val="26"/>
              </w:numPr>
              <w:rPr>
                <w:sz w:val="20"/>
                <w:szCs w:val="20"/>
              </w:rPr>
            </w:pPr>
            <w:r>
              <w:rPr>
                <w:b/>
                <w:sz w:val="20"/>
                <w:szCs w:val="20"/>
              </w:rPr>
              <w:t xml:space="preserve">Equity: </w:t>
            </w:r>
            <w:r>
              <w:rPr>
                <w:sz w:val="20"/>
                <w:szCs w:val="20"/>
              </w:rPr>
              <w:t xml:space="preserve">Early identification and treatment of mechanical complications related to excess weight could increase health equity, favoring groups that would be at a disadvantage due to lower socioeconomic status or gender (women). </w:t>
            </w:r>
          </w:p>
          <w:p w:rsidR="009C6A81" w:rsidRDefault="00ED5651">
            <w:pPr>
              <w:numPr>
                <w:ilvl w:val="0"/>
                <w:numId w:val="26"/>
              </w:numPr>
              <w:rPr>
                <w:sz w:val="20"/>
                <w:szCs w:val="20"/>
              </w:rPr>
            </w:pPr>
            <w:r>
              <w:rPr>
                <w:b/>
                <w:sz w:val="20"/>
                <w:szCs w:val="20"/>
              </w:rPr>
              <w:t>Acceptability</w:t>
            </w:r>
            <w:r>
              <w:rPr>
                <w:sz w:val="20"/>
                <w:szCs w:val="20"/>
              </w:rPr>
              <w:t xml:space="preserve">: Early identification </w:t>
            </w:r>
            <w:r>
              <w:rPr>
                <w:sz w:val="20"/>
                <w:szCs w:val="20"/>
              </w:rPr>
              <w:t>and treatment of these complications would be acceptable to all key parties, as it would permit early action on the symptoms associated with reflux, daytime sleepiness, biliary colic pain, joint pain, and thus improve overall quality of life.</w:t>
            </w:r>
          </w:p>
          <w:p w:rsidR="009C6A81" w:rsidRDefault="00ED5651">
            <w:pPr>
              <w:numPr>
                <w:ilvl w:val="0"/>
                <w:numId w:val="26"/>
              </w:numPr>
              <w:rPr>
                <w:sz w:val="20"/>
                <w:szCs w:val="20"/>
              </w:rPr>
            </w:pPr>
            <w:r>
              <w:rPr>
                <w:b/>
                <w:sz w:val="20"/>
                <w:szCs w:val="20"/>
              </w:rPr>
              <w:t>Factibility:</w:t>
            </w:r>
            <w:r>
              <w:rPr>
                <w:sz w:val="20"/>
                <w:szCs w:val="20"/>
              </w:rPr>
              <w:t xml:space="preserve"> </w:t>
            </w:r>
            <w:r>
              <w:rPr>
                <w:sz w:val="20"/>
                <w:szCs w:val="20"/>
              </w:rPr>
              <w:t xml:space="preserve">It would probably be feasible to identify and treat mechanical complications associated with excess weight at an early stage. Factors affecting implementation such as timeliness of access to treatment should be considered. </w:t>
            </w:r>
          </w:p>
          <w:p w:rsidR="009C6A81" w:rsidRDefault="009C6A81">
            <w:pPr>
              <w:jc w:val="left"/>
              <w:rPr>
                <w:sz w:val="20"/>
                <w:szCs w:val="20"/>
              </w:rPr>
            </w:pP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40"/>
              </w:numPr>
              <w:jc w:val="left"/>
              <w:rPr>
                <w:sz w:val="20"/>
                <w:szCs w:val="20"/>
              </w:rPr>
            </w:pPr>
            <w:r>
              <w:rPr>
                <w:b/>
                <w:sz w:val="20"/>
                <w:szCs w:val="20"/>
              </w:rPr>
              <w:t>Yes</w:t>
            </w:r>
          </w:p>
          <w:p w:rsidR="009C6A81" w:rsidRDefault="00ED5651">
            <w:pPr>
              <w:numPr>
                <w:ilvl w:val="0"/>
                <w:numId w:val="40"/>
              </w:numPr>
              <w:jc w:val="left"/>
              <w:rPr>
                <w:color w:val="AEAAAA"/>
                <w:sz w:val="20"/>
                <w:szCs w:val="20"/>
              </w:rPr>
            </w:pPr>
            <w:r>
              <w:rPr>
                <w:color w:val="AEAAAA"/>
                <w:sz w:val="20"/>
                <w:szCs w:val="20"/>
              </w:rPr>
              <w:t>Probably yes</w:t>
            </w:r>
          </w:p>
          <w:p w:rsidR="009C6A81" w:rsidRDefault="00ED5651">
            <w:pPr>
              <w:numPr>
                <w:ilvl w:val="0"/>
                <w:numId w:val="40"/>
              </w:numPr>
              <w:jc w:val="left"/>
              <w:rPr>
                <w:color w:val="AEAAAA"/>
                <w:sz w:val="20"/>
                <w:szCs w:val="20"/>
              </w:rPr>
            </w:pPr>
            <w:r>
              <w:rPr>
                <w:color w:val="AEAAAA"/>
                <w:sz w:val="20"/>
                <w:szCs w:val="20"/>
              </w:rPr>
              <w:t>Probably not</w:t>
            </w:r>
          </w:p>
          <w:p w:rsidR="009C6A81" w:rsidRDefault="00ED5651">
            <w:pPr>
              <w:numPr>
                <w:ilvl w:val="0"/>
                <w:numId w:val="40"/>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Identifying, reporting and treating complications associated with any pathology in early stages is a standard of clinical care. Failure to fulfill this obligation would go against both the reason and ethics of medical practice. This is why collecting, summ</w:t>
            </w:r>
            <w:r>
              <w:rPr>
                <w:sz w:val="20"/>
                <w:szCs w:val="20"/>
              </w:rPr>
              <w:t>arizing and formally discussing evidence would not constitute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40"/>
              </w:numPr>
              <w:jc w:val="left"/>
              <w:rPr>
                <w:sz w:val="20"/>
                <w:szCs w:val="20"/>
              </w:rPr>
            </w:pPr>
            <w:r>
              <w:rPr>
                <w:b/>
                <w:sz w:val="20"/>
                <w:szCs w:val="20"/>
              </w:rPr>
              <w:t>Yes</w:t>
            </w:r>
          </w:p>
          <w:p w:rsidR="009C6A81" w:rsidRDefault="00ED5651">
            <w:pPr>
              <w:numPr>
                <w:ilvl w:val="0"/>
                <w:numId w:val="40"/>
              </w:numPr>
              <w:jc w:val="left"/>
              <w:rPr>
                <w:color w:val="AEAAAA"/>
                <w:sz w:val="20"/>
                <w:szCs w:val="20"/>
              </w:rPr>
            </w:pPr>
            <w:r>
              <w:rPr>
                <w:color w:val="AEAAAA"/>
                <w:sz w:val="20"/>
                <w:szCs w:val="20"/>
              </w:rPr>
              <w:t>Probably yes</w:t>
            </w:r>
          </w:p>
          <w:p w:rsidR="009C6A81" w:rsidRDefault="00ED5651">
            <w:pPr>
              <w:numPr>
                <w:ilvl w:val="0"/>
                <w:numId w:val="40"/>
              </w:numPr>
              <w:jc w:val="left"/>
              <w:rPr>
                <w:color w:val="AEAAAA"/>
                <w:sz w:val="20"/>
                <w:szCs w:val="20"/>
              </w:rPr>
            </w:pPr>
            <w:r>
              <w:rPr>
                <w:color w:val="AEAAAA"/>
                <w:sz w:val="20"/>
                <w:szCs w:val="20"/>
              </w:rPr>
              <w:t>Probably not</w:t>
            </w:r>
          </w:p>
          <w:p w:rsidR="009C6A81" w:rsidRDefault="00ED5651">
            <w:pPr>
              <w:numPr>
                <w:ilvl w:val="0"/>
                <w:numId w:val="40"/>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 xml:space="preserve">Indirect evidence from Canadian (1) and North American (2) clinical practice guidelines was identified to support this good practice statement. In these, it was found that obesity has been associated with increased risk of developing osteoarthritis, sleep </w:t>
            </w:r>
            <w:r>
              <w:rPr>
                <w:sz w:val="20"/>
                <w:szCs w:val="20"/>
              </w:rPr>
              <w:t>apnea, and gastroesophageal reflux disease.</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40"/>
              </w:numPr>
              <w:jc w:val="left"/>
              <w:rPr>
                <w:sz w:val="20"/>
                <w:szCs w:val="20"/>
              </w:rPr>
            </w:pPr>
            <w:r>
              <w:rPr>
                <w:b/>
                <w:sz w:val="20"/>
                <w:szCs w:val="20"/>
              </w:rPr>
              <w:t>Yes</w:t>
            </w:r>
          </w:p>
          <w:p w:rsidR="009C6A81" w:rsidRDefault="00ED5651">
            <w:pPr>
              <w:numPr>
                <w:ilvl w:val="0"/>
                <w:numId w:val="40"/>
              </w:numPr>
              <w:jc w:val="left"/>
              <w:rPr>
                <w:color w:val="AEAAAA"/>
                <w:sz w:val="20"/>
                <w:szCs w:val="20"/>
              </w:rPr>
            </w:pPr>
            <w:r>
              <w:rPr>
                <w:color w:val="AEAAAA"/>
                <w:sz w:val="20"/>
                <w:szCs w:val="20"/>
              </w:rPr>
              <w:t>Probably yes</w:t>
            </w:r>
          </w:p>
          <w:p w:rsidR="009C6A81" w:rsidRDefault="00ED5651">
            <w:pPr>
              <w:numPr>
                <w:ilvl w:val="0"/>
                <w:numId w:val="40"/>
              </w:numPr>
              <w:jc w:val="left"/>
              <w:rPr>
                <w:color w:val="AEAAAA"/>
                <w:sz w:val="20"/>
                <w:szCs w:val="20"/>
              </w:rPr>
            </w:pPr>
            <w:r>
              <w:rPr>
                <w:color w:val="AEAAAA"/>
                <w:sz w:val="20"/>
                <w:szCs w:val="20"/>
              </w:rPr>
              <w:lastRenderedPageBreak/>
              <w:t>Probably not</w:t>
            </w:r>
          </w:p>
          <w:p w:rsidR="009C6A81" w:rsidRDefault="00ED5651">
            <w:pPr>
              <w:numPr>
                <w:ilvl w:val="0"/>
                <w:numId w:val="40"/>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lastRenderedPageBreak/>
              <w:t xml:space="preserve">This statement establishes a clear course of action for health professionals: identify and </w:t>
            </w:r>
            <w:r>
              <w:rPr>
                <w:sz w:val="20"/>
                <w:szCs w:val="20"/>
              </w:rPr>
              <w:lastRenderedPageBreak/>
              <w:t xml:space="preserve">treat mechanical complications related to </w:t>
            </w:r>
            <w:r>
              <w:rPr>
                <w:sz w:val="20"/>
                <w:szCs w:val="20"/>
              </w:rPr>
              <w:t>excess weight at an early stage.</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108"/>
              </w:numPr>
              <w:tabs>
                <w:tab w:val="left" w:pos="142"/>
              </w:tabs>
              <w:spacing w:line="276" w:lineRule="auto"/>
              <w:rPr>
                <w:sz w:val="18"/>
                <w:szCs w:val="18"/>
              </w:rPr>
            </w:pPr>
            <w:r>
              <w:rPr>
                <w:sz w:val="18"/>
                <w:szCs w:val="18"/>
              </w:rPr>
              <w:lastRenderedPageBreak/>
              <w:t xml:space="preserve">Rueda-Clausen CF, Poddar M, Lear SA, Poirier P, Sharma AM. Canadian Adult Obesity Clinical Practice Guidelines: Assessment of People Living with Obesity. Available from: </w:t>
            </w:r>
            <w:hyperlink r:id="rId36">
              <w:r>
                <w:rPr>
                  <w:color w:val="1155CC"/>
                  <w:sz w:val="18"/>
                  <w:szCs w:val="18"/>
                  <w:u w:val="single"/>
                </w:rPr>
                <w:t>https://obesitycanada.ca/guidelines/assessment</w:t>
              </w:r>
            </w:hyperlink>
            <w:r>
              <w:rPr>
                <w:sz w:val="18"/>
                <w:szCs w:val="18"/>
              </w:rPr>
              <w:t>.</w:t>
            </w:r>
          </w:p>
          <w:p w:rsidR="009C6A81" w:rsidRDefault="00ED5651">
            <w:pPr>
              <w:numPr>
                <w:ilvl w:val="0"/>
                <w:numId w:val="108"/>
              </w:numPr>
              <w:tabs>
                <w:tab w:val="left" w:pos="142"/>
              </w:tabs>
              <w:spacing w:line="276" w:lineRule="auto"/>
              <w:rPr>
                <w:sz w:val="18"/>
                <w:szCs w:val="18"/>
              </w:rPr>
            </w:pPr>
            <w:r>
              <w:rPr>
                <w:sz w:val="18"/>
                <w:szCs w:val="18"/>
              </w:rPr>
              <w:t xml:space="preserve">Garvey WT, Mechanick JI, Brett EM, et al. AMERICAN ASSOCIATION OF CLINICAL ENDOCRINOLOGISTS AND AMERICAN COLLEGE OF ENDOCRINOLOGY COMPREHENSIVE </w:t>
            </w:r>
            <w:r>
              <w:rPr>
                <w:sz w:val="18"/>
                <w:szCs w:val="18"/>
              </w:rPr>
              <w:t xml:space="preserve">CLINICAL PRACTICE GUIDELINES FOR MEDICAL CARE OF PATIENTS WITH OBESITY. Endocr Pract. 2016;22 Suppl 3:1-203. doi:10.4158/EP161365.GL </w:t>
            </w:r>
          </w:p>
        </w:tc>
      </w:tr>
    </w:tbl>
    <w:p w:rsidR="009C6A81" w:rsidRDefault="009C6A81">
      <w:pPr>
        <w:ind w:left="-990"/>
      </w:pPr>
    </w:p>
    <w:p w:rsidR="009C6A81" w:rsidRDefault="009C6A81">
      <w:pPr>
        <w:ind w:hanging="990"/>
      </w:pPr>
    </w:p>
    <w:p w:rsidR="009C6A81" w:rsidRDefault="00ED5651">
      <w:pPr>
        <w:pStyle w:val="Ttulo6"/>
        <w:ind w:hanging="990"/>
      </w:pPr>
      <w:bookmarkStart w:id="60" w:name="_1j4nfs6" w:colFirst="0" w:colLast="0"/>
      <w:bookmarkEnd w:id="60"/>
      <w:r>
        <w:t>Good practice statement 4. Healthcare professionals should assess and treat cardiometabolic complications related to overweight or obesity, such as insulin resistance, prediabetes, type 2 diabetes , dyslipidemia, metabolic syndrome, metabolic dysfunction-a</w:t>
      </w:r>
      <w:r>
        <w:t>ssociated fatty liver disease [MAFLD], hypertension, and cardiovascular and cerebrovascular diseases.</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2"/>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w:t>
            </w:r>
            <w:r>
              <w:rPr>
                <w:b/>
                <w:color w:val="FFFFFF"/>
                <w:sz w:val="20"/>
                <w:szCs w:val="20"/>
              </w:rPr>
              <w:t>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100"/>
              </w:numPr>
              <w:jc w:val="left"/>
              <w:rPr>
                <w:sz w:val="20"/>
                <w:szCs w:val="20"/>
              </w:rPr>
            </w:pPr>
            <w:r>
              <w:rPr>
                <w:b/>
                <w:sz w:val="20"/>
                <w:szCs w:val="20"/>
              </w:rPr>
              <w:t>Yes</w:t>
            </w:r>
          </w:p>
          <w:p w:rsidR="009C6A81" w:rsidRDefault="00ED5651">
            <w:pPr>
              <w:numPr>
                <w:ilvl w:val="0"/>
                <w:numId w:val="100"/>
              </w:numPr>
              <w:jc w:val="left"/>
              <w:rPr>
                <w:color w:val="AEAAAA"/>
                <w:sz w:val="20"/>
                <w:szCs w:val="20"/>
              </w:rPr>
            </w:pPr>
            <w:r>
              <w:rPr>
                <w:color w:val="AEAAAA"/>
                <w:sz w:val="20"/>
                <w:szCs w:val="20"/>
              </w:rPr>
              <w:t>Probably yes</w:t>
            </w:r>
          </w:p>
          <w:p w:rsidR="009C6A81" w:rsidRDefault="00ED5651">
            <w:pPr>
              <w:numPr>
                <w:ilvl w:val="0"/>
                <w:numId w:val="100"/>
              </w:numPr>
              <w:jc w:val="left"/>
              <w:rPr>
                <w:color w:val="AEAAAA"/>
                <w:sz w:val="20"/>
                <w:szCs w:val="20"/>
              </w:rPr>
            </w:pPr>
            <w:r>
              <w:rPr>
                <w:color w:val="AEAAAA"/>
                <w:sz w:val="20"/>
                <w:szCs w:val="20"/>
              </w:rPr>
              <w:t>Probably not</w:t>
            </w:r>
          </w:p>
          <w:p w:rsidR="009C6A81" w:rsidRDefault="00ED5651">
            <w:pPr>
              <w:numPr>
                <w:ilvl w:val="0"/>
                <w:numId w:val="100"/>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100"/>
              </w:numPr>
              <w:jc w:val="left"/>
              <w:rPr>
                <w:sz w:val="20"/>
                <w:szCs w:val="20"/>
              </w:rPr>
            </w:pPr>
            <w:r>
              <w:rPr>
                <w:b/>
                <w:sz w:val="20"/>
                <w:szCs w:val="20"/>
              </w:rPr>
              <w:t>Yes</w:t>
            </w:r>
          </w:p>
          <w:p w:rsidR="009C6A81" w:rsidRDefault="00ED5651">
            <w:pPr>
              <w:numPr>
                <w:ilvl w:val="0"/>
                <w:numId w:val="100"/>
              </w:numPr>
              <w:jc w:val="left"/>
              <w:rPr>
                <w:color w:val="AEAAAA"/>
                <w:sz w:val="20"/>
                <w:szCs w:val="20"/>
              </w:rPr>
            </w:pPr>
            <w:r>
              <w:rPr>
                <w:color w:val="AEAAAA"/>
                <w:sz w:val="20"/>
                <w:szCs w:val="20"/>
              </w:rPr>
              <w:t>Probably yes</w:t>
            </w:r>
          </w:p>
          <w:p w:rsidR="009C6A81" w:rsidRDefault="00ED5651">
            <w:pPr>
              <w:numPr>
                <w:ilvl w:val="0"/>
                <w:numId w:val="100"/>
              </w:numPr>
              <w:jc w:val="left"/>
              <w:rPr>
                <w:color w:val="AEAAAA"/>
                <w:sz w:val="20"/>
                <w:szCs w:val="20"/>
              </w:rPr>
            </w:pPr>
            <w:r>
              <w:rPr>
                <w:color w:val="AEAAAA"/>
                <w:sz w:val="20"/>
                <w:szCs w:val="20"/>
              </w:rPr>
              <w:t>Probably not</w:t>
            </w:r>
          </w:p>
          <w:p w:rsidR="009C6A81" w:rsidRDefault="00ED5651">
            <w:pPr>
              <w:numPr>
                <w:ilvl w:val="0"/>
                <w:numId w:val="100"/>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21"/>
              </w:numPr>
              <w:rPr>
                <w:sz w:val="20"/>
                <w:szCs w:val="20"/>
              </w:rPr>
            </w:pPr>
            <w:r>
              <w:rPr>
                <w:b/>
                <w:sz w:val="20"/>
                <w:szCs w:val="20"/>
              </w:rPr>
              <w:t>Population</w:t>
            </w:r>
            <w:r>
              <w:rPr>
                <w:sz w:val="20"/>
                <w:szCs w:val="20"/>
              </w:rPr>
              <w:t>: people living with overweight or obesity.</w:t>
            </w:r>
          </w:p>
          <w:p w:rsidR="009C6A81" w:rsidRDefault="00ED5651">
            <w:pPr>
              <w:numPr>
                <w:ilvl w:val="0"/>
                <w:numId w:val="21"/>
              </w:numPr>
              <w:rPr>
                <w:sz w:val="20"/>
                <w:szCs w:val="20"/>
              </w:rPr>
            </w:pPr>
            <w:r>
              <w:rPr>
                <w:b/>
                <w:sz w:val="20"/>
                <w:szCs w:val="20"/>
              </w:rPr>
              <w:t>Intervention</w:t>
            </w:r>
            <w:r>
              <w:rPr>
                <w:sz w:val="20"/>
                <w:szCs w:val="20"/>
              </w:rPr>
              <w:t>: early treatment of metabolic complications related to the excess of weight.</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100"/>
              </w:numPr>
              <w:jc w:val="left"/>
              <w:rPr>
                <w:sz w:val="20"/>
                <w:szCs w:val="20"/>
              </w:rPr>
            </w:pPr>
            <w:r>
              <w:rPr>
                <w:b/>
                <w:sz w:val="20"/>
                <w:szCs w:val="20"/>
              </w:rPr>
              <w:t>Yes</w:t>
            </w:r>
          </w:p>
          <w:p w:rsidR="009C6A81" w:rsidRDefault="00ED5651">
            <w:pPr>
              <w:numPr>
                <w:ilvl w:val="0"/>
                <w:numId w:val="100"/>
              </w:numPr>
              <w:jc w:val="left"/>
              <w:rPr>
                <w:color w:val="AEAAAA"/>
                <w:sz w:val="20"/>
                <w:szCs w:val="20"/>
              </w:rPr>
            </w:pPr>
            <w:r>
              <w:rPr>
                <w:color w:val="AEAAAA"/>
                <w:sz w:val="20"/>
                <w:szCs w:val="20"/>
              </w:rPr>
              <w:t>Probably yes</w:t>
            </w:r>
          </w:p>
          <w:p w:rsidR="009C6A81" w:rsidRDefault="00ED5651">
            <w:pPr>
              <w:numPr>
                <w:ilvl w:val="0"/>
                <w:numId w:val="100"/>
              </w:numPr>
              <w:jc w:val="left"/>
              <w:rPr>
                <w:color w:val="AEAAAA"/>
                <w:sz w:val="20"/>
                <w:szCs w:val="20"/>
              </w:rPr>
            </w:pPr>
            <w:r>
              <w:rPr>
                <w:color w:val="AEAAAA"/>
                <w:sz w:val="20"/>
                <w:szCs w:val="20"/>
              </w:rPr>
              <w:t>Probably not</w:t>
            </w:r>
          </w:p>
          <w:p w:rsidR="009C6A81" w:rsidRDefault="00ED5651">
            <w:pPr>
              <w:numPr>
                <w:ilvl w:val="0"/>
                <w:numId w:val="100"/>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Obesity is a multi-systemic disease that increases the risk of developing other chronic non-communicable diseases. Its main cardiometabolic complications arise from the role of adipose tissue in the releasing of proinflammator</w:t>
            </w:r>
            <w:r>
              <w:rPr>
                <w:sz w:val="20"/>
                <w:szCs w:val="20"/>
              </w:rPr>
              <w:t xml:space="preserve">y cytokines, the elevated presence of free fatty acids and ceramides, a chronic state of inflammation and endothelial dysfunction.  </w:t>
            </w:r>
          </w:p>
          <w:p w:rsidR="009C6A81" w:rsidRDefault="00ED5651">
            <w:pPr>
              <w:rPr>
                <w:sz w:val="20"/>
                <w:szCs w:val="20"/>
              </w:rPr>
            </w:pPr>
            <w:r>
              <w:rPr>
                <w:sz w:val="20"/>
                <w:szCs w:val="20"/>
              </w:rPr>
              <w:t>Timely clinical action is required to avoid such complications.</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lastRenderedPageBreak/>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110"/>
              </w:numPr>
              <w:jc w:val="left"/>
              <w:rPr>
                <w:sz w:val="20"/>
                <w:szCs w:val="20"/>
              </w:rPr>
            </w:pPr>
            <w:r>
              <w:rPr>
                <w:b/>
                <w:sz w:val="20"/>
                <w:szCs w:val="20"/>
              </w:rPr>
              <w:t>Yes</w:t>
            </w:r>
          </w:p>
          <w:p w:rsidR="009C6A81" w:rsidRDefault="00ED5651">
            <w:pPr>
              <w:numPr>
                <w:ilvl w:val="0"/>
                <w:numId w:val="110"/>
              </w:numPr>
              <w:jc w:val="left"/>
              <w:rPr>
                <w:color w:val="AEAAAA"/>
                <w:sz w:val="20"/>
                <w:szCs w:val="20"/>
              </w:rPr>
            </w:pPr>
            <w:r>
              <w:rPr>
                <w:color w:val="AEAAAA"/>
                <w:sz w:val="20"/>
                <w:szCs w:val="20"/>
              </w:rPr>
              <w:t>Probably yes</w:t>
            </w:r>
          </w:p>
          <w:p w:rsidR="009C6A81" w:rsidRDefault="00ED5651">
            <w:pPr>
              <w:numPr>
                <w:ilvl w:val="0"/>
                <w:numId w:val="110"/>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110"/>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69"/>
              </w:numPr>
              <w:jc w:val="left"/>
              <w:rPr>
                <w:sz w:val="20"/>
                <w:szCs w:val="20"/>
              </w:rPr>
            </w:pPr>
            <w:r>
              <w:rPr>
                <w:color w:val="AEAAAA"/>
                <w:sz w:val="20"/>
                <w:szCs w:val="20"/>
              </w:rPr>
              <w:t>Importance of the problem.</w:t>
            </w:r>
          </w:p>
          <w:p w:rsidR="009C6A81" w:rsidRDefault="00ED5651">
            <w:pPr>
              <w:numPr>
                <w:ilvl w:val="0"/>
                <w:numId w:val="69"/>
              </w:numPr>
              <w:jc w:val="left"/>
              <w:rPr>
                <w:color w:val="AEAAAA"/>
                <w:sz w:val="20"/>
                <w:szCs w:val="20"/>
              </w:rPr>
            </w:pPr>
            <w:r>
              <w:rPr>
                <w:color w:val="AEAAAA"/>
                <w:sz w:val="20"/>
                <w:szCs w:val="20"/>
              </w:rPr>
              <w:t>Certainty of evidence.</w:t>
            </w:r>
          </w:p>
          <w:p w:rsidR="009C6A81" w:rsidRDefault="00ED5651">
            <w:pPr>
              <w:numPr>
                <w:ilvl w:val="0"/>
                <w:numId w:val="69"/>
              </w:numPr>
              <w:jc w:val="left"/>
              <w:rPr>
                <w:sz w:val="20"/>
                <w:szCs w:val="20"/>
              </w:rPr>
            </w:pPr>
            <w:r>
              <w:rPr>
                <w:sz w:val="20"/>
                <w:szCs w:val="20"/>
              </w:rPr>
              <w:t>Values.</w:t>
            </w:r>
          </w:p>
          <w:p w:rsidR="009C6A81" w:rsidRDefault="00ED5651">
            <w:pPr>
              <w:numPr>
                <w:ilvl w:val="0"/>
                <w:numId w:val="69"/>
              </w:numPr>
              <w:jc w:val="left"/>
              <w:rPr>
                <w:sz w:val="20"/>
                <w:szCs w:val="20"/>
              </w:rPr>
            </w:pPr>
            <w:r>
              <w:rPr>
                <w:sz w:val="20"/>
                <w:szCs w:val="20"/>
              </w:rPr>
              <w:t>Magnitude of resource requirements.</w:t>
            </w:r>
          </w:p>
          <w:p w:rsidR="009C6A81" w:rsidRDefault="00ED5651">
            <w:pPr>
              <w:numPr>
                <w:ilvl w:val="0"/>
                <w:numId w:val="69"/>
              </w:numPr>
              <w:jc w:val="left"/>
              <w:rPr>
                <w:color w:val="AEAAAA"/>
                <w:sz w:val="20"/>
                <w:szCs w:val="20"/>
              </w:rPr>
            </w:pPr>
            <w:r>
              <w:rPr>
                <w:color w:val="AEAAAA"/>
                <w:sz w:val="20"/>
                <w:szCs w:val="20"/>
              </w:rPr>
              <w:t>Certainty of evidence or resource use.</w:t>
            </w:r>
          </w:p>
          <w:p w:rsidR="009C6A81" w:rsidRDefault="00ED5651">
            <w:pPr>
              <w:numPr>
                <w:ilvl w:val="0"/>
                <w:numId w:val="69"/>
              </w:numPr>
              <w:jc w:val="left"/>
              <w:rPr>
                <w:sz w:val="20"/>
                <w:szCs w:val="20"/>
              </w:rPr>
            </w:pPr>
            <w:r>
              <w:rPr>
                <w:sz w:val="20"/>
                <w:szCs w:val="20"/>
              </w:rPr>
              <w:t>Cost-effectiveness.</w:t>
            </w:r>
          </w:p>
          <w:p w:rsidR="009C6A81" w:rsidRDefault="00ED5651">
            <w:pPr>
              <w:numPr>
                <w:ilvl w:val="0"/>
                <w:numId w:val="69"/>
              </w:numPr>
              <w:jc w:val="left"/>
              <w:rPr>
                <w:sz w:val="20"/>
                <w:szCs w:val="20"/>
              </w:rPr>
            </w:pPr>
            <w:r>
              <w:rPr>
                <w:sz w:val="20"/>
                <w:szCs w:val="20"/>
              </w:rPr>
              <w:t>Equity.</w:t>
            </w:r>
          </w:p>
          <w:p w:rsidR="009C6A81" w:rsidRDefault="00ED5651">
            <w:pPr>
              <w:numPr>
                <w:ilvl w:val="0"/>
                <w:numId w:val="69"/>
              </w:numPr>
              <w:jc w:val="left"/>
              <w:rPr>
                <w:sz w:val="20"/>
                <w:szCs w:val="20"/>
              </w:rPr>
            </w:pPr>
            <w:r>
              <w:rPr>
                <w:sz w:val="20"/>
                <w:szCs w:val="20"/>
              </w:rPr>
              <w:t>Acceptability.</w:t>
            </w:r>
          </w:p>
          <w:p w:rsidR="009C6A81" w:rsidRDefault="00ED5651">
            <w:pPr>
              <w:numPr>
                <w:ilvl w:val="0"/>
                <w:numId w:val="69"/>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panel's experience, early management of obesity-associated metabolic complications would result in great benefit.</w:t>
            </w:r>
          </w:p>
          <w:p w:rsidR="009C6A81" w:rsidRDefault="00ED5651">
            <w:pPr>
              <w:jc w:val="left"/>
              <w:rPr>
                <w:sz w:val="20"/>
                <w:szCs w:val="20"/>
              </w:rPr>
            </w:pPr>
            <w:r>
              <w:rPr>
                <w:sz w:val="20"/>
                <w:szCs w:val="20"/>
              </w:rPr>
              <w:t xml:space="preserve"> </w:t>
            </w:r>
          </w:p>
          <w:p w:rsidR="009C6A81" w:rsidRDefault="00ED5651">
            <w:pPr>
              <w:jc w:val="left"/>
              <w:rPr>
                <w:sz w:val="20"/>
                <w:szCs w:val="20"/>
              </w:rPr>
            </w:pPr>
            <w:r>
              <w:rPr>
                <w:sz w:val="20"/>
                <w:szCs w:val="20"/>
              </w:rPr>
              <w:t>This statement is deemed to satisfy the following EtD criteria:</w:t>
            </w:r>
          </w:p>
          <w:p w:rsidR="009C6A81" w:rsidRDefault="00ED5651">
            <w:pPr>
              <w:numPr>
                <w:ilvl w:val="0"/>
                <w:numId w:val="119"/>
              </w:numPr>
              <w:rPr>
                <w:sz w:val="20"/>
                <w:szCs w:val="20"/>
              </w:rPr>
            </w:pPr>
            <w:r>
              <w:rPr>
                <w:b/>
                <w:sz w:val="20"/>
                <w:szCs w:val="20"/>
              </w:rPr>
              <w:t>Values</w:t>
            </w:r>
            <w:r>
              <w:rPr>
                <w:sz w:val="20"/>
                <w:szCs w:val="20"/>
              </w:rPr>
              <w:t>: Complications asso</w:t>
            </w:r>
            <w:r>
              <w:rPr>
                <w:sz w:val="20"/>
                <w:szCs w:val="20"/>
              </w:rPr>
              <w:t>ciated with obesity affect the quality of life of individuals. There is no reason to suspect variability in the importance assigned to the outcomes.</w:t>
            </w:r>
          </w:p>
          <w:p w:rsidR="009C6A81" w:rsidRDefault="00ED5651">
            <w:pPr>
              <w:numPr>
                <w:ilvl w:val="0"/>
                <w:numId w:val="119"/>
              </w:numPr>
              <w:rPr>
                <w:sz w:val="20"/>
                <w:szCs w:val="20"/>
              </w:rPr>
            </w:pPr>
            <w:r>
              <w:rPr>
                <w:b/>
                <w:sz w:val="20"/>
                <w:szCs w:val="20"/>
              </w:rPr>
              <w:t>Magnitude of resource requirements</w:t>
            </w:r>
            <w:r>
              <w:rPr>
                <w:sz w:val="20"/>
                <w:szCs w:val="20"/>
              </w:rPr>
              <w:t>: The identification of metabolic complications of obesity has minimal as</w:t>
            </w:r>
            <w:r>
              <w:rPr>
                <w:sz w:val="20"/>
                <w:szCs w:val="20"/>
              </w:rPr>
              <w:t>sociated costs. Depending on the metabolic complication, treatment costs may vary.</w:t>
            </w:r>
          </w:p>
          <w:p w:rsidR="009C6A81" w:rsidRDefault="00ED5651">
            <w:pPr>
              <w:numPr>
                <w:ilvl w:val="0"/>
                <w:numId w:val="119"/>
              </w:numPr>
              <w:rPr>
                <w:sz w:val="20"/>
                <w:szCs w:val="20"/>
              </w:rPr>
            </w:pPr>
            <w:r>
              <w:rPr>
                <w:b/>
                <w:sz w:val="20"/>
                <w:szCs w:val="20"/>
              </w:rPr>
              <w:t>Cost-effectiveness</w:t>
            </w:r>
            <w:r>
              <w:rPr>
                <w:sz w:val="20"/>
                <w:szCs w:val="20"/>
              </w:rPr>
              <w:t>: Evaluating complications associated with obesity has minimal costs, while opportune treatment could considerably decrease its associated costs.</w:t>
            </w:r>
          </w:p>
          <w:p w:rsidR="009C6A81" w:rsidRDefault="00ED5651">
            <w:pPr>
              <w:numPr>
                <w:ilvl w:val="0"/>
                <w:numId w:val="119"/>
              </w:numPr>
              <w:rPr>
                <w:sz w:val="20"/>
                <w:szCs w:val="20"/>
              </w:rPr>
            </w:pPr>
            <w:r>
              <w:rPr>
                <w:b/>
                <w:sz w:val="20"/>
                <w:szCs w:val="20"/>
              </w:rPr>
              <w:t>Equity:</w:t>
            </w:r>
            <w:r>
              <w:rPr>
                <w:sz w:val="20"/>
                <w:szCs w:val="20"/>
              </w:rPr>
              <w:t xml:space="preserve"> E</w:t>
            </w:r>
            <w:r>
              <w:rPr>
                <w:sz w:val="20"/>
                <w:szCs w:val="20"/>
              </w:rPr>
              <w:t>arly identification and treatment of metabolic complications related to excess weight could increase health equity, favoring groups that would be at a disadvantage due to lower socioeconomic status or gender (women).</w:t>
            </w:r>
          </w:p>
          <w:p w:rsidR="009C6A81" w:rsidRDefault="00ED5651">
            <w:pPr>
              <w:numPr>
                <w:ilvl w:val="0"/>
                <w:numId w:val="119"/>
              </w:numPr>
              <w:rPr>
                <w:sz w:val="20"/>
                <w:szCs w:val="20"/>
              </w:rPr>
            </w:pPr>
            <w:r>
              <w:rPr>
                <w:b/>
                <w:sz w:val="20"/>
                <w:szCs w:val="20"/>
              </w:rPr>
              <w:t>Acceptability</w:t>
            </w:r>
            <w:r>
              <w:rPr>
                <w:sz w:val="20"/>
                <w:szCs w:val="20"/>
              </w:rPr>
              <w:t>: The timely identificatio</w:t>
            </w:r>
            <w:r>
              <w:rPr>
                <w:sz w:val="20"/>
                <w:szCs w:val="20"/>
              </w:rPr>
              <w:t>n and treatment of these complications would be acceptable to all key parties, as it would allow early management of the associated symptomatology and thus improve overall quality of life.</w:t>
            </w:r>
          </w:p>
          <w:p w:rsidR="009C6A81" w:rsidRDefault="00ED5651">
            <w:pPr>
              <w:numPr>
                <w:ilvl w:val="0"/>
                <w:numId w:val="119"/>
              </w:numPr>
              <w:rPr>
                <w:sz w:val="20"/>
                <w:szCs w:val="20"/>
              </w:rPr>
            </w:pPr>
            <w:r>
              <w:rPr>
                <w:b/>
                <w:sz w:val="20"/>
                <w:szCs w:val="20"/>
              </w:rPr>
              <w:t>Factibility:</w:t>
            </w:r>
            <w:r>
              <w:rPr>
                <w:sz w:val="20"/>
                <w:szCs w:val="20"/>
              </w:rPr>
              <w:t xml:space="preserve"> It would probably be feasible to identify and treat me</w:t>
            </w:r>
            <w:r>
              <w:rPr>
                <w:sz w:val="20"/>
                <w:szCs w:val="20"/>
              </w:rPr>
              <w:t xml:space="preserve">tabolic complications associated with overweight or obesity at an early stage. Factors affecting implementation such as timeliness of access to treatment should be considered.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 xml:space="preserve">3. Collecting and summarizing the </w:t>
            </w:r>
            <w:r>
              <w:rPr>
                <w:b/>
                <w:sz w:val="20"/>
                <w:szCs w:val="20"/>
              </w:rPr>
              <w:lastRenderedPageBreak/>
              <w:t xml:space="preserve">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100"/>
              </w:numPr>
              <w:jc w:val="left"/>
              <w:rPr>
                <w:sz w:val="20"/>
                <w:szCs w:val="20"/>
              </w:rPr>
            </w:pPr>
            <w:r>
              <w:rPr>
                <w:b/>
                <w:sz w:val="20"/>
                <w:szCs w:val="20"/>
              </w:rPr>
              <w:lastRenderedPageBreak/>
              <w:t>Yes</w:t>
            </w:r>
          </w:p>
          <w:p w:rsidR="009C6A81" w:rsidRDefault="00ED5651">
            <w:pPr>
              <w:numPr>
                <w:ilvl w:val="0"/>
                <w:numId w:val="100"/>
              </w:numPr>
              <w:jc w:val="left"/>
              <w:rPr>
                <w:color w:val="AEAAAA"/>
                <w:sz w:val="20"/>
                <w:szCs w:val="20"/>
              </w:rPr>
            </w:pPr>
            <w:r>
              <w:rPr>
                <w:color w:val="AEAAAA"/>
                <w:sz w:val="20"/>
                <w:szCs w:val="20"/>
              </w:rPr>
              <w:t>Probably yes</w:t>
            </w:r>
          </w:p>
          <w:p w:rsidR="009C6A81" w:rsidRDefault="00ED5651">
            <w:pPr>
              <w:numPr>
                <w:ilvl w:val="0"/>
                <w:numId w:val="100"/>
              </w:numPr>
              <w:jc w:val="left"/>
              <w:rPr>
                <w:color w:val="AEAAAA"/>
                <w:sz w:val="20"/>
                <w:szCs w:val="20"/>
              </w:rPr>
            </w:pPr>
            <w:r>
              <w:rPr>
                <w:color w:val="AEAAAA"/>
                <w:sz w:val="20"/>
                <w:szCs w:val="20"/>
              </w:rPr>
              <w:lastRenderedPageBreak/>
              <w:t>Probably not</w:t>
            </w:r>
          </w:p>
          <w:p w:rsidR="009C6A81" w:rsidRDefault="00ED5651">
            <w:pPr>
              <w:numPr>
                <w:ilvl w:val="0"/>
                <w:numId w:val="100"/>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lastRenderedPageBreak/>
              <w:t>Identifying,</w:t>
            </w:r>
            <w:r>
              <w:rPr>
                <w:sz w:val="20"/>
                <w:szCs w:val="20"/>
              </w:rPr>
              <w:t xml:space="preserve"> reporting and treating complications associated with any disease in </w:t>
            </w:r>
            <w:r>
              <w:rPr>
                <w:sz w:val="20"/>
                <w:szCs w:val="20"/>
              </w:rPr>
              <w:lastRenderedPageBreak/>
              <w:t>a timely manner is a standard of clinical care. Failure to fulfill this obligation would go against reason and the ethics of medical practice. This is why collecting, summarizing and form</w:t>
            </w:r>
            <w:r>
              <w:rPr>
                <w:sz w:val="20"/>
                <w:szCs w:val="20"/>
              </w:rPr>
              <w:t>ally discussing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100"/>
              </w:numPr>
              <w:jc w:val="left"/>
              <w:rPr>
                <w:sz w:val="20"/>
                <w:szCs w:val="20"/>
              </w:rPr>
            </w:pPr>
            <w:r>
              <w:rPr>
                <w:b/>
                <w:sz w:val="20"/>
                <w:szCs w:val="20"/>
              </w:rPr>
              <w:t>Yes</w:t>
            </w:r>
          </w:p>
          <w:p w:rsidR="009C6A81" w:rsidRDefault="00ED5651">
            <w:pPr>
              <w:numPr>
                <w:ilvl w:val="0"/>
                <w:numId w:val="100"/>
              </w:numPr>
              <w:jc w:val="left"/>
              <w:rPr>
                <w:color w:val="AEAAAA"/>
                <w:sz w:val="20"/>
                <w:szCs w:val="20"/>
              </w:rPr>
            </w:pPr>
            <w:r>
              <w:rPr>
                <w:color w:val="AEAAAA"/>
                <w:sz w:val="20"/>
                <w:szCs w:val="20"/>
              </w:rPr>
              <w:t>Probably yes</w:t>
            </w:r>
          </w:p>
          <w:p w:rsidR="009C6A81" w:rsidRDefault="00ED5651">
            <w:pPr>
              <w:numPr>
                <w:ilvl w:val="0"/>
                <w:numId w:val="100"/>
              </w:numPr>
              <w:jc w:val="left"/>
              <w:rPr>
                <w:color w:val="AEAAAA"/>
                <w:sz w:val="20"/>
                <w:szCs w:val="20"/>
              </w:rPr>
            </w:pPr>
            <w:r>
              <w:rPr>
                <w:color w:val="AEAAAA"/>
                <w:sz w:val="20"/>
                <w:szCs w:val="20"/>
              </w:rPr>
              <w:t>Probably not</w:t>
            </w:r>
          </w:p>
          <w:p w:rsidR="009C6A81" w:rsidRDefault="00ED5651">
            <w:pPr>
              <w:numPr>
                <w:ilvl w:val="0"/>
                <w:numId w:val="100"/>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 xml:space="preserve">Indirect evidence from other clinical practice guidelines (1-3) was identified to support this Good Practice Statement. In them, it was found that the excess of adipose tissue is associated with the development of complications such as prediabetes, type 2 </w:t>
            </w:r>
            <w:r>
              <w:rPr>
                <w:sz w:val="20"/>
                <w:szCs w:val="20"/>
              </w:rPr>
              <w:t>diabetes, liver disease associated with metabolic dysfunction, dyslipidemia, arterial hypertension, cardiovascular and cerebrovascular disease. Therefore, identifying and treating these complications would result in health and quality of life benefits.</w:t>
            </w:r>
          </w:p>
          <w:p w:rsidR="009C6A81" w:rsidRDefault="00ED5651">
            <w:pPr>
              <w:rPr>
                <w:sz w:val="20"/>
                <w:szCs w:val="20"/>
              </w:rPr>
            </w:pPr>
            <w:r>
              <w:rPr>
                <w:sz w:val="20"/>
                <w:szCs w:val="20"/>
              </w:rPr>
              <w:t xml:space="preserve">In </w:t>
            </w:r>
            <w:r>
              <w:rPr>
                <w:sz w:val="20"/>
                <w:szCs w:val="20"/>
              </w:rPr>
              <w:t>addition, the European guidelines (3) emphasize that there may be people who are obese and “metabolically healthy”.</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100"/>
              </w:numPr>
              <w:jc w:val="left"/>
              <w:rPr>
                <w:sz w:val="20"/>
                <w:szCs w:val="20"/>
              </w:rPr>
            </w:pPr>
            <w:r>
              <w:rPr>
                <w:b/>
                <w:sz w:val="20"/>
                <w:szCs w:val="20"/>
              </w:rPr>
              <w:t>Yes</w:t>
            </w:r>
          </w:p>
          <w:p w:rsidR="009C6A81" w:rsidRDefault="00ED5651">
            <w:pPr>
              <w:numPr>
                <w:ilvl w:val="0"/>
                <w:numId w:val="100"/>
              </w:numPr>
              <w:jc w:val="left"/>
              <w:rPr>
                <w:color w:val="AEAAAA"/>
                <w:sz w:val="20"/>
                <w:szCs w:val="20"/>
              </w:rPr>
            </w:pPr>
            <w:r>
              <w:rPr>
                <w:color w:val="AEAAAA"/>
                <w:sz w:val="20"/>
                <w:szCs w:val="20"/>
              </w:rPr>
              <w:t>Probably yes</w:t>
            </w:r>
          </w:p>
          <w:p w:rsidR="009C6A81" w:rsidRDefault="00ED5651">
            <w:pPr>
              <w:numPr>
                <w:ilvl w:val="0"/>
                <w:numId w:val="100"/>
              </w:numPr>
              <w:jc w:val="left"/>
              <w:rPr>
                <w:color w:val="AEAAAA"/>
                <w:sz w:val="20"/>
                <w:szCs w:val="20"/>
              </w:rPr>
            </w:pPr>
            <w:r>
              <w:rPr>
                <w:color w:val="AEAAAA"/>
                <w:sz w:val="20"/>
                <w:szCs w:val="20"/>
              </w:rPr>
              <w:t>Probably not</w:t>
            </w:r>
          </w:p>
          <w:p w:rsidR="009C6A81" w:rsidRDefault="00ED5651">
            <w:pPr>
              <w:numPr>
                <w:ilvl w:val="0"/>
                <w:numId w:val="100"/>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This statement suggests a clear course of action: early identification and treatment of cardiometabolic complications related to overweight or obesity.</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33"/>
              </w:numPr>
              <w:tabs>
                <w:tab w:val="left" w:pos="142"/>
              </w:tabs>
              <w:spacing w:line="276" w:lineRule="auto"/>
              <w:jc w:val="left"/>
              <w:rPr>
                <w:sz w:val="18"/>
                <w:szCs w:val="18"/>
              </w:rPr>
            </w:pPr>
            <w:r>
              <w:rPr>
                <w:sz w:val="18"/>
                <w:szCs w:val="18"/>
              </w:rPr>
              <w:t>Rueda-Clausen CF, Poddar M, Lear SA, Poirier P, Sharma AM. Canadian Adult Obesity Clinical Practice Gui</w:t>
            </w:r>
            <w:r>
              <w:rPr>
                <w:sz w:val="18"/>
                <w:szCs w:val="18"/>
              </w:rPr>
              <w:t xml:space="preserve">delines: Assessment of People Living with Obesity. Available from: https://obesitycanada.ca/guidelines/assessment. </w:t>
            </w:r>
          </w:p>
          <w:p w:rsidR="009C6A81" w:rsidRDefault="00ED5651">
            <w:pPr>
              <w:numPr>
                <w:ilvl w:val="0"/>
                <w:numId w:val="33"/>
              </w:numPr>
              <w:tabs>
                <w:tab w:val="left" w:pos="142"/>
              </w:tabs>
              <w:spacing w:line="276" w:lineRule="auto"/>
              <w:jc w:val="left"/>
              <w:rPr>
                <w:sz w:val="18"/>
                <w:szCs w:val="18"/>
              </w:rPr>
            </w:pPr>
            <w:r>
              <w:rPr>
                <w:sz w:val="18"/>
                <w:szCs w:val="18"/>
              </w:rPr>
              <w:t>Garvey WT, Mechanick JI, Brett EM, et al. AMERICAN ASSOCIATION OF CLINICAL ENDOCRINOLOGISTS AND AMERICAN COLLEGE OF ENDOCRINOLOGY COMPREHENS</w:t>
            </w:r>
            <w:r>
              <w:rPr>
                <w:sz w:val="18"/>
                <w:szCs w:val="18"/>
              </w:rPr>
              <w:t>IVE CLINICAL PRACTICE GUIDELINES FOR MEDICAL CARE OF PATIENTS WITH OBESITY. Endocr Pract. 2016;22 Suppl 3:1-203. doi:10.4158/EP161365.GL</w:t>
            </w:r>
          </w:p>
          <w:p w:rsidR="009C6A81" w:rsidRDefault="00ED5651">
            <w:pPr>
              <w:numPr>
                <w:ilvl w:val="0"/>
                <w:numId w:val="33"/>
              </w:numPr>
              <w:tabs>
                <w:tab w:val="left" w:pos="142"/>
              </w:tabs>
              <w:spacing w:line="276" w:lineRule="auto"/>
              <w:jc w:val="left"/>
              <w:rPr>
                <w:sz w:val="18"/>
                <w:szCs w:val="18"/>
              </w:rPr>
            </w:pPr>
            <w:r>
              <w:rPr>
                <w:sz w:val="18"/>
                <w:szCs w:val="18"/>
              </w:rPr>
              <w:t>Yumuk V, Tsigos C, Fried M, et al. European Guidelines for Obesity Management in Adults [published correction appears i</w:t>
            </w:r>
            <w:r>
              <w:rPr>
                <w:sz w:val="18"/>
                <w:szCs w:val="18"/>
              </w:rPr>
              <w:t>n Obes Facts. 2016;9(1):64. doi: 10.1159/000444869]. Obes Facts. 2015;8(6):402-424. doi:10.1159/000442721</w:t>
            </w:r>
          </w:p>
        </w:tc>
      </w:tr>
    </w:tbl>
    <w:p w:rsidR="009C6A81" w:rsidRDefault="009C6A81">
      <w:pPr>
        <w:ind w:left="-990"/>
      </w:pPr>
    </w:p>
    <w:p w:rsidR="009C6A81" w:rsidRDefault="009C6A81">
      <w:pPr>
        <w:ind w:hanging="990"/>
      </w:pPr>
    </w:p>
    <w:p w:rsidR="009C6A81" w:rsidRDefault="00ED5651">
      <w:pPr>
        <w:pStyle w:val="Ttulo6"/>
        <w:ind w:hanging="990"/>
      </w:pPr>
      <w:bookmarkStart w:id="61" w:name="_434ayfz" w:colFirst="0" w:colLast="0"/>
      <w:bookmarkEnd w:id="61"/>
      <w:r>
        <w:t>Good practice statement 5. Healthcare professionals should assess and treat mental health complications related to overweight or obesity, such as depressive symptoms, anxiety symptoms, and binge eating disorder.</w:t>
      </w:r>
    </w:p>
    <w:p w:rsidR="009C6A81" w:rsidRDefault="009C6A81"/>
    <w:p w:rsidR="009C6A81" w:rsidRDefault="00ED5651">
      <w:pPr>
        <w:ind w:hanging="990"/>
      </w:pPr>
      <w:r>
        <w:t>Table. Summary of criteria for the formulat</w:t>
      </w:r>
      <w:r>
        <w:t>ion of good practice statements.</w:t>
      </w:r>
    </w:p>
    <w:p w:rsidR="009C6A81" w:rsidRDefault="009C6A81">
      <w:pPr>
        <w:jc w:val="left"/>
        <w:rPr>
          <w:sz w:val="24"/>
          <w:szCs w:val="24"/>
        </w:rPr>
      </w:pPr>
    </w:p>
    <w:tbl>
      <w:tblPr>
        <w:tblStyle w:val="affff3"/>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lastRenderedPageBreak/>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8"/>
              </w:numPr>
              <w:jc w:val="left"/>
              <w:rPr>
                <w:sz w:val="20"/>
                <w:szCs w:val="20"/>
              </w:rPr>
            </w:pPr>
            <w:r>
              <w:rPr>
                <w:b/>
                <w:sz w:val="20"/>
                <w:szCs w:val="20"/>
              </w:rPr>
              <w:t>Yes</w:t>
            </w:r>
          </w:p>
          <w:p w:rsidR="009C6A81" w:rsidRDefault="00ED5651">
            <w:pPr>
              <w:numPr>
                <w:ilvl w:val="0"/>
                <w:numId w:val="8"/>
              </w:numPr>
              <w:jc w:val="left"/>
              <w:rPr>
                <w:color w:val="AEAAAA"/>
                <w:sz w:val="20"/>
                <w:szCs w:val="20"/>
              </w:rPr>
            </w:pPr>
            <w:r>
              <w:rPr>
                <w:color w:val="AEAAAA"/>
                <w:sz w:val="20"/>
                <w:szCs w:val="20"/>
              </w:rPr>
              <w:t>Probably yes</w:t>
            </w:r>
          </w:p>
          <w:p w:rsidR="009C6A81" w:rsidRDefault="00ED5651">
            <w:pPr>
              <w:numPr>
                <w:ilvl w:val="0"/>
                <w:numId w:val="8"/>
              </w:numPr>
              <w:jc w:val="left"/>
              <w:rPr>
                <w:color w:val="AEAAAA"/>
                <w:sz w:val="20"/>
                <w:szCs w:val="20"/>
              </w:rPr>
            </w:pPr>
            <w:r>
              <w:rPr>
                <w:color w:val="AEAAAA"/>
                <w:sz w:val="20"/>
                <w:szCs w:val="20"/>
              </w:rPr>
              <w:t>Probably not</w:t>
            </w:r>
          </w:p>
          <w:p w:rsidR="009C6A81" w:rsidRDefault="00ED5651">
            <w:pPr>
              <w:numPr>
                <w:ilvl w:val="0"/>
                <w:numId w:val="8"/>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8"/>
              </w:numPr>
              <w:jc w:val="left"/>
              <w:rPr>
                <w:sz w:val="20"/>
                <w:szCs w:val="20"/>
              </w:rPr>
            </w:pPr>
            <w:r>
              <w:rPr>
                <w:b/>
                <w:sz w:val="20"/>
                <w:szCs w:val="20"/>
              </w:rPr>
              <w:t>Yes</w:t>
            </w:r>
          </w:p>
          <w:p w:rsidR="009C6A81" w:rsidRDefault="00ED5651">
            <w:pPr>
              <w:numPr>
                <w:ilvl w:val="0"/>
                <w:numId w:val="8"/>
              </w:numPr>
              <w:jc w:val="left"/>
              <w:rPr>
                <w:color w:val="AEAAAA"/>
                <w:sz w:val="20"/>
                <w:szCs w:val="20"/>
              </w:rPr>
            </w:pPr>
            <w:r>
              <w:rPr>
                <w:color w:val="AEAAAA"/>
                <w:sz w:val="20"/>
                <w:szCs w:val="20"/>
              </w:rPr>
              <w:t>Probably yes</w:t>
            </w:r>
          </w:p>
          <w:p w:rsidR="009C6A81" w:rsidRDefault="00ED5651">
            <w:pPr>
              <w:numPr>
                <w:ilvl w:val="0"/>
                <w:numId w:val="8"/>
              </w:numPr>
              <w:jc w:val="left"/>
              <w:rPr>
                <w:color w:val="AEAAAA"/>
                <w:sz w:val="20"/>
                <w:szCs w:val="20"/>
              </w:rPr>
            </w:pPr>
            <w:r>
              <w:rPr>
                <w:color w:val="AEAAAA"/>
                <w:sz w:val="20"/>
                <w:szCs w:val="20"/>
              </w:rPr>
              <w:t>Probably not</w:t>
            </w:r>
          </w:p>
          <w:p w:rsidR="009C6A81" w:rsidRDefault="00ED5651">
            <w:pPr>
              <w:numPr>
                <w:ilvl w:val="0"/>
                <w:numId w:val="8"/>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56"/>
              </w:numPr>
              <w:rPr>
                <w:sz w:val="20"/>
                <w:szCs w:val="20"/>
              </w:rPr>
            </w:pPr>
            <w:r>
              <w:rPr>
                <w:b/>
                <w:sz w:val="20"/>
                <w:szCs w:val="20"/>
              </w:rPr>
              <w:t>Population</w:t>
            </w:r>
            <w:r>
              <w:rPr>
                <w:sz w:val="20"/>
                <w:szCs w:val="20"/>
              </w:rPr>
              <w:t>: people living with overweight or obesity.</w:t>
            </w:r>
          </w:p>
          <w:p w:rsidR="009C6A81" w:rsidRDefault="00ED5651">
            <w:pPr>
              <w:numPr>
                <w:ilvl w:val="0"/>
                <w:numId w:val="56"/>
              </w:numPr>
              <w:rPr>
                <w:sz w:val="20"/>
                <w:szCs w:val="20"/>
              </w:rPr>
            </w:pPr>
            <w:r>
              <w:rPr>
                <w:b/>
                <w:sz w:val="20"/>
                <w:szCs w:val="20"/>
              </w:rPr>
              <w:t>Intervention</w:t>
            </w:r>
            <w:r>
              <w:rPr>
                <w:sz w:val="20"/>
                <w:szCs w:val="20"/>
              </w:rPr>
              <w:t>: early identification and treatment of mental health complications.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8"/>
              </w:numPr>
              <w:jc w:val="left"/>
              <w:rPr>
                <w:sz w:val="20"/>
                <w:szCs w:val="20"/>
              </w:rPr>
            </w:pPr>
            <w:r>
              <w:rPr>
                <w:b/>
                <w:sz w:val="20"/>
                <w:szCs w:val="20"/>
              </w:rPr>
              <w:t>Yes</w:t>
            </w:r>
          </w:p>
          <w:p w:rsidR="009C6A81" w:rsidRDefault="00ED5651">
            <w:pPr>
              <w:numPr>
                <w:ilvl w:val="0"/>
                <w:numId w:val="8"/>
              </w:numPr>
              <w:jc w:val="left"/>
              <w:rPr>
                <w:color w:val="AEAAAA"/>
                <w:sz w:val="20"/>
                <w:szCs w:val="20"/>
              </w:rPr>
            </w:pPr>
            <w:r>
              <w:rPr>
                <w:color w:val="AEAAAA"/>
                <w:sz w:val="20"/>
                <w:szCs w:val="20"/>
              </w:rPr>
              <w:t>Probably yes</w:t>
            </w:r>
          </w:p>
          <w:p w:rsidR="009C6A81" w:rsidRDefault="00ED5651">
            <w:pPr>
              <w:numPr>
                <w:ilvl w:val="0"/>
                <w:numId w:val="8"/>
              </w:numPr>
              <w:jc w:val="left"/>
              <w:rPr>
                <w:color w:val="AEAAAA"/>
                <w:sz w:val="20"/>
                <w:szCs w:val="20"/>
              </w:rPr>
            </w:pPr>
            <w:r>
              <w:rPr>
                <w:color w:val="AEAAAA"/>
                <w:sz w:val="20"/>
                <w:szCs w:val="20"/>
              </w:rPr>
              <w:t>Probably not</w:t>
            </w:r>
          </w:p>
          <w:p w:rsidR="009C6A81" w:rsidRDefault="00ED5651">
            <w:pPr>
              <w:numPr>
                <w:ilvl w:val="0"/>
                <w:numId w:val="8"/>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shd w:val="clear" w:color="auto" w:fill="FF9900"/>
              </w:rPr>
            </w:pPr>
            <w:r>
              <w:rPr>
                <w:sz w:val="20"/>
                <w:szCs w:val="20"/>
              </w:rPr>
              <w:t>Obesity is a complex multifactorial chronic disease. Its diagnostic evaluation and management requires the identification of concomitant diseases and possible complications. Mental health disorders are part of the comprehensive evaluation of people with ov</w:t>
            </w:r>
            <w:r>
              <w:rPr>
                <w:sz w:val="20"/>
                <w:szCs w:val="20"/>
              </w:rPr>
              <w:t xml:space="preserve">erweight or obesity. </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62"/>
              </w:numPr>
              <w:jc w:val="left"/>
              <w:rPr>
                <w:sz w:val="20"/>
                <w:szCs w:val="20"/>
              </w:rPr>
            </w:pPr>
            <w:r>
              <w:rPr>
                <w:b/>
                <w:sz w:val="20"/>
                <w:szCs w:val="20"/>
              </w:rPr>
              <w:t>Y</w:t>
            </w:r>
            <w:r>
              <w:rPr>
                <w:b/>
                <w:sz w:val="20"/>
                <w:szCs w:val="20"/>
              </w:rPr>
              <w:t>es</w:t>
            </w:r>
          </w:p>
          <w:p w:rsidR="009C6A81" w:rsidRDefault="00ED5651">
            <w:pPr>
              <w:numPr>
                <w:ilvl w:val="0"/>
                <w:numId w:val="62"/>
              </w:numPr>
              <w:jc w:val="left"/>
              <w:rPr>
                <w:color w:val="AEAAAA"/>
                <w:sz w:val="20"/>
                <w:szCs w:val="20"/>
              </w:rPr>
            </w:pPr>
            <w:r>
              <w:rPr>
                <w:color w:val="AEAAAA"/>
                <w:sz w:val="20"/>
                <w:szCs w:val="20"/>
              </w:rPr>
              <w:t>Probably yes</w:t>
            </w:r>
          </w:p>
          <w:p w:rsidR="009C6A81" w:rsidRDefault="00ED5651">
            <w:pPr>
              <w:numPr>
                <w:ilvl w:val="0"/>
                <w:numId w:val="62"/>
              </w:numPr>
              <w:jc w:val="left"/>
              <w:rPr>
                <w:color w:val="AEAAAA"/>
                <w:sz w:val="20"/>
                <w:szCs w:val="20"/>
              </w:rPr>
            </w:pPr>
            <w:r>
              <w:rPr>
                <w:color w:val="AEAAAA"/>
                <w:sz w:val="20"/>
                <w:szCs w:val="20"/>
              </w:rPr>
              <w:t>Probably not</w:t>
            </w:r>
          </w:p>
          <w:p w:rsidR="009C6A81" w:rsidRDefault="00ED5651">
            <w:pPr>
              <w:numPr>
                <w:ilvl w:val="0"/>
                <w:numId w:val="62"/>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2"/>
              </w:numPr>
              <w:jc w:val="left"/>
              <w:rPr>
                <w:sz w:val="20"/>
                <w:szCs w:val="20"/>
              </w:rPr>
            </w:pPr>
            <w:r>
              <w:rPr>
                <w:color w:val="AEAAAA"/>
                <w:sz w:val="20"/>
                <w:szCs w:val="20"/>
              </w:rPr>
              <w:t>Importance of the problem.</w:t>
            </w:r>
          </w:p>
          <w:p w:rsidR="009C6A81" w:rsidRDefault="00ED5651">
            <w:pPr>
              <w:numPr>
                <w:ilvl w:val="0"/>
                <w:numId w:val="2"/>
              </w:numPr>
              <w:jc w:val="left"/>
              <w:rPr>
                <w:color w:val="AEAAAA"/>
                <w:sz w:val="20"/>
                <w:szCs w:val="20"/>
              </w:rPr>
            </w:pPr>
            <w:r>
              <w:rPr>
                <w:color w:val="AEAAAA"/>
                <w:sz w:val="20"/>
                <w:szCs w:val="20"/>
              </w:rPr>
              <w:t>Certainty of evidence.</w:t>
            </w:r>
          </w:p>
          <w:p w:rsidR="009C6A81" w:rsidRDefault="00ED5651">
            <w:pPr>
              <w:numPr>
                <w:ilvl w:val="0"/>
                <w:numId w:val="2"/>
              </w:numPr>
              <w:jc w:val="left"/>
              <w:rPr>
                <w:sz w:val="20"/>
                <w:szCs w:val="20"/>
              </w:rPr>
            </w:pPr>
            <w:r>
              <w:rPr>
                <w:sz w:val="20"/>
                <w:szCs w:val="20"/>
              </w:rPr>
              <w:t>Values</w:t>
            </w:r>
            <w:r>
              <w:rPr>
                <w:color w:val="AEAAAA"/>
                <w:sz w:val="20"/>
                <w:szCs w:val="20"/>
              </w:rPr>
              <w:t>.</w:t>
            </w:r>
          </w:p>
          <w:p w:rsidR="009C6A81" w:rsidRDefault="00ED5651">
            <w:pPr>
              <w:numPr>
                <w:ilvl w:val="0"/>
                <w:numId w:val="2"/>
              </w:numPr>
              <w:jc w:val="left"/>
              <w:rPr>
                <w:sz w:val="20"/>
                <w:szCs w:val="20"/>
              </w:rPr>
            </w:pPr>
            <w:r>
              <w:rPr>
                <w:sz w:val="20"/>
                <w:szCs w:val="20"/>
              </w:rPr>
              <w:t>Magnitude of resource requirements.</w:t>
            </w:r>
          </w:p>
          <w:p w:rsidR="009C6A81" w:rsidRDefault="00ED5651">
            <w:pPr>
              <w:numPr>
                <w:ilvl w:val="0"/>
                <w:numId w:val="2"/>
              </w:numPr>
              <w:jc w:val="left"/>
              <w:rPr>
                <w:color w:val="AEAAAA"/>
                <w:sz w:val="20"/>
                <w:szCs w:val="20"/>
              </w:rPr>
            </w:pPr>
            <w:r>
              <w:rPr>
                <w:color w:val="AEAAAA"/>
                <w:sz w:val="20"/>
                <w:szCs w:val="20"/>
              </w:rPr>
              <w:t>Certainty of evidence or resource use.</w:t>
            </w:r>
          </w:p>
          <w:p w:rsidR="009C6A81" w:rsidRDefault="00ED5651">
            <w:pPr>
              <w:numPr>
                <w:ilvl w:val="0"/>
                <w:numId w:val="2"/>
              </w:numPr>
              <w:jc w:val="left"/>
              <w:rPr>
                <w:sz w:val="20"/>
                <w:szCs w:val="20"/>
              </w:rPr>
            </w:pPr>
            <w:r>
              <w:rPr>
                <w:sz w:val="20"/>
                <w:szCs w:val="20"/>
              </w:rPr>
              <w:t>Cost-effectiveness.</w:t>
            </w:r>
          </w:p>
          <w:p w:rsidR="009C6A81" w:rsidRDefault="00ED5651">
            <w:pPr>
              <w:numPr>
                <w:ilvl w:val="0"/>
                <w:numId w:val="2"/>
              </w:numPr>
              <w:jc w:val="left"/>
              <w:rPr>
                <w:sz w:val="20"/>
                <w:szCs w:val="20"/>
              </w:rPr>
            </w:pPr>
            <w:r>
              <w:rPr>
                <w:sz w:val="20"/>
                <w:szCs w:val="20"/>
              </w:rPr>
              <w:t>Equity.</w:t>
            </w:r>
          </w:p>
          <w:p w:rsidR="009C6A81" w:rsidRDefault="00ED5651">
            <w:pPr>
              <w:numPr>
                <w:ilvl w:val="0"/>
                <w:numId w:val="2"/>
              </w:numPr>
              <w:jc w:val="left"/>
              <w:rPr>
                <w:sz w:val="20"/>
                <w:szCs w:val="20"/>
              </w:rPr>
            </w:pPr>
            <w:r>
              <w:rPr>
                <w:sz w:val="20"/>
                <w:szCs w:val="20"/>
              </w:rPr>
              <w:t>Acceptability.</w:t>
            </w:r>
          </w:p>
          <w:p w:rsidR="009C6A81" w:rsidRDefault="00ED5651">
            <w:pPr>
              <w:numPr>
                <w:ilvl w:val="0"/>
                <w:numId w:val="2"/>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panel's experience, early management of mental health complications associated with obesity is likely to result in great benefit.</w:t>
            </w:r>
          </w:p>
          <w:p w:rsidR="009C6A81" w:rsidRDefault="009C6A81">
            <w:pPr>
              <w:rPr>
                <w:sz w:val="20"/>
                <w:szCs w:val="20"/>
              </w:rPr>
            </w:pPr>
          </w:p>
          <w:p w:rsidR="009C6A81" w:rsidRDefault="00ED5651">
            <w:pPr>
              <w:jc w:val="left"/>
              <w:rPr>
                <w:sz w:val="20"/>
                <w:szCs w:val="20"/>
              </w:rPr>
            </w:pPr>
            <w:r>
              <w:rPr>
                <w:sz w:val="20"/>
                <w:szCs w:val="20"/>
              </w:rPr>
              <w:t>This statement is deemed to satisfy the following EtD criteria:</w:t>
            </w:r>
          </w:p>
          <w:p w:rsidR="009C6A81" w:rsidRDefault="00ED5651">
            <w:pPr>
              <w:numPr>
                <w:ilvl w:val="0"/>
                <w:numId w:val="94"/>
              </w:numPr>
              <w:rPr>
                <w:sz w:val="20"/>
                <w:szCs w:val="20"/>
              </w:rPr>
            </w:pPr>
            <w:r>
              <w:rPr>
                <w:b/>
                <w:sz w:val="20"/>
                <w:szCs w:val="20"/>
              </w:rPr>
              <w:t>Values:</w:t>
            </w:r>
            <w:r>
              <w:rPr>
                <w:sz w:val="20"/>
                <w:szCs w:val="20"/>
              </w:rPr>
              <w:t xml:space="preserve"> Com</w:t>
            </w:r>
            <w:r>
              <w:rPr>
                <w:sz w:val="20"/>
                <w:szCs w:val="20"/>
              </w:rPr>
              <w:t xml:space="preserve">plications associated with obesity affect the quality of life of individuals. There is no reason to suspect variability in the importance attributed to the outcomes. </w:t>
            </w:r>
          </w:p>
          <w:p w:rsidR="009C6A81" w:rsidRDefault="00ED5651">
            <w:pPr>
              <w:numPr>
                <w:ilvl w:val="0"/>
                <w:numId w:val="94"/>
              </w:numPr>
              <w:rPr>
                <w:sz w:val="20"/>
                <w:szCs w:val="20"/>
              </w:rPr>
            </w:pPr>
            <w:r>
              <w:rPr>
                <w:b/>
                <w:sz w:val="20"/>
                <w:szCs w:val="20"/>
              </w:rPr>
              <w:t>Magnitude of resource requirements:</w:t>
            </w:r>
            <w:r>
              <w:rPr>
                <w:sz w:val="20"/>
                <w:szCs w:val="20"/>
              </w:rPr>
              <w:t xml:space="preserve"> The identification of mental health complications has</w:t>
            </w:r>
            <w:r>
              <w:rPr>
                <w:sz w:val="20"/>
                <w:szCs w:val="20"/>
              </w:rPr>
              <w:t xml:space="preserve"> associated indirect costs (related to the training of health professionals). However, the treatment of these conditions implies a moderate cost to have professionals in the mental health area or referral to specialists in centers of greater complexity whe</w:t>
            </w:r>
            <w:r>
              <w:rPr>
                <w:sz w:val="20"/>
                <w:szCs w:val="20"/>
              </w:rPr>
              <w:t>n necessary.</w:t>
            </w:r>
          </w:p>
          <w:p w:rsidR="009C6A81" w:rsidRDefault="00ED5651">
            <w:pPr>
              <w:numPr>
                <w:ilvl w:val="0"/>
                <w:numId w:val="94"/>
              </w:numPr>
              <w:rPr>
                <w:sz w:val="20"/>
                <w:szCs w:val="20"/>
              </w:rPr>
            </w:pPr>
            <w:r>
              <w:rPr>
                <w:b/>
                <w:sz w:val="20"/>
                <w:szCs w:val="20"/>
              </w:rPr>
              <w:lastRenderedPageBreak/>
              <w:t>Cost-effectiveness</w:t>
            </w:r>
            <w:r>
              <w:rPr>
                <w:sz w:val="20"/>
                <w:szCs w:val="20"/>
              </w:rPr>
              <w:t xml:space="preserve">: Although the management of mental health complications in patients with obesity may involve an extra cost, inadequate detection and treatment would have an effect on quality of life, adherence to comprehensive treatment of </w:t>
            </w:r>
            <w:r>
              <w:rPr>
                <w:sz w:val="20"/>
                <w:szCs w:val="20"/>
              </w:rPr>
              <w:t>overweight or obesity, and it would even worsen mental health disorders.</w:t>
            </w:r>
          </w:p>
          <w:p w:rsidR="009C6A81" w:rsidRDefault="00ED5651">
            <w:pPr>
              <w:numPr>
                <w:ilvl w:val="0"/>
                <w:numId w:val="94"/>
              </w:numPr>
              <w:rPr>
                <w:sz w:val="20"/>
                <w:szCs w:val="20"/>
              </w:rPr>
            </w:pPr>
            <w:r>
              <w:rPr>
                <w:b/>
                <w:sz w:val="20"/>
                <w:szCs w:val="20"/>
              </w:rPr>
              <w:t>Equity:</w:t>
            </w:r>
            <w:r>
              <w:rPr>
                <w:sz w:val="20"/>
                <w:szCs w:val="20"/>
              </w:rPr>
              <w:t xml:space="preserve"> Early identification and treatment of mental health complications related to overweight or obesity could increase in health equity, favoring groups that would be at a disadvan</w:t>
            </w:r>
            <w:r>
              <w:rPr>
                <w:sz w:val="20"/>
                <w:szCs w:val="20"/>
              </w:rPr>
              <w:t xml:space="preserve">tage. </w:t>
            </w:r>
          </w:p>
          <w:p w:rsidR="009C6A81" w:rsidRDefault="00ED5651">
            <w:pPr>
              <w:numPr>
                <w:ilvl w:val="0"/>
                <w:numId w:val="94"/>
              </w:numPr>
              <w:rPr>
                <w:sz w:val="20"/>
                <w:szCs w:val="20"/>
              </w:rPr>
            </w:pPr>
            <w:r>
              <w:rPr>
                <w:b/>
                <w:sz w:val="20"/>
                <w:szCs w:val="20"/>
              </w:rPr>
              <w:t>Acceptability:</w:t>
            </w:r>
            <w:r>
              <w:rPr>
                <w:sz w:val="20"/>
                <w:szCs w:val="20"/>
              </w:rPr>
              <w:t xml:space="preserve"> Early identification and treatment of these complications would be acceptable to all key parties, as it would allow early action on mental health conditions that impact the quality of life and well-being of overweight or obese individ</w:t>
            </w:r>
            <w:r>
              <w:rPr>
                <w:sz w:val="20"/>
                <w:szCs w:val="20"/>
              </w:rPr>
              <w:t>uals.</w:t>
            </w:r>
          </w:p>
          <w:p w:rsidR="009C6A81" w:rsidRDefault="00ED5651">
            <w:pPr>
              <w:numPr>
                <w:ilvl w:val="0"/>
                <w:numId w:val="94"/>
              </w:numPr>
              <w:rPr>
                <w:sz w:val="20"/>
                <w:szCs w:val="20"/>
              </w:rPr>
            </w:pPr>
            <w:r>
              <w:rPr>
                <w:b/>
                <w:sz w:val="20"/>
                <w:szCs w:val="20"/>
              </w:rPr>
              <w:t>Factibility:</w:t>
            </w:r>
            <w:r>
              <w:rPr>
                <w:sz w:val="20"/>
                <w:szCs w:val="20"/>
              </w:rPr>
              <w:t xml:space="preserve"> It would probably be feasible to identify and treat mental health complications associated with overweight or obesity at an early stage. Factors affecting implementation should be considered, such as timeliness of access to treatment, wi</w:t>
            </w:r>
            <w:r>
              <w:rPr>
                <w:sz w:val="20"/>
                <w:szCs w:val="20"/>
              </w:rPr>
              <w:t xml:space="preserve">th referral to more complex centers if necessary.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8"/>
              </w:numPr>
              <w:jc w:val="left"/>
              <w:rPr>
                <w:sz w:val="20"/>
                <w:szCs w:val="20"/>
              </w:rPr>
            </w:pPr>
            <w:r>
              <w:rPr>
                <w:b/>
                <w:sz w:val="20"/>
                <w:szCs w:val="20"/>
              </w:rPr>
              <w:t>Yes</w:t>
            </w:r>
          </w:p>
          <w:p w:rsidR="009C6A81" w:rsidRDefault="00ED5651">
            <w:pPr>
              <w:numPr>
                <w:ilvl w:val="0"/>
                <w:numId w:val="8"/>
              </w:numPr>
              <w:jc w:val="left"/>
              <w:rPr>
                <w:color w:val="AEAAAA"/>
                <w:sz w:val="20"/>
                <w:szCs w:val="20"/>
              </w:rPr>
            </w:pPr>
            <w:r>
              <w:rPr>
                <w:color w:val="AEAAAA"/>
                <w:sz w:val="20"/>
                <w:szCs w:val="20"/>
              </w:rPr>
              <w:t>Probably yes</w:t>
            </w:r>
          </w:p>
          <w:p w:rsidR="009C6A81" w:rsidRDefault="00ED5651">
            <w:pPr>
              <w:numPr>
                <w:ilvl w:val="0"/>
                <w:numId w:val="8"/>
              </w:numPr>
              <w:jc w:val="left"/>
              <w:rPr>
                <w:color w:val="AEAAAA"/>
                <w:sz w:val="20"/>
                <w:szCs w:val="20"/>
              </w:rPr>
            </w:pPr>
            <w:r>
              <w:rPr>
                <w:color w:val="AEAAAA"/>
                <w:sz w:val="20"/>
                <w:szCs w:val="20"/>
              </w:rPr>
              <w:t>Probably not</w:t>
            </w:r>
          </w:p>
          <w:p w:rsidR="009C6A81" w:rsidRDefault="00ED5651">
            <w:pPr>
              <w:numPr>
                <w:ilvl w:val="0"/>
                <w:numId w:val="8"/>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Internationa</w:t>
            </w:r>
            <w:r>
              <w:rPr>
                <w:sz w:val="20"/>
                <w:szCs w:val="20"/>
              </w:rPr>
              <w:t>l consensus recognizes the association between overweight or obesity with the development of mental health disorders, both by pathophysiological mechanisms and by the social stigma to which people are subjected. This is why collecting, summarizing and form</w:t>
            </w:r>
            <w:r>
              <w:rPr>
                <w:sz w:val="20"/>
                <w:szCs w:val="20"/>
              </w:rPr>
              <w:t>ally discussing the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8"/>
              </w:numPr>
              <w:jc w:val="left"/>
              <w:rPr>
                <w:sz w:val="20"/>
                <w:szCs w:val="20"/>
              </w:rPr>
            </w:pPr>
            <w:r>
              <w:rPr>
                <w:b/>
                <w:sz w:val="20"/>
                <w:szCs w:val="20"/>
              </w:rPr>
              <w:t>Yes</w:t>
            </w:r>
          </w:p>
          <w:p w:rsidR="009C6A81" w:rsidRDefault="00ED5651">
            <w:pPr>
              <w:numPr>
                <w:ilvl w:val="0"/>
                <w:numId w:val="8"/>
              </w:numPr>
              <w:jc w:val="left"/>
              <w:rPr>
                <w:color w:val="AEAAAA"/>
                <w:sz w:val="20"/>
                <w:szCs w:val="20"/>
              </w:rPr>
            </w:pPr>
            <w:r>
              <w:rPr>
                <w:color w:val="AEAAAA"/>
                <w:sz w:val="20"/>
                <w:szCs w:val="20"/>
              </w:rPr>
              <w:t>Probably yes</w:t>
            </w:r>
          </w:p>
          <w:p w:rsidR="009C6A81" w:rsidRDefault="00ED5651">
            <w:pPr>
              <w:numPr>
                <w:ilvl w:val="0"/>
                <w:numId w:val="8"/>
              </w:numPr>
              <w:jc w:val="left"/>
              <w:rPr>
                <w:color w:val="AEAAAA"/>
                <w:sz w:val="20"/>
                <w:szCs w:val="20"/>
              </w:rPr>
            </w:pPr>
            <w:r>
              <w:rPr>
                <w:color w:val="AEAAAA"/>
                <w:sz w:val="20"/>
                <w:szCs w:val="20"/>
              </w:rPr>
              <w:t>Probably not</w:t>
            </w:r>
          </w:p>
          <w:p w:rsidR="009C6A81" w:rsidRDefault="00ED5651">
            <w:pPr>
              <w:numPr>
                <w:ilvl w:val="0"/>
                <w:numId w:val="8"/>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 xml:space="preserve">Indirect evidence from Canadian (1) and North American (2) clinical practice guidelines was identified to support this good practice statement. In these, it was found that there is a bidirectional relationship between obesity and some </w:t>
            </w:r>
            <w:r>
              <w:rPr>
                <w:sz w:val="20"/>
                <w:szCs w:val="20"/>
              </w:rPr>
              <w:lastRenderedPageBreak/>
              <w:t>mental health disorde</w:t>
            </w:r>
            <w:r>
              <w:rPr>
                <w:sz w:val="20"/>
                <w:szCs w:val="20"/>
              </w:rPr>
              <w:t>rs such as depression and anxiety. The stigma of living with obesity leads to the development of complications such as low self-esteem and distress, and there are inflammatory mediators that are associated with the development of depression. This shows tha</w:t>
            </w:r>
            <w:r>
              <w:rPr>
                <w:sz w:val="20"/>
                <w:szCs w:val="20"/>
              </w:rPr>
              <w:t xml:space="preserve">t there are benefits of early identification and treatment.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5. The declaration is clear and actionable.</w:t>
            </w:r>
          </w:p>
        </w:tc>
        <w:tc>
          <w:tcPr>
            <w:tcW w:w="2520" w:type="dxa"/>
            <w:tcMar>
              <w:top w:w="150" w:type="dxa"/>
              <w:left w:w="150" w:type="dxa"/>
              <w:bottom w:w="150" w:type="dxa"/>
              <w:right w:w="150" w:type="dxa"/>
            </w:tcMar>
          </w:tcPr>
          <w:p w:rsidR="009C6A81" w:rsidRDefault="00ED5651">
            <w:pPr>
              <w:numPr>
                <w:ilvl w:val="0"/>
                <w:numId w:val="8"/>
              </w:numPr>
              <w:jc w:val="left"/>
              <w:rPr>
                <w:sz w:val="20"/>
                <w:szCs w:val="20"/>
              </w:rPr>
            </w:pPr>
            <w:r>
              <w:rPr>
                <w:b/>
                <w:sz w:val="20"/>
                <w:szCs w:val="20"/>
              </w:rPr>
              <w:t>Yes</w:t>
            </w:r>
          </w:p>
          <w:p w:rsidR="009C6A81" w:rsidRDefault="00ED5651">
            <w:pPr>
              <w:numPr>
                <w:ilvl w:val="0"/>
                <w:numId w:val="8"/>
              </w:numPr>
              <w:jc w:val="left"/>
              <w:rPr>
                <w:color w:val="AEAAAA"/>
                <w:sz w:val="20"/>
                <w:szCs w:val="20"/>
              </w:rPr>
            </w:pPr>
            <w:r>
              <w:rPr>
                <w:color w:val="AEAAAA"/>
                <w:sz w:val="20"/>
                <w:szCs w:val="20"/>
              </w:rPr>
              <w:t>Probably yes</w:t>
            </w:r>
          </w:p>
          <w:p w:rsidR="009C6A81" w:rsidRDefault="00ED5651">
            <w:pPr>
              <w:numPr>
                <w:ilvl w:val="0"/>
                <w:numId w:val="8"/>
              </w:numPr>
              <w:jc w:val="left"/>
              <w:rPr>
                <w:color w:val="AEAAAA"/>
                <w:sz w:val="20"/>
                <w:szCs w:val="20"/>
              </w:rPr>
            </w:pPr>
            <w:r>
              <w:rPr>
                <w:color w:val="AEAAAA"/>
                <w:sz w:val="20"/>
                <w:szCs w:val="20"/>
              </w:rPr>
              <w:t>Probably not</w:t>
            </w:r>
          </w:p>
          <w:p w:rsidR="009C6A81" w:rsidRDefault="00ED5651">
            <w:pPr>
              <w:numPr>
                <w:ilvl w:val="0"/>
                <w:numId w:val="8"/>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color w:val="FF0000"/>
                <w:sz w:val="20"/>
                <w:szCs w:val="20"/>
                <w:highlight w:val="yellow"/>
              </w:rPr>
            </w:pPr>
            <w:r>
              <w:rPr>
                <w:sz w:val="20"/>
                <w:szCs w:val="20"/>
              </w:rPr>
              <w:t>This statement suggests a clear course of action: identify and treat mental health complications related to overweight or obesity at an early stage.</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53"/>
              </w:numPr>
              <w:tabs>
                <w:tab w:val="left" w:pos="142"/>
              </w:tabs>
              <w:spacing w:line="276" w:lineRule="auto"/>
              <w:rPr>
                <w:sz w:val="18"/>
                <w:szCs w:val="18"/>
              </w:rPr>
            </w:pPr>
            <w:r>
              <w:rPr>
                <w:sz w:val="18"/>
                <w:szCs w:val="18"/>
              </w:rPr>
              <w:t xml:space="preserve">Taylor VH, Sockalingam S, Hawa R, Hahn M. Canadian Adult Obesity Clinical Practice Guidelines: The Role of Mental Health in Obesity Management. Available from: https://obesitycanada.ca/guidelines/mentalhealth. </w:t>
            </w:r>
          </w:p>
          <w:p w:rsidR="009C6A81" w:rsidRDefault="00ED5651">
            <w:pPr>
              <w:numPr>
                <w:ilvl w:val="0"/>
                <w:numId w:val="53"/>
              </w:numPr>
              <w:tabs>
                <w:tab w:val="left" w:pos="142"/>
              </w:tabs>
              <w:spacing w:line="276" w:lineRule="auto"/>
              <w:jc w:val="left"/>
              <w:rPr>
                <w:sz w:val="18"/>
                <w:szCs w:val="18"/>
              </w:rPr>
            </w:pPr>
            <w:r>
              <w:rPr>
                <w:sz w:val="18"/>
                <w:szCs w:val="18"/>
              </w:rPr>
              <w:t>Garvey WT, Mechanick JI, Brett EM, et al. AME</w:t>
            </w:r>
            <w:r>
              <w:rPr>
                <w:sz w:val="18"/>
                <w:szCs w:val="18"/>
              </w:rPr>
              <w:t>RICAN ASSOCIATION OF CLINICAL ENDOCRINOLOGISTS AND AMERICAN COLLEGE OF ENDOCRINOLOGY COMPREHENSIVE CLINICAL PRACTICE GUIDELINES FOR MEDICAL CARE OF PATIENTS WITH OBESITY. Endocr Pract. 2016;22 Suppl 3:1-203. doi:10.4158/EP161365.GL</w:t>
            </w:r>
          </w:p>
        </w:tc>
      </w:tr>
    </w:tbl>
    <w:p w:rsidR="009C6A81" w:rsidRDefault="009C6A81">
      <w:pPr>
        <w:ind w:left="-990"/>
      </w:pPr>
    </w:p>
    <w:p w:rsidR="009C6A81" w:rsidRDefault="009C6A81">
      <w:pPr>
        <w:ind w:hanging="990"/>
      </w:pPr>
    </w:p>
    <w:p w:rsidR="009C6A81" w:rsidRDefault="00ED5651">
      <w:pPr>
        <w:pStyle w:val="Ttulo6"/>
        <w:ind w:hanging="990"/>
      </w:pPr>
      <w:bookmarkStart w:id="62" w:name="_2i9l8ns" w:colFirst="0" w:colLast="0"/>
      <w:bookmarkEnd w:id="62"/>
      <w:r>
        <w:t>Good practice statement 6. Healthcare professionals should maintain a mutually collaborative relationship with patients with overweight or obesity to help them adopt evidence-based treatments and sustainable self-care behaviors associated with their treatm</w:t>
      </w:r>
      <w:r>
        <w:t>ent.</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4"/>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109"/>
              </w:numPr>
              <w:jc w:val="left"/>
              <w:rPr>
                <w:sz w:val="20"/>
                <w:szCs w:val="20"/>
              </w:rPr>
            </w:pPr>
            <w:r>
              <w:rPr>
                <w:b/>
                <w:sz w:val="20"/>
                <w:szCs w:val="20"/>
              </w:rPr>
              <w:t>Yes</w:t>
            </w:r>
          </w:p>
          <w:p w:rsidR="009C6A81" w:rsidRDefault="00ED5651">
            <w:pPr>
              <w:numPr>
                <w:ilvl w:val="0"/>
                <w:numId w:val="109"/>
              </w:numPr>
              <w:jc w:val="left"/>
              <w:rPr>
                <w:color w:val="AEAAAA"/>
                <w:sz w:val="20"/>
                <w:szCs w:val="20"/>
              </w:rPr>
            </w:pPr>
            <w:r>
              <w:rPr>
                <w:color w:val="AEAAAA"/>
                <w:sz w:val="20"/>
                <w:szCs w:val="20"/>
              </w:rPr>
              <w:t>Probably yes</w:t>
            </w:r>
          </w:p>
          <w:p w:rsidR="009C6A81" w:rsidRDefault="00ED5651">
            <w:pPr>
              <w:numPr>
                <w:ilvl w:val="0"/>
                <w:numId w:val="109"/>
              </w:numPr>
              <w:jc w:val="left"/>
              <w:rPr>
                <w:color w:val="AEAAAA"/>
                <w:sz w:val="20"/>
                <w:szCs w:val="20"/>
              </w:rPr>
            </w:pPr>
            <w:r>
              <w:rPr>
                <w:color w:val="AEAAAA"/>
                <w:sz w:val="20"/>
                <w:szCs w:val="20"/>
              </w:rPr>
              <w:t>Probably not</w:t>
            </w:r>
          </w:p>
          <w:p w:rsidR="009C6A81" w:rsidRDefault="00ED5651">
            <w:pPr>
              <w:numPr>
                <w:ilvl w:val="0"/>
                <w:numId w:val="109"/>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109"/>
              </w:numPr>
              <w:jc w:val="left"/>
              <w:rPr>
                <w:sz w:val="20"/>
                <w:szCs w:val="20"/>
              </w:rPr>
            </w:pPr>
            <w:r>
              <w:rPr>
                <w:b/>
                <w:sz w:val="20"/>
                <w:szCs w:val="20"/>
              </w:rPr>
              <w:t>Yes</w:t>
            </w:r>
          </w:p>
          <w:p w:rsidR="009C6A81" w:rsidRDefault="00ED5651">
            <w:pPr>
              <w:numPr>
                <w:ilvl w:val="0"/>
                <w:numId w:val="109"/>
              </w:numPr>
              <w:jc w:val="left"/>
              <w:rPr>
                <w:color w:val="AEAAAA"/>
                <w:sz w:val="20"/>
                <w:szCs w:val="20"/>
              </w:rPr>
            </w:pPr>
            <w:r>
              <w:rPr>
                <w:color w:val="AEAAAA"/>
                <w:sz w:val="20"/>
                <w:szCs w:val="20"/>
              </w:rPr>
              <w:t>Probably yes</w:t>
            </w:r>
          </w:p>
          <w:p w:rsidR="009C6A81" w:rsidRDefault="00ED5651">
            <w:pPr>
              <w:numPr>
                <w:ilvl w:val="0"/>
                <w:numId w:val="109"/>
              </w:numPr>
              <w:jc w:val="left"/>
              <w:rPr>
                <w:color w:val="AEAAAA"/>
                <w:sz w:val="20"/>
                <w:szCs w:val="20"/>
              </w:rPr>
            </w:pPr>
            <w:r>
              <w:rPr>
                <w:color w:val="AEAAAA"/>
                <w:sz w:val="20"/>
                <w:szCs w:val="20"/>
              </w:rPr>
              <w:t>Probably not</w:t>
            </w:r>
          </w:p>
          <w:p w:rsidR="009C6A81" w:rsidRDefault="00ED5651">
            <w:pPr>
              <w:numPr>
                <w:ilvl w:val="0"/>
                <w:numId w:val="109"/>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components of the stat</w:t>
            </w:r>
            <w:r>
              <w:rPr>
                <w:sz w:val="20"/>
                <w:szCs w:val="20"/>
              </w:rPr>
              <w:t xml:space="preserve">ement are:  </w:t>
            </w:r>
          </w:p>
          <w:p w:rsidR="009C6A81" w:rsidRDefault="00ED5651">
            <w:pPr>
              <w:numPr>
                <w:ilvl w:val="0"/>
                <w:numId w:val="90"/>
              </w:numPr>
              <w:rPr>
                <w:sz w:val="20"/>
                <w:szCs w:val="20"/>
              </w:rPr>
            </w:pPr>
            <w:r>
              <w:rPr>
                <w:b/>
                <w:sz w:val="20"/>
                <w:szCs w:val="20"/>
              </w:rPr>
              <w:t>Population</w:t>
            </w:r>
            <w:r>
              <w:rPr>
                <w:sz w:val="20"/>
                <w:szCs w:val="20"/>
              </w:rPr>
              <w:t>: people living with overweight or obesity.</w:t>
            </w:r>
          </w:p>
          <w:p w:rsidR="009C6A81" w:rsidRDefault="00ED5651">
            <w:pPr>
              <w:numPr>
                <w:ilvl w:val="0"/>
                <w:numId w:val="90"/>
              </w:numPr>
              <w:rPr>
                <w:sz w:val="20"/>
                <w:szCs w:val="20"/>
              </w:rPr>
            </w:pPr>
            <w:r>
              <w:rPr>
                <w:b/>
                <w:sz w:val="20"/>
                <w:szCs w:val="20"/>
              </w:rPr>
              <w:t>Intervention:</w:t>
            </w:r>
            <w:r>
              <w:rPr>
                <w:sz w:val="20"/>
                <w:szCs w:val="20"/>
              </w:rPr>
              <w:t xml:space="preserve"> collaborative relationship with health professionals to adopt sustainable self-management treatments and behaviors.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w:t>
            </w:r>
            <w:r>
              <w:rPr>
                <w:b/>
                <w:color w:val="FFFFFF"/>
                <w:sz w:val="16"/>
                <w:szCs w:val="16"/>
              </w:rPr>
              <w:lastRenderedPageBreak/>
              <w:t xml:space="preserve">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lastRenderedPageBreak/>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109"/>
              </w:numPr>
              <w:jc w:val="left"/>
              <w:rPr>
                <w:sz w:val="20"/>
                <w:szCs w:val="20"/>
              </w:rPr>
            </w:pPr>
            <w:r>
              <w:rPr>
                <w:b/>
                <w:sz w:val="20"/>
                <w:szCs w:val="20"/>
              </w:rPr>
              <w:t>Yes</w:t>
            </w:r>
          </w:p>
          <w:p w:rsidR="009C6A81" w:rsidRDefault="00ED5651">
            <w:pPr>
              <w:numPr>
                <w:ilvl w:val="0"/>
                <w:numId w:val="109"/>
              </w:numPr>
              <w:jc w:val="left"/>
              <w:rPr>
                <w:color w:val="AEAAAA"/>
                <w:sz w:val="20"/>
                <w:szCs w:val="20"/>
              </w:rPr>
            </w:pPr>
            <w:r>
              <w:rPr>
                <w:color w:val="AEAAAA"/>
                <w:sz w:val="20"/>
                <w:szCs w:val="20"/>
              </w:rPr>
              <w:t>Probably yes</w:t>
            </w:r>
          </w:p>
          <w:p w:rsidR="009C6A81" w:rsidRDefault="00ED5651">
            <w:pPr>
              <w:numPr>
                <w:ilvl w:val="0"/>
                <w:numId w:val="109"/>
              </w:numPr>
              <w:jc w:val="left"/>
              <w:rPr>
                <w:color w:val="AEAAAA"/>
                <w:sz w:val="20"/>
                <w:szCs w:val="20"/>
              </w:rPr>
            </w:pPr>
            <w:r>
              <w:rPr>
                <w:color w:val="AEAAAA"/>
                <w:sz w:val="20"/>
                <w:szCs w:val="20"/>
              </w:rPr>
              <w:t>Probably not</w:t>
            </w:r>
          </w:p>
          <w:p w:rsidR="009C6A81" w:rsidRDefault="00ED5651">
            <w:pPr>
              <w:numPr>
                <w:ilvl w:val="0"/>
                <w:numId w:val="109"/>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shd w:val="clear" w:color="auto" w:fill="FF9900"/>
              </w:rPr>
            </w:pPr>
            <w:r>
              <w:rPr>
                <w:sz w:val="20"/>
                <w:szCs w:val="20"/>
              </w:rPr>
              <w:t>Obesity is a chronic disease, whose treatment requires long-term management and its success depends on the collaboration between health professionals and people living with the disease.</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27"/>
              </w:numPr>
              <w:jc w:val="left"/>
              <w:rPr>
                <w:sz w:val="20"/>
                <w:szCs w:val="20"/>
              </w:rPr>
            </w:pPr>
            <w:r>
              <w:rPr>
                <w:b/>
                <w:sz w:val="20"/>
                <w:szCs w:val="20"/>
              </w:rPr>
              <w:t>Yes</w:t>
            </w:r>
          </w:p>
          <w:p w:rsidR="009C6A81" w:rsidRDefault="00ED5651">
            <w:pPr>
              <w:numPr>
                <w:ilvl w:val="0"/>
                <w:numId w:val="27"/>
              </w:numPr>
              <w:jc w:val="left"/>
              <w:rPr>
                <w:color w:val="AEAAAA"/>
                <w:sz w:val="20"/>
                <w:szCs w:val="20"/>
              </w:rPr>
            </w:pPr>
            <w:r>
              <w:rPr>
                <w:color w:val="AEAAAA"/>
                <w:sz w:val="20"/>
                <w:szCs w:val="20"/>
              </w:rPr>
              <w:t>Probably yes</w:t>
            </w:r>
          </w:p>
          <w:p w:rsidR="009C6A81" w:rsidRDefault="00ED5651">
            <w:pPr>
              <w:numPr>
                <w:ilvl w:val="0"/>
                <w:numId w:val="27"/>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27"/>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122"/>
              </w:numPr>
              <w:jc w:val="left"/>
              <w:rPr>
                <w:sz w:val="20"/>
                <w:szCs w:val="20"/>
              </w:rPr>
            </w:pPr>
            <w:r>
              <w:rPr>
                <w:sz w:val="20"/>
                <w:szCs w:val="20"/>
              </w:rPr>
              <w:t>Importance of the problem.</w:t>
            </w:r>
          </w:p>
          <w:p w:rsidR="009C6A81" w:rsidRDefault="00ED5651">
            <w:pPr>
              <w:numPr>
                <w:ilvl w:val="0"/>
                <w:numId w:val="122"/>
              </w:numPr>
              <w:jc w:val="left"/>
              <w:rPr>
                <w:color w:val="AEAAAA"/>
                <w:sz w:val="20"/>
                <w:szCs w:val="20"/>
              </w:rPr>
            </w:pPr>
            <w:r>
              <w:rPr>
                <w:color w:val="AEAAAA"/>
                <w:sz w:val="20"/>
                <w:szCs w:val="20"/>
              </w:rPr>
              <w:t>Certainty of evidence.</w:t>
            </w:r>
          </w:p>
          <w:p w:rsidR="009C6A81" w:rsidRDefault="00ED5651">
            <w:pPr>
              <w:numPr>
                <w:ilvl w:val="0"/>
                <w:numId w:val="122"/>
              </w:numPr>
              <w:jc w:val="left"/>
              <w:rPr>
                <w:sz w:val="20"/>
                <w:szCs w:val="20"/>
              </w:rPr>
            </w:pPr>
            <w:r>
              <w:rPr>
                <w:sz w:val="20"/>
                <w:szCs w:val="20"/>
              </w:rPr>
              <w:t>Values.</w:t>
            </w:r>
          </w:p>
          <w:p w:rsidR="009C6A81" w:rsidRDefault="00ED5651">
            <w:pPr>
              <w:numPr>
                <w:ilvl w:val="0"/>
                <w:numId w:val="122"/>
              </w:numPr>
              <w:jc w:val="left"/>
              <w:rPr>
                <w:sz w:val="20"/>
                <w:szCs w:val="20"/>
              </w:rPr>
            </w:pPr>
            <w:r>
              <w:rPr>
                <w:sz w:val="20"/>
                <w:szCs w:val="20"/>
              </w:rPr>
              <w:t>Magnitude of resource requirements.</w:t>
            </w:r>
          </w:p>
          <w:p w:rsidR="009C6A81" w:rsidRDefault="00ED5651">
            <w:pPr>
              <w:numPr>
                <w:ilvl w:val="0"/>
                <w:numId w:val="122"/>
              </w:numPr>
              <w:jc w:val="left"/>
              <w:rPr>
                <w:color w:val="AEAAAA"/>
                <w:sz w:val="20"/>
                <w:szCs w:val="20"/>
              </w:rPr>
            </w:pPr>
            <w:r>
              <w:rPr>
                <w:color w:val="AEAAAA"/>
                <w:sz w:val="20"/>
                <w:szCs w:val="20"/>
              </w:rPr>
              <w:t>Certainty of evidence or resource use.</w:t>
            </w:r>
          </w:p>
          <w:p w:rsidR="009C6A81" w:rsidRDefault="00ED5651">
            <w:pPr>
              <w:numPr>
                <w:ilvl w:val="0"/>
                <w:numId w:val="122"/>
              </w:numPr>
              <w:jc w:val="left"/>
              <w:rPr>
                <w:sz w:val="20"/>
                <w:szCs w:val="20"/>
              </w:rPr>
            </w:pPr>
            <w:r>
              <w:rPr>
                <w:sz w:val="20"/>
                <w:szCs w:val="20"/>
              </w:rPr>
              <w:t>Cost-effectiveness.</w:t>
            </w:r>
          </w:p>
          <w:p w:rsidR="009C6A81" w:rsidRDefault="00ED5651">
            <w:pPr>
              <w:numPr>
                <w:ilvl w:val="0"/>
                <w:numId w:val="122"/>
              </w:numPr>
              <w:jc w:val="left"/>
              <w:rPr>
                <w:sz w:val="20"/>
                <w:szCs w:val="20"/>
              </w:rPr>
            </w:pPr>
            <w:r>
              <w:rPr>
                <w:sz w:val="20"/>
                <w:szCs w:val="20"/>
              </w:rPr>
              <w:t>Equity.</w:t>
            </w:r>
          </w:p>
          <w:p w:rsidR="009C6A81" w:rsidRDefault="00ED5651">
            <w:pPr>
              <w:numPr>
                <w:ilvl w:val="0"/>
                <w:numId w:val="122"/>
              </w:numPr>
              <w:jc w:val="left"/>
              <w:rPr>
                <w:sz w:val="20"/>
                <w:szCs w:val="20"/>
              </w:rPr>
            </w:pPr>
            <w:r>
              <w:rPr>
                <w:sz w:val="20"/>
                <w:szCs w:val="20"/>
              </w:rPr>
              <w:t>Acceptability.</w:t>
            </w:r>
          </w:p>
          <w:p w:rsidR="009C6A81" w:rsidRDefault="00ED5651">
            <w:pPr>
              <w:numPr>
                <w:ilvl w:val="0"/>
                <w:numId w:val="122"/>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experience of the panel, a collaborative relationship would be of great benefit, allowing the adoption of effective treatments and sustainable behaviors over time.</w:t>
            </w:r>
          </w:p>
          <w:p w:rsidR="009C6A81" w:rsidRDefault="009C6A81">
            <w:pPr>
              <w:rPr>
                <w:sz w:val="20"/>
                <w:szCs w:val="20"/>
              </w:rPr>
            </w:pPr>
          </w:p>
          <w:p w:rsidR="009C6A81" w:rsidRDefault="00ED5651">
            <w:pPr>
              <w:rPr>
                <w:sz w:val="20"/>
                <w:szCs w:val="20"/>
              </w:rPr>
            </w:pPr>
            <w:r>
              <w:rPr>
                <w:sz w:val="20"/>
                <w:szCs w:val="20"/>
              </w:rPr>
              <w:t>This statement is deemed to satisfy the f</w:t>
            </w:r>
            <w:r>
              <w:rPr>
                <w:sz w:val="20"/>
                <w:szCs w:val="20"/>
              </w:rPr>
              <w:t>ollowing EtD criteria:</w:t>
            </w:r>
          </w:p>
          <w:p w:rsidR="009C6A81" w:rsidRDefault="00ED5651">
            <w:pPr>
              <w:numPr>
                <w:ilvl w:val="0"/>
                <w:numId w:val="64"/>
              </w:numPr>
              <w:rPr>
                <w:sz w:val="20"/>
                <w:szCs w:val="20"/>
              </w:rPr>
            </w:pPr>
            <w:r>
              <w:rPr>
                <w:b/>
                <w:sz w:val="20"/>
                <w:szCs w:val="20"/>
              </w:rPr>
              <w:t>Importance of the problem:</w:t>
            </w:r>
            <w:r>
              <w:rPr>
                <w:sz w:val="20"/>
                <w:szCs w:val="20"/>
              </w:rPr>
              <w:t xml:space="preserve"> The successful treatment of obesity is defined not only by its short-term results but also by the maintenance of health parameters over time. </w:t>
            </w:r>
          </w:p>
          <w:p w:rsidR="009C6A81" w:rsidRDefault="00ED5651">
            <w:pPr>
              <w:numPr>
                <w:ilvl w:val="0"/>
                <w:numId w:val="64"/>
              </w:numPr>
              <w:rPr>
                <w:sz w:val="20"/>
                <w:szCs w:val="20"/>
              </w:rPr>
            </w:pPr>
            <w:r>
              <w:rPr>
                <w:b/>
                <w:sz w:val="20"/>
                <w:szCs w:val="20"/>
              </w:rPr>
              <w:t>Values:</w:t>
            </w:r>
            <w:r>
              <w:rPr>
                <w:sz w:val="20"/>
                <w:szCs w:val="20"/>
              </w:rPr>
              <w:t xml:space="preserve"> individuals are likely to value positively the outcomes</w:t>
            </w:r>
            <w:r>
              <w:rPr>
                <w:sz w:val="20"/>
                <w:szCs w:val="20"/>
              </w:rPr>
              <w:t xml:space="preserve"> derived from a collaborative relationship with their healthcare professional. </w:t>
            </w:r>
          </w:p>
          <w:p w:rsidR="009C6A81" w:rsidRDefault="00ED5651">
            <w:pPr>
              <w:numPr>
                <w:ilvl w:val="0"/>
                <w:numId w:val="64"/>
              </w:numPr>
              <w:rPr>
                <w:sz w:val="20"/>
                <w:szCs w:val="20"/>
              </w:rPr>
            </w:pPr>
            <w:r>
              <w:rPr>
                <w:b/>
                <w:sz w:val="20"/>
                <w:szCs w:val="20"/>
              </w:rPr>
              <w:t>Magnitude of resource requirements:</w:t>
            </w:r>
            <w:r>
              <w:rPr>
                <w:sz w:val="20"/>
                <w:szCs w:val="20"/>
              </w:rPr>
              <w:t xml:space="preserve"> Establishing a collaborative relationship may require minimal associated costs (directly, increased consultation time; indirectly, the need </w:t>
            </w:r>
            <w:r>
              <w:rPr>
                <w:sz w:val="20"/>
                <w:szCs w:val="20"/>
              </w:rPr>
              <w:t>for training for health professionals).</w:t>
            </w:r>
          </w:p>
          <w:p w:rsidR="009C6A81" w:rsidRDefault="00ED5651">
            <w:pPr>
              <w:numPr>
                <w:ilvl w:val="0"/>
                <w:numId w:val="64"/>
              </w:numPr>
              <w:rPr>
                <w:sz w:val="20"/>
                <w:szCs w:val="20"/>
              </w:rPr>
            </w:pPr>
            <w:r>
              <w:rPr>
                <w:b/>
                <w:sz w:val="20"/>
                <w:szCs w:val="20"/>
              </w:rPr>
              <w:t>Cost-effectiveness:</w:t>
            </w:r>
            <w:r>
              <w:rPr>
                <w:sz w:val="20"/>
                <w:szCs w:val="20"/>
              </w:rPr>
              <w:t xml:space="preserve"> While investing more time or resources in building a collaborative relationship with overweight or obese individuals may have an associated cost, it can lead to better long-term treatment outcomes</w:t>
            </w:r>
            <w:r>
              <w:rPr>
                <w:sz w:val="20"/>
                <w:szCs w:val="20"/>
              </w:rPr>
              <w:t xml:space="preserve"> and thus avoid complications associated with inadequate management.</w:t>
            </w:r>
          </w:p>
          <w:p w:rsidR="009C6A81" w:rsidRDefault="00ED5651">
            <w:pPr>
              <w:numPr>
                <w:ilvl w:val="0"/>
                <w:numId w:val="64"/>
              </w:numPr>
              <w:rPr>
                <w:sz w:val="20"/>
                <w:szCs w:val="20"/>
              </w:rPr>
            </w:pPr>
            <w:r>
              <w:rPr>
                <w:b/>
                <w:sz w:val="20"/>
                <w:szCs w:val="20"/>
              </w:rPr>
              <w:t>Equity</w:t>
            </w:r>
            <w:r>
              <w:rPr>
                <w:sz w:val="20"/>
                <w:szCs w:val="20"/>
              </w:rPr>
              <w:t>: It would increase health equity, especially in disadvantaged groups with lower health literacy (e.g., those with lower educational levels).</w:t>
            </w:r>
          </w:p>
          <w:p w:rsidR="009C6A81" w:rsidRDefault="00ED5651">
            <w:pPr>
              <w:numPr>
                <w:ilvl w:val="0"/>
                <w:numId w:val="64"/>
              </w:numPr>
              <w:rPr>
                <w:sz w:val="20"/>
                <w:szCs w:val="20"/>
              </w:rPr>
            </w:pPr>
            <w:r>
              <w:rPr>
                <w:b/>
                <w:sz w:val="20"/>
                <w:szCs w:val="20"/>
              </w:rPr>
              <w:t>Acceptability:</w:t>
            </w:r>
            <w:r>
              <w:rPr>
                <w:sz w:val="20"/>
                <w:szCs w:val="20"/>
              </w:rPr>
              <w:t xml:space="preserve"> It would be acceptable b</w:t>
            </w:r>
            <w:r>
              <w:rPr>
                <w:sz w:val="20"/>
                <w:szCs w:val="20"/>
              </w:rPr>
              <w:t>y all or almost all patients, while it is probably acceptable to health care professionals.</w:t>
            </w:r>
          </w:p>
          <w:p w:rsidR="009C6A81" w:rsidRDefault="00ED5651">
            <w:pPr>
              <w:numPr>
                <w:ilvl w:val="0"/>
                <w:numId w:val="64"/>
              </w:numPr>
              <w:rPr>
                <w:sz w:val="20"/>
                <w:szCs w:val="20"/>
              </w:rPr>
            </w:pPr>
            <w:r>
              <w:rPr>
                <w:b/>
                <w:sz w:val="20"/>
                <w:szCs w:val="20"/>
              </w:rPr>
              <w:lastRenderedPageBreak/>
              <w:t>Factibility:</w:t>
            </w:r>
            <w:r>
              <w:rPr>
                <w:sz w:val="20"/>
                <w:szCs w:val="20"/>
              </w:rPr>
              <w:t xml:space="preserve"> It would probably be feasible to establish a collaborative relationship with overweight or obese people. Factors such as health professionals' time and</w:t>
            </w:r>
            <w:r>
              <w:rPr>
                <w:sz w:val="20"/>
                <w:szCs w:val="20"/>
              </w:rPr>
              <w:t xml:space="preserve"> training should be considered.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109"/>
              </w:numPr>
              <w:jc w:val="left"/>
              <w:rPr>
                <w:sz w:val="20"/>
                <w:szCs w:val="20"/>
              </w:rPr>
            </w:pPr>
            <w:r>
              <w:rPr>
                <w:b/>
                <w:sz w:val="20"/>
                <w:szCs w:val="20"/>
              </w:rPr>
              <w:t>Yes</w:t>
            </w:r>
          </w:p>
          <w:p w:rsidR="009C6A81" w:rsidRDefault="00ED5651">
            <w:pPr>
              <w:numPr>
                <w:ilvl w:val="0"/>
                <w:numId w:val="109"/>
              </w:numPr>
              <w:jc w:val="left"/>
              <w:rPr>
                <w:color w:val="AEAAAA"/>
                <w:sz w:val="20"/>
                <w:szCs w:val="20"/>
              </w:rPr>
            </w:pPr>
            <w:r>
              <w:rPr>
                <w:color w:val="AEAAAA"/>
                <w:sz w:val="20"/>
                <w:szCs w:val="20"/>
              </w:rPr>
              <w:t>Probably yes</w:t>
            </w:r>
          </w:p>
          <w:p w:rsidR="009C6A81" w:rsidRDefault="00ED5651">
            <w:pPr>
              <w:numPr>
                <w:ilvl w:val="0"/>
                <w:numId w:val="109"/>
              </w:numPr>
              <w:jc w:val="left"/>
              <w:rPr>
                <w:color w:val="AEAAAA"/>
                <w:sz w:val="20"/>
                <w:szCs w:val="20"/>
              </w:rPr>
            </w:pPr>
            <w:r>
              <w:rPr>
                <w:color w:val="AEAAAA"/>
                <w:sz w:val="20"/>
                <w:szCs w:val="20"/>
              </w:rPr>
              <w:t>Probably not</w:t>
            </w:r>
          </w:p>
          <w:p w:rsidR="009C6A81" w:rsidRDefault="00ED5651">
            <w:pPr>
              <w:numPr>
                <w:ilvl w:val="0"/>
                <w:numId w:val="109"/>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Establishing a collaborative relationship with the patient is similar to that which health professionals would adopt with other chronic diseases. There is no reason to suspect that not doing this could bring any major benefit.</w:t>
            </w:r>
            <w:r>
              <w:rPr>
                <w:sz w:val="20"/>
                <w:szCs w:val="20"/>
              </w:rPr>
              <w:t xml:space="preserve"> This is why collecting, summarizing and formally discussing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109"/>
              </w:numPr>
              <w:jc w:val="left"/>
              <w:rPr>
                <w:sz w:val="20"/>
                <w:szCs w:val="20"/>
              </w:rPr>
            </w:pPr>
            <w:r>
              <w:rPr>
                <w:b/>
                <w:sz w:val="20"/>
                <w:szCs w:val="20"/>
              </w:rPr>
              <w:t>Yes</w:t>
            </w:r>
          </w:p>
          <w:p w:rsidR="009C6A81" w:rsidRDefault="00ED5651">
            <w:pPr>
              <w:numPr>
                <w:ilvl w:val="0"/>
                <w:numId w:val="109"/>
              </w:numPr>
              <w:jc w:val="left"/>
              <w:rPr>
                <w:color w:val="AEAAAA"/>
                <w:sz w:val="20"/>
                <w:szCs w:val="20"/>
              </w:rPr>
            </w:pPr>
            <w:r>
              <w:rPr>
                <w:color w:val="AEAAAA"/>
                <w:sz w:val="20"/>
                <w:szCs w:val="20"/>
              </w:rPr>
              <w:t>Probably yes</w:t>
            </w:r>
          </w:p>
          <w:p w:rsidR="009C6A81" w:rsidRDefault="00ED5651">
            <w:pPr>
              <w:numPr>
                <w:ilvl w:val="0"/>
                <w:numId w:val="109"/>
              </w:numPr>
              <w:jc w:val="left"/>
              <w:rPr>
                <w:color w:val="AEAAAA"/>
                <w:sz w:val="20"/>
                <w:szCs w:val="20"/>
              </w:rPr>
            </w:pPr>
            <w:r>
              <w:rPr>
                <w:color w:val="AEAAAA"/>
                <w:sz w:val="20"/>
                <w:szCs w:val="20"/>
              </w:rPr>
              <w:t>Probably not</w:t>
            </w:r>
          </w:p>
          <w:p w:rsidR="009C6A81" w:rsidRDefault="00ED5651">
            <w:pPr>
              <w:numPr>
                <w:ilvl w:val="0"/>
                <w:numId w:val="109"/>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Indirect evidence from Canadian (1,2) and European (3) clinical practice guidelines was identified to support this good practice statement. Behavioral management of obesity should be appropriate, sustainable over time and evidence-based, so a collaborative</w:t>
            </w:r>
            <w:r>
              <w:rPr>
                <w:sz w:val="20"/>
                <w:szCs w:val="20"/>
              </w:rPr>
              <w:t xml:space="preserve"> clinical relationship would allow individuals to take actions where they feel able to change. It is considered that there is great variability in the presentation of the disease, so it is recognized that individuals have their own expertise to choose the </w:t>
            </w:r>
            <w:r>
              <w:rPr>
                <w:sz w:val="20"/>
                <w:szCs w:val="20"/>
              </w:rPr>
              <w:t>best approach to behavioral change.</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109"/>
              </w:numPr>
              <w:jc w:val="left"/>
              <w:rPr>
                <w:sz w:val="20"/>
                <w:szCs w:val="20"/>
              </w:rPr>
            </w:pPr>
            <w:r>
              <w:rPr>
                <w:b/>
                <w:sz w:val="20"/>
                <w:szCs w:val="20"/>
              </w:rPr>
              <w:t>Yes</w:t>
            </w:r>
          </w:p>
          <w:p w:rsidR="009C6A81" w:rsidRDefault="00ED5651">
            <w:pPr>
              <w:numPr>
                <w:ilvl w:val="0"/>
                <w:numId w:val="109"/>
              </w:numPr>
              <w:jc w:val="left"/>
              <w:rPr>
                <w:color w:val="AEAAAA"/>
                <w:sz w:val="20"/>
                <w:szCs w:val="20"/>
              </w:rPr>
            </w:pPr>
            <w:r>
              <w:rPr>
                <w:color w:val="AEAAAA"/>
                <w:sz w:val="20"/>
                <w:szCs w:val="20"/>
              </w:rPr>
              <w:t>Probably yes</w:t>
            </w:r>
          </w:p>
          <w:p w:rsidR="009C6A81" w:rsidRDefault="00ED5651">
            <w:pPr>
              <w:numPr>
                <w:ilvl w:val="0"/>
                <w:numId w:val="109"/>
              </w:numPr>
              <w:jc w:val="left"/>
              <w:rPr>
                <w:color w:val="AEAAAA"/>
                <w:sz w:val="20"/>
                <w:szCs w:val="20"/>
              </w:rPr>
            </w:pPr>
            <w:r>
              <w:rPr>
                <w:color w:val="AEAAAA"/>
                <w:sz w:val="20"/>
                <w:szCs w:val="20"/>
              </w:rPr>
              <w:t>Probably not</w:t>
            </w:r>
          </w:p>
          <w:p w:rsidR="009C6A81" w:rsidRDefault="00ED5651">
            <w:pPr>
              <w:numPr>
                <w:ilvl w:val="0"/>
                <w:numId w:val="109"/>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This statement suggests a clear course of action: to maintain a collaborative relationship between health professionals and people living wit</w:t>
            </w:r>
            <w:r>
              <w:rPr>
                <w:sz w:val="20"/>
                <w:szCs w:val="20"/>
              </w:rPr>
              <w:t>h overweight or obesity.</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17"/>
              </w:numPr>
              <w:tabs>
                <w:tab w:val="left" w:pos="142"/>
              </w:tabs>
              <w:spacing w:line="276" w:lineRule="auto"/>
              <w:rPr>
                <w:sz w:val="18"/>
                <w:szCs w:val="18"/>
              </w:rPr>
            </w:pPr>
            <w:r>
              <w:rPr>
                <w:sz w:val="18"/>
                <w:szCs w:val="18"/>
              </w:rPr>
              <w:t xml:space="preserve">Vallis TM, Macklin D, Russell-Mayhew S. Canadian Adult Obesity Clinical Practice Guidelines: Effective Psychological and Behavioural Interventions in Obesity Management. Available from: </w:t>
            </w:r>
            <w:hyperlink r:id="rId37">
              <w:r>
                <w:rPr>
                  <w:color w:val="1155CC"/>
                  <w:sz w:val="18"/>
                  <w:szCs w:val="18"/>
                  <w:u w:val="single"/>
                </w:rPr>
                <w:t>https://obesitycanada.ca/guidelines/behavioural</w:t>
              </w:r>
            </w:hyperlink>
            <w:r>
              <w:rPr>
                <w:sz w:val="18"/>
                <w:szCs w:val="18"/>
              </w:rPr>
              <w:t xml:space="preserve"> </w:t>
            </w:r>
          </w:p>
          <w:p w:rsidR="009C6A81" w:rsidRDefault="00ED5651">
            <w:pPr>
              <w:numPr>
                <w:ilvl w:val="0"/>
                <w:numId w:val="17"/>
              </w:numPr>
              <w:tabs>
                <w:tab w:val="left" w:pos="142"/>
              </w:tabs>
              <w:spacing w:line="276" w:lineRule="auto"/>
              <w:rPr>
                <w:sz w:val="18"/>
                <w:szCs w:val="18"/>
              </w:rPr>
            </w:pPr>
            <w:r>
              <w:rPr>
                <w:sz w:val="18"/>
                <w:szCs w:val="18"/>
              </w:rPr>
              <w:t>Campbell-Scherer        D,        Walji        S,        Kemp        A,        Piccinini-Vallis        H,        Vallis        TM.        Cana</w:t>
            </w:r>
            <w:r>
              <w:rPr>
                <w:sz w:val="18"/>
                <w:szCs w:val="18"/>
              </w:rPr>
              <w:t xml:space="preserve">dian        Adult        Obesity        Clinical        Practice        Guidelines:        Primary        Care        and        Primary        Healthcare        in        Obesity        Management.        Available        from:         </w:t>
            </w:r>
            <w:hyperlink r:id="rId38">
              <w:r>
                <w:rPr>
                  <w:color w:val="1155CC"/>
                  <w:sz w:val="18"/>
                  <w:szCs w:val="18"/>
                  <w:u w:val="single"/>
                </w:rPr>
                <w:t>https://obesitycanada.ca/guidelines/primarycare</w:t>
              </w:r>
            </w:hyperlink>
            <w:r>
              <w:rPr>
                <w:sz w:val="18"/>
                <w:szCs w:val="18"/>
              </w:rPr>
              <w:t xml:space="preserve"> </w:t>
            </w:r>
          </w:p>
          <w:p w:rsidR="009C6A81" w:rsidRDefault="00ED5651">
            <w:pPr>
              <w:numPr>
                <w:ilvl w:val="0"/>
                <w:numId w:val="17"/>
              </w:numPr>
              <w:tabs>
                <w:tab w:val="left" w:pos="142"/>
              </w:tabs>
              <w:spacing w:line="276" w:lineRule="auto"/>
              <w:jc w:val="left"/>
              <w:rPr>
                <w:sz w:val="18"/>
                <w:szCs w:val="18"/>
              </w:rPr>
            </w:pPr>
            <w:r>
              <w:rPr>
                <w:sz w:val="18"/>
                <w:szCs w:val="18"/>
              </w:rPr>
              <w:t>Yumuk V, Tsigos C, Fried M, et al. European Guidelines for Obesity Management in Adults [published correction appears in Obes Facts. 2016;9(1):64. doi: 10.1159</w:t>
            </w:r>
            <w:r>
              <w:rPr>
                <w:sz w:val="18"/>
                <w:szCs w:val="18"/>
              </w:rPr>
              <w:t>/000444869]. Obes Facts. 2015;8(6):402-424. doi:10.1159/000442721</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63" w:name="_xevivl" w:colFirst="0" w:colLast="0"/>
      <w:bookmarkEnd w:id="63"/>
      <w:r>
        <w:lastRenderedPageBreak/>
        <w:t>Good practice statement 7. Healthcare professionals can consider using the "5As" framework (Ask, Assess, Advise, Agree, Assist) as part of the assessment, follow-up, and treatment of individuals with overweight or obesity.</w:t>
      </w:r>
    </w:p>
    <w:p w:rsidR="009C6A81" w:rsidRDefault="009C6A81"/>
    <w:p w:rsidR="009C6A81" w:rsidRDefault="00ED5651">
      <w:pPr>
        <w:ind w:hanging="990"/>
      </w:pPr>
      <w:r>
        <w:t>Table. Summary of criteria for t</w:t>
      </w:r>
      <w:r>
        <w:t>he formulation of good practice statements.</w:t>
      </w:r>
    </w:p>
    <w:p w:rsidR="009C6A81" w:rsidRDefault="009C6A81">
      <w:pPr>
        <w:jc w:val="left"/>
        <w:rPr>
          <w:sz w:val="24"/>
          <w:szCs w:val="24"/>
        </w:rPr>
      </w:pPr>
    </w:p>
    <w:tbl>
      <w:tblPr>
        <w:tblStyle w:val="affff5"/>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4"/>
              </w:numPr>
              <w:jc w:val="left"/>
              <w:rPr>
                <w:sz w:val="20"/>
                <w:szCs w:val="20"/>
              </w:rPr>
            </w:pPr>
            <w:r>
              <w:rPr>
                <w:b/>
                <w:sz w:val="20"/>
                <w:szCs w:val="20"/>
              </w:rPr>
              <w:t>Yes</w:t>
            </w:r>
          </w:p>
          <w:p w:rsidR="009C6A81" w:rsidRDefault="00ED5651">
            <w:pPr>
              <w:numPr>
                <w:ilvl w:val="0"/>
                <w:numId w:val="54"/>
              </w:numPr>
              <w:jc w:val="left"/>
              <w:rPr>
                <w:color w:val="AEAAAA"/>
                <w:sz w:val="20"/>
                <w:szCs w:val="20"/>
              </w:rPr>
            </w:pPr>
            <w:r>
              <w:rPr>
                <w:color w:val="AEAAAA"/>
                <w:sz w:val="20"/>
                <w:szCs w:val="20"/>
              </w:rPr>
              <w:t>Probably yes</w:t>
            </w:r>
          </w:p>
          <w:p w:rsidR="009C6A81" w:rsidRDefault="00ED5651">
            <w:pPr>
              <w:numPr>
                <w:ilvl w:val="0"/>
                <w:numId w:val="54"/>
              </w:numPr>
              <w:jc w:val="left"/>
              <w:rPr>
                <w:color w:val="AEAAAA"/>
                <w:sz w:val="20"/>
                <w:szCs w:val="20"/>
              </w:rPr>
            </w:pPr>
            <w:r>
              <w:rPr>
                <w:color w:val="AEAAAA"/>
                <w:sz w:val="20"/>
                <w:szCs w:val="20"/>
              </w:rPr>
              <w:t>Probably not</w:t>
            </w:r>
          </w:p>
          <w:p w:rsidR="009C6A81" w:rsidRDefault="00ED5651">
            <w:pPr>
              <w:numPr>
                <w:ilvl w:val="0"/>
                <w:numId w:val="54"/>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4"/>
              </w:numPr>
              <w:jc w:val="left"/>
              <w:rPr>
                <w:sz w:val="20"/>
                <w:szCs w:val="20"/>
              </w:rPr>
            </w:pPr>
            <w:r>
              <w:rPr>
                <w:b/>
                <w:sz w:val="20"/>
                <w:szCs w:val="20"/>
              </w:rPr>
              <w:t>Yes</w:t>
            </w:r>
          </w:p>
          <w:p w:rsidR="009C6A81" w:rsidRDefault="00ED5651">
            <w:pPr>
              <w:numPr>
                <w:ilvl w:val="0"/>
                <w:numId w:val="54"/>
              </w:numPr>
              <w:jc w:val="left"/>
              <w:rPr>
                <w:color w:val="AEAAAA"/>
                <w:sz w:val="20"/>
                <w:szCs w:val="20"/>
              </w:rPr>
            </w:pPr>
            <w:r>
              <w:rPr>
                <w:color w:val="AEAAAA"/>
                <w:sz w:val="20"/>
                <w:szCs w:val="20"/>
              </w:rPr>
              <w:t>Probably yes</w:t>
            </w:r>
          </w:p>
          <w:p w:rsidR="009C6A81" w:rsidRDefault="00ED5651">
            <w:pPr>
              <w:numPr>
                <w:ilvl w:val="0"/>
                <w:numId w:val="54"/>
              </w:numPr>
              <w:jc w:val="left"/>
              <w:rPr>
                <w:color w:val="AEAAAA"/>
                <w:sz w:val="20"/>
                <w:szCs w:val="20"/>
              </w:rPr>
            </w:pPr>
            <w:r>
              <w:rPr>
                <w:color w:val="AEAAAA"/>
                <w:sz w:val="20"/>
                <w:szCs w:val="20"/>
              </w:rPr>
              <w:t>Probably not</w:t>
            </w:r>
          </w:p>
          <w:p w:rsidR="009C6A81" w:rsidRDefault="00ED5651">
            <w:pPr>
              <w:numPr>
                <w:ilvl w:val="0"/>
                <w:numId w:val="54"/>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105"/>
              </w:numPr>
              <w:rPr>
                <w:sz w:val="20"/>
                <w:szCs w:val="20"/>
              </w:rPr>
            </w:pPr>
            <w:r>
              <w:rPr>
                <w:b/>
                <w:sz w:val="20"/>
                <w:szCs w:val="20"/>
              </w:rPr>
              <w:t>Population</w:t>
            </w:r>
            <w:r>
              <w:rPr>
                <w:sz w:val="20"/>
                <w:szCs w:val="20"/>
              </w:rPr>
              <w:t>: people living with overweight or obesity.</w:t>
            </w:r>
          </w:p>
          <w:p w:rsidR="009C6A81" w:rsidRDefault="00ED5651">
            <w:pPr>
              <w:numPr>
                <w:ilvl w:val="0"/>
                <w:numId w:val="105"/>
              </w:numPr>
              <w:rPr>
                <w:sz w:val="20"/>
                <w:szCs w:val="20"/>
              </w:rPr>
            </w:pPr>
            <w:r>
              <w:rPr>
                <w:b/>
                <w:sz w:val="20"/>
                <w:szCs w:val="20"/>
              </w:rPr>
              <w:t>Intervention</w:t>
            </w:r>
            <w:r>
              <w:rPr>
                <w:sz w:val="20"/>
                <w:szCs w:val="20"/>
              </w:rPr>
              <w:t>: considering using the 5As framework as part of the assessment, monitoring and treatment.</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4"/>
              </w:numPr>
              <w:jc w:val="left"/>
              <w:rPr>
                <w:sz w:val="20"/>
                <w:szCs w:val="20"/>
              </w:rPr>
            </w:pPr>
            <w:r>
              <w:rPr>
                <w:b/>
                <w:sz w:val="20"/>
                <w:szCs w:val="20"/>
              </w:rPr>
              <w:t>Yes</w:t>
            </w:r>
          </w:p>
          <w:p w:rsidR="009C6A81" w:rsidRDefault="00ED5651">
            <w:pPr>
              <w:numPr>
                <w:ilvl w:val="0"/>
                <w:numId w:val="54"/>
              </w:numPr>
              <w:jc w:val="left"/>
              <w:rPr>
                <w:color w:val="AEAAAA"/>
                <w:sz w:val="20"/>
                <w:szCs w:val="20"/>
              </w:rPr>
            </w:pPr>
            <w:r>
              <w:rPr>
                <w:color w:val="AEAAAA"/>
                <w:sz w:val="20"/>
                <w:szCs w:val="20"/>
              </w:rPr>
              <w:t>Probably yes</w:t>
            </w:r>
          </w:p>
          <w:p w:rsidR="009C6A81" w:rsidRDefault="00ED5651">
            <w:pPr>
              <w:numPr>
                <w:ilvl w:val="0"/>
                <w:numId w:val="54"/>
              </w:numPr>
              <w:jc w:val="left"/>
              <w:rPr>
                <w:color w:val="AEAAAA"/>
                <w:sz w:val="20"/>
                <w:szCs w:val="20"/>
              </w:rPr>
            </w:pPr>
            <w:r>
              <w:rPr>
                <w:color w:val="AEAAAA"/>
                <w:sz w:val="20"/>
                <w:szCs w:val="20"/>
              </w:rPr>
              <w:t>Probably not</w:t>
            </w:r>
          </w:p>
          <w:p w:rsidR="009C6A81" w:rsidRDefault="00ED5651">
            <w:pPr>
              <w:numPr>
                <w:ilvl w:val="0"/>
                <w:numId w:val="54"/>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shd w:val="clear" w:color="auto" w:fill="FF9900"/>
              </w:rPr>
            </w:pPr>
            <w:r>
              <w:rPr>
                <w:sz w:val="20"/>
                <w:szCs w:val="20"/>
              </w:rPr>
              <w:t>Health professionals play an essential role in the management of chronic diseases. Therefore, the first approach, the way of communication and the attitude adopted by the health professional in the evaluation and during the treatment is relevant for the su</w:t>
            </w:r>
            <w:r>
              <w:rPr>
                <w:sz w:val="20"/>
                <w:szCs w:val="20"/>
              </w:rPr>
              <w:t xml:space="preserve">ccess in the management of overweight and obesity. </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2. Implementing the good practice statement results in a large net positive consequence (i.e. satisfy several evidence to decision (EtD) criteria) after consideration of all relevant outcomes and potenti</w:t>
            </w:r>
            <w:r>
              <w:rPr>
                <w:b/>
                <w:sz w:val="20"/>
                <w:szCs w:val="20"/>
              </w:rPr>
              <w:t xml:space="preserve">al downstream consequences. </w:t>
            </w:r>
          </w:p>
        </w:tc>
        <w:tc>
          <w:tcPr>
            <w:tcW w:w="2520" w:type="dxa"/>
            <w:tcMar>
              <w:top w:w="150" w:type="dxa"/>
              <w:left w:w="150" w:type="dxa"/>
              <w:bottom w:w="150" w:type="dxa"/>
              <w:right w:w="150" w:type="dxa"/>
            </w:tcMar>
          </w:tcPr>
          <w:p w:rsidR="009C6A81" w:rsidRDefault="00ED5651">
            <w:pPr>
              <w:numPr>
                <w:ilvl w:val="0"/>
                <w:numId w:val="114"/>
              </w:numPr>
              <w:jc w:val="left"/>
              <w:rPr>
                <w:sz w:val="20"/>
                <w:szCs w:val="20"/>
              </w:rPr>
            </w:pPr>
            <w:r>
              <w:rPr>
                <w:b/>
                <w:sz w:val="20"/>
                <w:szCs w:val="20"/>
              </w:rPr>
              <w:t>Yes</w:t>
            </w:r>
          </w:p>
          <w:p w:rsidR="009C6A81" w:rsidRDefault="00ED5651">
            <w:pPr>
              <w:numPr>
                <w:ilvl w:val="0"/>
                <w:numId w:val="114"/>
              </w:numPr>
              <w:jc w:val="left"/>
              <w:rPr>
                <w:color w:val="AEAAAA"/>
                <w:sz w:val="20"/>
                <w:szCs w:val="20"/>
              </w:rPr>
            </w:pPr>
            <w:r>
              <w:rPr>
                <w:color w:val="AEAAAA"/>
                <w:sz w:val="20"/>
                <w:szCs w:val="20"/>
              </w:rPr>
              <w:t>Probably yes</w:t>
            </w:r>
          </w:p>
          <w:p w:rsidR="009C6A81" w:rsidRDefault="00ED5651">
            <w:pPr>
              <w:numPr>
                <w:ilvl w:val="0"/>
                <w:numId w:val="114"/>
              </w:numPr>
              <w:jc w:val="left"/>
              <w:rPr>
                <w:color w:val="AEAAAA"/>
                <w:sz w:val="20"/>
                <w:szCs w:val="20"/>
              </w:rPr>
            </w:pPr>
            <w:r>
              <w:rPr>
                <w:color w:val="AEAAAA"/>
                <w:sz w:val="20"/>
                <w:szCs w:val="20"/>
              </w:rPr>
              <w:t>Probably not</w:t>
            </w:r>
          </w:p>
          <w:p w:rsidR="009C6A81" w:rsidRDefault="00ED5651">
            <w:pPr>
              <w:numPr>
                <w:ilvl w:val="0"/>
                <w:numId w:val="114"/>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28"/>
              </w:numPr>
              <w:jc w:val="left"/>
              <w:rPr>
                <w:sz w:val="20"/>
                <w:szCs w:val="20"/>
              </w:rPr>
            </w:pPr>
            <w:r>
              <w:rPr>
                <w:sz w:val="20"/>
                <w:szCs w:val="20"/>
              </w:rPr>
              <w:t>Importance of the problem.</w:t>
            </w:r>
          </w:p>
          <w:p w:rsidR="009C6A81" w:rsidRDefault="00ED5651">
            <w:pPr>
              <w:numPr>
                <w:ilvl w:val="0"/>
                <w:numId w:val="28"/>
              </w:numPr>
              <w:jc w:val="left"/>
              <w:rPr>
                <w:color w:val="AEAAAA"/>
                <w:sz w:val="20"/>
                <w:szCs w:val="20"/>
              </w:rPr>
            </w:pPr>
            <w:r>
              <w:rPr>
                <w:color w:val="AEAAAA"/>
                <w:sz w:val="20"/>
                <w:szCs w:val="20"/>
              </w:rPr>
              <w:t>Certainty of evidence.</w:t>
            </w:r>
          </w:p>
          <w:p w:rsidR="009C6A81" w:rsidRDefault="00ED5651">
            <w:pPr>
              <w:numPr>
                <w:ilvl w:val="0"/>
                <w:numId w:val="28"/>
              </w:numPr>
              <w:jc w:val="left"/>
              <w:rPr>
                <w:sz w:val="20"/>
                <w:szCs w:val="20"/>
              </w:rPr>
            </w:pPr>
            <w:r>
              <w:rPr>
                <w:sz w:val="20"/>
                <w:szCs w:val="20"/>
              </w:rPr>
              <w:t>Values.</w:t>
            </w:r>
          </w:p>
          <w:p w:rsidR="009C6A81" w:rsidRDefault="00ED5651">
            <w:pPr>
              <w:numPr>
                <w:ilvl w:val="0"/>
                <w:numId w:val="28"/>
              </w:numPr>
              <w:jc w:val="left"/>
              <w:rPr>
                <w:sz w:val="20"/>
                <w:szCs w:val="20"/>
              </w:rPr>
            </w:pPr>
            <w:r>
              <w:rPr>
                <w:sz w:val="20"/>
                <w:szCs w:val="20"/>
              </w:rPr>
              <w:t>Magnitude of resource requirements.</w:t>
            </w:r>
          </w:p>
          <w:p w:rsidR="009C6A81" w:rsidRDefault="00ED5651">
            <w:pPr>
              <w:numPr>
                <w:ilvl w:val="0"/>
                <w:numId w:val="28"/>
              </w:numPr>
              <w:jc w:val="left"/>
              <w:rPr>
                <w:color w:val="AEAAAA"/>
                <w:sz w:val="20"/>
                <w:szCs w:val="20"/>
              </w:rPr>
            </w:pPr>
            <w:r>
              <w:rPr>
                <w:color w:val="AEAAAA"/>
                <w:sz w:val="20"/>
                <w:szCs w:val="20"/>
              </w:rPr>
              <w:lastRenderedPageBreak/>
              <w:t>Certainty of evidence or resource use.</w:t>
            </w:r>
          </w:p>
          <w:p w:rsidR="009C6A81" w:rsidRDefault="00ED5651">
            <w:pPr>
              <w:numPr>
                <w:ilvl w:val="0"/>
                <w:numId w:val="28"/>
              </w:numPr>
              <w:jc w:val="left"/>
              <w:rPr>
                <w:sz w:val="20"/>
                <w:szCs w:val="20"/>
              </w:rPr>
            </w:pPr>
            <w:r>
              <w:rPr>
                <w:sz w:val="20"/>
                <w:szCs w:val="20"/>
              </w:rPr>
              <w:t>Cost-effectiveness.</w:t>
            </w:r>
          </w:p>
          <w:p w:rsidR="009C6A81" w:rsidRDefault="00ED5651">
            <w:pPr>
              <w:numPr>
                <w:ilvl w:val="0"/>
                <w:numId w:val="28"/>
              </w:numPr>
              <w:jc w:val="left"/>
              <w:rPr>
                <w:sz w:val="20"/>
                <w:szCs w:val="20"/>
              </w:rPr>
            </w:pPr>
            <w:r>
              <w:rPr>
                <w:sz w:val="20"/>
                <w:szCs w:val="20"/>
              </w:rPr>
              <w:t>Equity.</w:t>
            </w:r>
          </w:p>
          <w:p w:rsidR="009C6A81" w:rsidRDefault="00ED5651">
            <w:pPr>
              <w:numPr>
                <w:ilvl w:val="0"/>
                <w:numId w:val="28"/>
              </w:numPr>
              <w:jc w:val="left"/>
              <w:rPr>
                <w:sz w:val="20"/>
                <w:szCs w:val="20"/>
              </w:rPr>
            </w:pPr>
            <w:r>
              <w:rPr>
                <w:sz w:val="20"/>
                <w:szCs w:val="20"/>
              </w:rPr>
              <w:t>Acceptability.</w:t>
            </w:r>
          </w:p>
          <w:p w:rsidR="009C6A81" w:rsidRDefault="00ED5651">
            <w:pPr>
              <w:numPr>
                <w:ilvl w:val="0"/>
                <w:numId w:val="28"/>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lastRenderedPageBreak/>
              <w:t>Based on the indirect evidence identified and the panel's experience, considering using structured clinical interview formats in the assessment of overweight or obesity, such as the “5 As” framework is likely to result in large</w:t>
            </w:r>
            <w:r>
              <w:rPr>
                <w:sz w:val="20"/>
                <w:szCs w:val="20"/>
              </w:rPr>
              <w:t xml:space="preserve"> health benefits in both treatment and follow-up.</w:t>
            </w:r>
          </w:p>
          <w:p w:rsidR="009C6A81" w:rsidRDefault="00ED5651">
            <w:pPr>
              <w:rPr>
                <w:sz w:val="20"/>
                <w:szCs w:val="20"/>
              </w:rPr>
            </w:pPr>
            <w:r>
              <w:rPr>
                <w:sz w:val="20"/>
                <w:szCs w:val="20"/>
              </w:rPr>
              <w:t xml:space="preserve"> </w:t>
            </w:r>
          </w:p>
          <w:p w:rsidR="009C6A81" w:rsidRDefault="00ED5651">
            <w:pPr>
              <w:rPr>
                <w:sz w:val="20"/>
                <w:szCs w:val="20"/>
              </w:rPr>
            </w:pPr>
            <w:r>
              <w:rPr>
                <w:sz w:val="20"/>
                <w:szCs w:val="20"/>
              </w:rPr>
              <w:t>This statement is deemed to satisfy the following EtD criteria:</w:t>
            </w:r>
          </w:p>
          <w:p w:rsidR="009C6A81" w:rsidRDefault="00ED5651">
            <w:pPr>
              <w:numPr>
                <w:ilvl w:val="0"/>
                <w:numId w:val="6"/>
              </w:numPr>
              <w:rPr>
                <w:sz w:val="20"/>
                <w:szCs w:val="20"/>
              </w:rPr>
            </w:pPr>
            <w:r>
              <w:rPr>
                <w:b/>
                <w:sz w:val="20"/>
                <w:szCs w:val="20"/>
              </w:rPr>
              <w:t>Importance of the problem</w:t>
            </w:r>
            <w:r>
              <w:rPr>
                <w:sz w:val="20"/>
                <w:szCs w:val="20"/>
              </w:rPr>
              <w:t>: The multidimensional complexity of obesity coupled with limited attention times, and the differences in how peopl</w:t>
            </w:r>
            <w:r>
              <w:rPr>
                <w:sz w:val="20"/>
                <w:szCs w:val="20"/>
              </w:rPr>
              <w:t xml:space="preserve">e perceive overweight </w:t>
            </w:r>
            <w:r>
              <w:rPr>
                <w:sz w:val="20"/>
                <w:szCs w:val="20"/>
              </w:rPr>
              <w:lastRenderedPageBreak/>
              <w:t>and obesity require support to provide patient-centered care.</w:t>
            </w:r>
          </w:p>
          <w:p w:rsidR="009C6A81" w:rsidRDefault="00ED5651">
            <w:pPr>
              <w:numPr>
                <w:ilvl w:val="0"/>
                <w:numId w:val="6"/>
              </w:numPr>
              <w:rPr>
                <w:sz w:val="20"/>
                <w:szCs w:val="20"/>
              </w:rPr>
            </w:pPr>
            <w:r>
              <w:rPr>
                <w:b/>
                <w:sz w:val="20"/>
                <w:szCs w:val="20"/>
              </w:rPr>
              <w:t>Values</w:t>
            </w:r>
            <w:r>
              <w:rPr>
                <w:sz w:val="20"/>
                <w:szCs w:val="20"/>
              </w:rPr>
              <w:t>:  Individuals are likely to place a high value on having an individualized diagnosis, treatment plan and follow-up as a result of using structured clinical interview</w:t>
            </w:r>
            <w:r>
              <w:rPr>
                <w:sz w:val="20"/>
                <w:szCs w:val="20"/>
              </w:rPr>
              <w:t xml:space="preserve"> formats.</w:t>
            </w:r>
          </w:p>
          <w:p w:rsidR="009C6A81" w:rsidRDefault="00ED5651">
            <w:pPr>
              <w:numPr>
                <w:ilvl w:val="0"/>
                <w:numId w:val="6"/>
              </w:numPr>
              <w:rPr>
                <w:sz w:val="20"/>
                <w:szCs w:val="20"/>
              </w:rPr>
            </w:pPr>
            <w:r>
              <w:rPr>
                <w:b/>
                <w:sz w:val="20"/>
                <w:szCs w:val="20"/>
              </w:rPr>
              <w:t>Magnitude of resource requirements</w:t>
            </w:r>
            <w:r>
              <w:rPr>
                <w:sz w:val="20"/>
                <w:szCs w:val="20"/>
              </w:rPr>
              <w:t xml:space="preserve">: Considering the implementation of this intervention does not require equipment or supplies, however, making proper use of this framework would require associated resources to train health professionals. </w:t>
            </w:r>
          </w:p>
          <w:p w:rsidR="009C6A81" w:rsidRDefault="00ED5651">
            <w:pPr>
              <w:numPr>
                <w:ilvl w:val="0"/>
                <w:numId w:val="6"/>
              </w:numPr>
              <w:rPr>
                <w:sz w:val="20"/>
                <w:szCs w:val="20"/>
              </w:rPr>
            </w:pPr>
            <w:r>
              <w:rPr>
                <w:b/>
                <w:sz w:val="20"/>
                <w:szCs w:val="20"/>
              </w:rPr>
              <w:t>Cost-e</w:t>
            </w:r>
            <w:r>
              <w:rPr>
                <w:b/>
                <w:sz w:val="20"/>
                <w:szCs w:val="20"/>
              </w:rPr>
              <w:t>ffectiveness:</w:t>
            </w:r>
            <w:r>
              <w:rPr>
                <w:sz w:val="20"/>
                <w:szCs w:val="20"/>
              </w:rPr>
              <w:t xml:space="preserve">  Although there may be indirect costs (training for the correct use of this framework), considering its use would lead to a relevant and person-centered treatment plan, saving on complications associated with inadequate management.</w:t>
            </w:r>
          </w:p>
          <w:p w:rsidR="009C6A81" w:rsidRDefault="00ED5651">
            <w:pPr>
              <w:numPr>
                <w:ilvl w:val="0"/>
                <w:numId w:val="6"/>
              </w:numPr>
              <w:rPr>
                <w:sz w:val="20"/>
                <w:szCs w:val="20"/>
              </w:rPr>
            </w:pPr>
            <w:r>
              <w:rPr>
                <w:b/>
                <w:sz w:val="20"/>
                <w:szCs w:val="20"/>
              </w:rPr>
              <w:t>Equity</w:t>
            </w:r>
            <w:r>
              <w:rPr>
                <w:sz w:val="20"/>
                <w:szCs w:val="20"/>
              </w:rPr>
              <w:t>: co</w:t>
            </w:r>
            <w:r>
              <w:rPr>
                <w:sz w:val="20"/>
                <w:szCs w:val="20"/>
              </w:rPr>
              <w:t>nsidering using the “5As” framework is likely to increase equity by better identifying the biopsychosocial components associated with disease manifestation, thereby facilitating access to obesity treatment and management in disadvantaged groups.</w:t>
            </w:r>
          </w:p>
          <w:p w:rsidR="009C6A81" w:rsidRDefault="00ED5651">
            <w:pPr>
              <w:numPr>
                <w:ilvl w:val="0"/>
                <w:numId w:val="6"/>
              </w:numPr>
              <w:rPr>
                <w:sz w:val="20"/>
                <w:szCs w:val="20"/>
              </w:rPr>
            </w:pPr>
            <w:r>
              <w:rPr>
                <w:b/>
                <w:sz w:val="20"/>
                <w:szCs w:val="20"/>
              </w:rPr>
              <w:t>Acceptabil</w:t>
            </w:r>
            <w:r>
              <w:rPr>
                <w:b/>
                <w:sz w:val="20"/>
                <w:szCs w:val="20"/>
              </w:rPr>
              <w:t>ity</w:t>
            </w:r>
            <w:r>
              <w:rPr>
                <w:sz w:val="20"/>
                <w:szCs w:val="20"/>
              </w:rPr>
              <w:t>: This is likely to be an acceptable intervention for both clinicians and patients, as it is a simple and clear tool that aids in discussion and shared decision making around obesity.</w:t>
            </w:r>
          </w:p>
          <w:p w:rsidR="009C6A81" w:rsidRDefault="00ED5651">
            <w:pPr>
              <w:numPr>
                <w:ilvl w:val="0"/>
                <w:numId w:val="6"/>
              </w:numPr>
              <w:rPr>
                <w:sz w:val="20"/>
                <w:szCs w:val="20"/>
              </w:rPr>
            </w:pPr>
            <w:r>
              <w:rPr>
                <w:b/>
                <w:sz w:val="20"/>
                <w:szCs w:val="20"/>
              </w:rPr>
              <w:t>Factibility</w:t>
            </w:r>
            <w:r>
              <w:rPr>
                <w:sz w:val="20"/>
                <w:szCs w:val="20"/>
              </w:rPr>
              <w:t>: It is feasible to consider using this tool, as it is sim</w:t>
            </w:r>
            <w:r>
              <w:rPr>
                <w:sz w:val="20"/>
                <w:szCs w:val="20"/>
              </w:rPr>
              <w:t>ple and has no associated costs, while it is probably feasible to use it routinely, as there are factors such as training and clinical time that affect its implementation.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w:t>
            </w:r>
            <w:r>
              <w:rPr>
                <w:b/>
                <w:sz w:val="20"/>
                <w:szCs w:val="20"/>
              </w:rPr>
              <w:lastRenderedPageBreak/>
              <w:t xml:space="preserve">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54"/>
              </w:numPr>
              <w:jc w:val="left"/>
              <w:rPr>
                <w:sz w:val="20"/>
                <w:szCs w:val="20"/>
              </w:rPr>
            </w:pPr>
            <w:r>
              <w:rPr>
                <w:b/>
                <w:sz w:val="20"/>
                <w:szCs w:val="20"/>
              </w:rPr>
              <w:lastRenderedPageBreak/>
              <w:t>Yes</w:t>
            </w:r>
          </w:p>
          <w:p w:rsidR="009C6A81" w:rsidRDefault="00ED5651">
            <w:pPr>
              <w:numPr>
                <w:ilvl w:val="0"/>
                <w:numId w:val="54"/>
              </w:numPr>
              <w:jc w:val="left"/>
              <w:rPr>
                <w:color w:val="AEAAAA"/>
                <w:sz w:val="20"/>
                <w:szCs w:val="20"/>
              </w:rPr>
            </w:pPr>
            <w:r>
              <w:rPr>
                <w:color w:val="AEAAAA"/>
                <w:sz w:val="20"/>
                <w:szCs w:val="20"/>
              </w:rPr>
              <w:t>Probably yes</w:t>
            </w:r>
          </w:p>
          <w:p w:rsidR="009C6A81" w:rsidRDefault="00ED5651">
            <w:pPr>
              <w:numPr>
                <w:ilvl w:val="0"/>
                <w:numId w:val="54"/>
              </w:numPr>
              <w:jc w:val="left"/>
              <w:rPr>
                <w:color w:val="AEAAAA"/>
                <w:sz w:val="20"/>
                <w:szCs w:val="20"/>
              </w:rPr>
            </w:pPr>
            <w:r>
              <w:rPr>
                <w:color w:val="AEAAAA"/>
                <w:sz w:val="20"/>
                <w:szCs w:val="20"/>
              </w:rPr>
              <w:t>Probably not</w:t>
            </w:r>
          </w:p>
          <w:p w:rsidR="009C6A81" w:rsidRDefault="00ED5651">
            <w:pPr>
              <w:numPr>
                <w:ilvl w:val="0"/>
                <w:numId w:val="54"/>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The “5As” fr</w:t>
            </w:r>
            <w:r>
              <w:rPr>
                <w:sz w:val="20"/>
                <w:szCs w:val="20"/>
              </w:rPr>
              <w:t xml:space="preserve">amework has been recommended for the management of obesity (1), and resembles tools available for addressing other health conditions that require behavioral changes. Thus, collecting, </w:t>
            </w:r>
            <w:r>
              <w:rPr>
                <w:sz w:val="20"/>
                <w:szCs w:val="20"/>
              </w:rPr>
              <w:lastRenderedPageBreak/>
              <w:t>summarizing, and formally discussing the evidence would not be a good us</w:t>
            </w:r>
            <w:r>
              <w:rPr>
                <w:sz w:val="20"/>
                <w:szCs w:val="20"/>
              </w:rPr>
              <w:t>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54"/>
              </w:numPr>
              <w:jc w:val="left"/>
              <w:rPr>
                <w:sz w:val="20"/>
                <w:szCs w:val="20"/>
              </w:rPr>
            </w:pPr>
            <w:r>
              <w:rPr>
                <w:b/>
                <w:sz w:val="20"/>
                <w:szCs w:val="20"/>
              </w:rPr>
              <w:t>Yes</w:t>
            </w:r>
          </w:p>
          <w:p w:rsidR="009C6A81" w:rsidRDefault="00ED5651">
            <w:pPr>
              <w:numPr>
                <w:ilvl w:val="0"/>
                <w:numId w:val="54"/>
              </w:numPr>
              <w:jc w:val="left"/>
              <w:rPr>
                <w:color w:val="AEAAAA"/>
                <w:sz w:val="20"/>
                <w:szCs w:val="20"/>
              </w:rPr>
            </w:pPr>
            <w:r>
              <w:rPr>
                <w:color w:val="AEAAAA"/>
                <w:sz w:val="20"/>
                <w:szCs w:val="20"/>
              </w:rPr>
              <w:t>Probably yes</w:t>
            </w:r>
          </w:p>
          <w:p w:rsidR="009C6A81" w:rsidRDefault="00ED5651">
            <w:pPr>
              <w:numPr>
                <w:ilvl w:val="0"/>
                <w:numId w:val="54"/>
              </w:numPr>
              <w:jc w:val="left"/>
              <w:rPr>
                <w:color w:val="AEAAAA"/>
                <w:sz w:val="20"/>
                <w:szCs w:val="20"/>
              </w:rPr>
            </w:pPr>
            <w:r>
              <w:rPr>
                <w:color w:val="AEAAAA"/>
                <w:sz w:val="20"/>
                <w:szCs w:val="20"/>
              </w:rPr>
              <w:t>Probably not</w:t>
            </w:r>
          </w:p>
          <w:p w:rsidR="009C6A81" w:rsidRDefault="00ED5651">
            <w:pPr>
              <w:numPr>
                <w:ilvl w:val="0"/>
                <w:numId w:val="54"/>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Indirect evidence from the Canadian clinical practice guideline (1,2) was identified to support this good practice statement. It found that implementation of the “5 As” framework leads to an increase in the number of people initiating treatment for obesity</w:t>
            </w:r>
            <w:r>
              <w:rPr>
                <w:sz w:val="20"/>
                <w:szCs w:val="20"/>
              </w:rPr>
              <w:t>, taking into account that not all people are equally ready to initiate treatment (1). It is recognized that health professionals should be able to initiate conversations that are patient-centered and focused on the health of overweight or obese patients (</w:t>
            </w:r>
            <w:r>
              <w:rPr>
                <w:sz w:val="20"/>
                <w:szCs w:val="20"/>
              </w:rPr>
              <w:t xml:space="preserve">2).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54"/>
              </w:numPr>
              <w:jc w:val="left"/>
              <w:rPr>
                <w:sz w:val="20"/>
                <w:szCs w:val="20"/>
              </w:rPr>
            </w:pPr>
            <w:r>
              <w:rPr>
                <w:b/>
                <w:sz w:val="20"/>
                <w:szCs w:val="20"/>
              </w:rPr>
              <w:t>Yes</w:t>
            </w:r>
          </w:p>
          <w:p w:rsidR="009C6A81" w:rsidRDefault="00ED5651">
            <w:pPr>
              <w:numPr>
                <w:ilvl w:val="0"/>
                <w:numId w:val="54"/>
              </w:numPr>
              <w:jc w:val="left"/>
              <w:rPr>
                <w:color w:val="AEAAAA"/>
                <w:sz w:val="20"/>
                <w:szCs w:val="20"/>
              </w:rPr>
            </w:pPr>
            <w:r>
              <w:rPr>
                <w:color w:val="AEAAAA"/>
                <w:sz w:val="20"/>
                <w:szCs w:val="20"/>
              </w:rPr>
              <w:t>Probably yes</w:t>
            </w:r>
          </w:p>
          <w:p w:rsidR="009C6A81" w:rsidRDefault="00ED5651">
            <w:pPr>
              <w:numPr>
                <w:ilvl w:val="0"/>
                <w:numId w:val="54"/>
              </w:numPr>
              <w:jc w:val="left"/>
              <w:rPr>
                <w:color w:val="AEAAAA"/>
                <w:sz w:val="20"/>
                <w:szCs w:val="20"/>
              </w:rPr>
            </w:pPr>
            <w:r>
              <w:rPr>
                <w:color w:val="AEAAAA"/>
                <w:sz w:val="20"/>
                <w:szCs w:val="20"/>
              </w:rPr>
              <w:t>Probably not</w:t>
            </w:r>
          </w:p>
          <w:p w:rsidR="009C6A81" w:rsidRDefault="00ED5651">
            <w:pPr>
              <w:numPr>
                <w:ilvl w:val="0"/>
                <w:numId w:val="54"/>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 xml:space="preserve">This statement suggests a clear course of action: that health professionals involved in the diagnosis, evaluation, and management of overweight or obese individuals should consider using the “5 As” framework. </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86"/>
              </w:numPr>
              <w:tabs>
                <w:tab w:val="left" w:pos="142"/>
              </w:tabs>
              <w:spacing w:line="276" w:lineRule="auto"/>
              <w:rPr>
                <w:rFonts w:ascii="IBM Plex Sans" w:eastAsia="IBM Plex Sans" w:hAnsi="IBM Plex Sans" w:cs="IBM Plex Sans"/>
                <w:sz w:val="18"/>
                <w:szCs w:val="18"/>
              </w:rPr>
            </w:pPr>
            <w:r>
              <w:rPr>
                <w:rFonts w:ascii="IBM Plex Sans" w:eastAsia="IBM Plex Sans" w:hAnsi="IBM Plex Sans" w:cs="IBM Plex Sans"/>
                <w:color w:val="1C1D1E"/>
                <w:sz w:val="18"/>
                <w:szCs w:val="18"/>
                <w:highlight w:val="white"/>
              </w:rPr>
              <w:t xml:space="preserve">Rueda-Clausen CF, Poddar M, Lear SA, Poirier P, Sharma AM. Canadian Adult Obesity Clinical Practice Guidelines: Assessment of People Living with Obesity. Available from: </w:t>
            </w:r>
            <w:hyperlink r:id="rId39">
              <w:r>
                <w:rPr>
                  <w:rFonts w:ascii="IBM Plex Sans" w:eastAsia="IBM Plex Sans" w:hAnsi="IBM Plex Sans" w:cs="IBM Plex Sans"/>
                  <w:color w:val="1155CC"/>
                  <w:sz w:val="18"/>
                  <w:szCs w:val="18"/>
                  <w:highlight w:val="white"/>
                  <w:u w:val="single"/>
                </w:rPr>
                <w:t>https://obesitycanad</w:t>
              </w:r>
              <w:r>
                <w:rPr>
                  <w:rFonts w:ascii="IBM Plex Sans" w:eastAsia="IBM Plex Sans" w:hAnsi="IBM Plex Sans" w:cs="IBM Plex Sans"/>
                  <w:color w:val="1155CC"/>
                  <w:sz w:val="18"/>
                  <w:szCs w:val="18"/>
                  <w:highlight w:val="white"/>
                  <w:u w:val="single"/>
                </w:rPr>
                <w:t>a.ca/guidelines/assessment</w:t>
              </w:r>
            </w:hyperlink>
            <w:r>
              <w:rPr>
                <w:rFonts w:ascii="IBM Plex Sans" w:eastAsia="IBM Plex Sans" w:hAnsi="IBM Plex Sans" w:cs="IBM Plex Sans"/>
                <w:color w:val="1C1D1E"/>
                <w:sz w:val="18"/>
                <w:szCs w:val="18"/>
                <w:highlight w:val="white"/>
              </w:rPr>
              <w:t>.</w:t>
            </w:r>
          </w:p>
          <w:p w:rsidR="009C6A81" w:rsidRDefault="00ED5651">
            <w:pPr>
              <w:numPr>
                <w:ilvl w:val="0"/>
                <w:numId w:val="86"/>
              </w:numPr>
              <w:tabs>
                <w:tab w:val="left" w:pos="142"/>
              </w:tabs>
              <w:spacing w:line="276" w:lineRule="auto"/>
              <w:rPr>
                <w:rFonts w:ascii="IBM Plex Sans" w:eastAsia="IBM Plex Sans" w:hAnsi="IBM Plex Sans" w:cs="IBM Plex Sans"/>
                <w:sz w:val="18"/>
                <w:szCs w:val="18"/>
              </w:rPr>
            </w:pPr>
            <w:r>
              <w:rPr>
                <w:rFonts w:ascii="IBM Plex Sans" w:eastAsia="IBM Plex Sans" w:hAnsi="IBM Plex Sans" w:cs="IBM Plex Sans"/>
                <w:color w:val="1C1D1E"/>
                <w:sz w:val="18"/>
                <w:szCs w:val="18"/>
                <w:highlight w:val="white"/>
              </w:rPr>
              <w:t xml:space="preserve">Campbell-Scherer D, Walji S, Kemp A, Piccinini-Vallis H, Vallis TM. Canadian Adult        Obesity Clinical Practice Guidelines: Primary Care and Primary Healthcare in Obesity        Management. Available from: </w:t>
            </w:r>
            <w:hyperlink r:id="rId40">
              <w:r>
                <w:rPr>
                  <w:rFonts w:ascii="IBM Plex Sans" w:eastAsia="IBM Plex Sans" w:hAnsi="IBM Plex Sans" w:cs="IBM Plex Sans"/>
                  <w:color w:val="1155CC"/>
                  <w:sz w:val="18"/>
                  <w:szCs w:val="18"/>
                  <w:highlight w:val="white"/>
                  <w:u w:val="single"/>
                </w:rPr>
                <w:t>https://obesitycanada.ca/guidelines/primarycare</w:t>
              </w:r>
            </w:hyperlink>
            <w:r>
              <w:rPr>
                <w:rFonts w:ascii="IBM Plex Sans" w:eastAsia="IBM Plex Sans" w:hAnsi="IBM Plex Sans" w:cs="IBM Plex Sans"/>
                <w:color w:val="1C1D1E"/>
                <w:sz w:val="18"/>
                <w:szCs w:val="18"/>
                <w:highlight w:val="white"/>
              </w:rPr>
              <w:t xml:space="preserve">      </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64" w:name="_3hej1je" w:colFirst="0" w:colLast="0"/>
      <w:bookmarkEnd w:id="64"/>
      <w:r>
        <w:t>Good practice statement 8. Healthcare professionals can consider implementing the Edmonton Obesity Staging System to integrate physical, metabolic, an</w:t>
      </w:r>
      <w:r>
        <w:t>d mental health aspects in the diagnosis and treatment of obesity.</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6"/>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99"/>
              </w:numPr>
              <w:jc w:val="left"/>
              <w:rPr>
                <w:sz w:val="20"/>
                <w:szCs w:val="20"/>
              </w:rPr>
            </w:pPr>
            <w:r>
              <w:rPr>
                <w:b/>
                <w:sz w:val="20"/>
                <w:szCs w:val="20"/>
              </w:rPr>
              <w:t>Yes</w:t>
            </w:r>
          </w:p>
          <w:p w:rsidR="009C6A81" w:rsidRDefault="00ED5651">
            <w:pPr>
              <w:numPr>
                <w:ilvl w:val="0"/>
                <w:numId w:val="99"/>
              </w:numPr>
              <w:jc w:val="left"/>
              <w:rPr>
                <w:color w:val="AEAAAA"/>
                <w:sz w:val="20"/>
                <w:szCs w:val="20"/>
              </w:rPr>
            </w:pPr>
            <w:r>
              <w:rPr>
                <w:color w:val="AEAAAA"/>
                <w:sz w:val="20"/>
                <w:szCs w:val="20"/>
              </w:rPr>
              <w:t>Probably yes</w:t>
            </w:r>
          </w:p>
          <w:p w:rsidR="009C6A81" w:rsidRDefault="00ED5651">
            <w:pPr>
              <w:numPr>
                <w:ilvl w:val="0"/>
                <w:numId w:val="99"/>
              </w:numPr>
              <w:jc w:val="left"/>
              <w:rPr>
                <w:color w:val="AEAAAA"/>
                <w:sz w:val="20"/>
                <w:szCs w:val="20"/>
              </w:rPr>
            </w:pPr>
            <w:r>
              <w:rPr>
                <w:color w:val="AEAAAA"/>
                <w:sz w:val="20"/>
                <w:szCs w:val="20"/>
              </w:rPr>
              <w:t>Probably not</w:t>
            </w:r>
          </w:p>
          <w:p w:rsidR="009C6A81" w:rsidRDefault="00ED5651">
            <w:pPr>
              <w:numPr>
                <w:ilvl w:val="0"/>
                <w:numId w:val="99"/>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99"/>
              </w:numPr>
              <w:jc w:val="left"/>
              <w:rPr>
                <w:sz w:val="20"/>
                <w:szCs w:val="20"/>
              </w:rPr>
            </w:pPr>
            <w:r>
              <w:rPr>
                <w:b/>
                <w:sz w:val="20"/>
                <w:szCs w:val="20"/>
              </w:rPr>
              <w:t>Yes</w:t>
            </w:r>
          </w:p>
          <w:p w:rsidR="009C6A81" w:rsidRDefault="00ED5651">
            <w:pPr>
              <w:numPr>
                <w:ilvl w:val="0"/>
                <w:numId w:val="99"/>
              </w:numPr>
              <w:jc w:val="left"/>
              <w:rPr>
                <w:color w:val="AEAAAA"/>
                <w:sz w:val="20"/>
                <w:szCs w:val="20"/>
              </w:rPr>
            </w:pPr>
            <w:r>
              <w:rPr>
                <w:color w:val="AEAAAA"/>
                <w:sz w:val="20"/>
                <w:szCs w:val="20"/>
              </w:rPr>
              <w:t>Probably yes</w:t>
            </w:r>
          </w:p>
          <w:p w:rsidR="009C6A81" w:rsidRDefault="00ED5651">
            <w:pPr>
              <w:numPr>
                <w:ilvl w:val="0"/>
                <w:numId w:val="99"/>
              </w:numPr>
              <w:jc w:val="left"/>
              <w:rPr>
                <w:color w:val="AEAAAA"/>
                <w:sz w:val="20"/>
                <w:szCs w:val="20"/>
              </w:rPr>
            </w:pPr>
            <w:r>
              <w:rPr>
                <w:color w:val="AEAAAA"/>
                <w:sz w:val="20"/>
                <w:szCs w:val="20"/>
              </w:rPr>
              <w:t>Probably not</w:t>
            </w:r>
          </w:p>
          <w:p w:rsidR="009C6A81" w:rsidRDefault="00ED5651">
            <w:pPr>
              <w:numPr>
                <w:ilvl w:val="0"/>
                <w:numId w:val="99"/>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50"/>
              </w:numPr>
              <w:rPr>
                <w:sz w:val="20"/>
                <w:szCs w:val="20"/>
              </w:rPr>
            </w:pPr>
            <w:r>
              <w:rPr>
                <w:b/>
                <w:sz w:val="20"/>
                <w:szCs w:val="20"/>
              </w:rPr>
              <w:t>Population</w:t>
            </w:r>
            <w:r>
              <w:rPr>
                <w:sz w:val="20"/>
                <w:szCs w:val="20"/>
              </w:rPr>
              <w:t>: people living with obesity.</w:t>
            </w:r>
          </w:p>
          <w:p w:rsidR="009C6A81" w:rsidRDefault="00ED5651">
            <w:pPr>
              <w:numPr>
                <w:ilvl w:val="0"/>
                <w:numId w:val="50"/>
              </w:numPr>
              <w:rPr>
                <w:sz w:val="20"/>
                <w:szCs w:val="20"/>
              </w:rPr>
            </w:pPr>
            <w:r>
              <w:rPr>
                <w:b/>
                <w:sz w:val="20"/>
                <w:szCs w:val="20"/>
              </w:rPr>
              <w:t>Intervention</w:t>
            </w:r>
            <w:r>
              <w:rPr>
                <w:sz w:val="20"/>
                <w:szCs w:val="20"/>
              </w:rPr>
              <w:t xml:space="preserve">: implementation of the Edmonton Obesity Staging System (EOSS) for the diagnosis and treatment of obesity.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99"/>
              </w:numPr>
              <w:jc w:val="left"/>
              <w:rPr>
                <w:sz w:val="20"/>
                <w:szCs w:val="20"/>
              </w:rPr>
            </w:pPr>
            <w:r>
              <w:rPr>
                <w:b/>
                <w:sz w:val="20"/>
                <w:szCs w:val="20"/>
              </w:rPr>
              <w:t>Yes</w:t>
            </w:r>
          </w:p>
          <w:p w:rsidR="009C6A81" w:rsidRDefault="00ED5651">
            <w:pPr>
              <w:numPr>
                <w:ilvl w:val="0"/>
                <w:numId w:val="99"/>
              </w:numPr>
              <w:jc w:val="left"/>
              <w:rPr>
                <w:color w:val="AEAAAA"/>
                <w:sz w:val="20"/>
                <w:szCs w:val="20"/>
              </w:rPr>
            </w:pPr>
            <w:r>
              <w:rPr>
                <w:color w:val="AEAAAA"/>
                <w:sz w:val="20"/>
                <w:szCs w:val="20"/>
              </w:rPr>
              <w:t>Probably yes</w:t>
            </w:r>
          </w:p>
          <w:p w:rsidR="009C6A81" w:rsidRDefault="00ED5651">
            <w:pPr>
              <w:numPr>
                <w:ilvl w:val="0"/>
                <w:numId w:val="99"/>
              </w:numPr>
              <w:jc w:val="left"/>
              <w:rPr>
                <w:color w:val="AEAAAA"/>
                <w:sz w:val="20"/>
                <w:szCs w:val="20"/>
              </w:rPr>
            </w:pPr>
            <w:r>
              <w:rPr>
                <w:color w:val="AEAAAA"/>
                <w:sz w:val="20"/>
                <w:szCs w:val="20"/>
              </w:rPr>
              <w:t>Probably not</w:t>
            </w:r>
          </w:p>
          <w:p w:rsidR="009C6A81" w:rsidRDefault="00ED5651">
            <w:pPr>
              <w:numPr>
                <w:ilvl w:val="0"/>
                <w:numId w:val="99"/>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There is an association between the diagnosis of obesity and the development of physical, metabolic and mental health complications. Tools are nee</w:t>
            </w:r>
            <w:r>
              <w:rPr>
                <w:sz w:val="20"/>
                <w:szCs w:val="20"/>
              </w:rPr>
              <w:t xml:space="preserve">ded to better understand the severity of the stage of the disease in order to adequately guide its treatment. </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107"/>
              </w:numPr>
              <w:jc w:val="left"/>
              <w:rPr>
                <w:sz w:val="20"/>
                <w:szCs w:val="20"/>
              </w:rPr>
            </w:pPr>
            <w:r>
              <w:rPr>
                <w:b/>
                <w:sz w:val="20"/>
                <w:szCs w:val="20"/>
              </w:rPr>
              <w:t>Yes</w:t>
            </w:r>
          </w:p>
          <w:p w:rsidR="009C6A81" w:rsidRDefault="00ED5651">
            <w:pPr>
              <w:numPr>
                <w:ilvl w:val="0"/>
                <w:numId w:val="107"/>
              </w:numPr>
              <w:jc w:val="left"/>
              <w:rPr>
                <w:color w:val="AEAAAA"/>
                <w:sz w:val="20"/>
                <w:szCs w:val="20"/>
              </w:rPr>
            </w:pPr>
            <w:r>
              <w:rPr>
                <w:color w:val="AEAAAA"/>
                <w:sz w:val="20"/>
                <w:szCs w:val="20"/>
              </w:rPr>
              <w:t>Probably yes</w:t>
            </w:r>
          </w:p>
          <w:p w:rsidR="009C6A81" w:rsidRDefault="00ED5651">
            <w:pPr>
              <w:numPr>
                <w:ilvl w:val="0"/>
                <w:numId w:val="107"/>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107"/>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81"/>
              </w:numPr>
              <w:jc w:val="left"/>
              <w:rPr>
                <w:sz w:val="20"/>
                <w:szCs w:val="20"/>
              </w:rPr>
            </w:pPr>
            <w:r>
              <w:rPr>
                <w:color w:val="AEAAAA"/>
                <w:sz w:val="20"/>
                <w:szCs w:val="20"/>
              </w:rPr>
              <w:t>Importance of the problem.</w:t>
            </w:r>
          </w:p>
          <w:p w:rsidR="009C6A81" w:rsidRDefault="00ED5651">
            <w:pPr>
              <w:numPr>
                <w:ilvl w:val="0"/>
                <w:numId w:val="81"/>
              </w:numPr>
              <w:jc w:val="left"/>
              <w:rPr>
                <w:color w:val="AEAAAA"/>
                <w:sz w:val="20"/>
                <w:szCs w:val="20"/>
              </w:rPr>
            </w:pPr>
            <w:r>
              <w:rPr>
                <w:color w:val="AEAAAA"/>
                <w:sz w:val="20"/>
                <w:szCs w:val="20"/>
              </w:rPr>
              <w:t>Certainty of evidence.</w:t>
            </w:r>
          </w:p>
          <w:p w:rsidR="009C6A81" w:rsidRDefault="00ED5651">
            <w:pPr>
              <w:numPr>
                <w:ilvl w:val="0"/>
                <w:numId w:val="81"/>
              </w:numPr>
              <w:jc w:val="left"/>
              <w:rPr>
                <w:sz w:val="20"/>
                <w:szCs w:val="20"/>
              </w:rPr>
            </w:pPr>
            <w:r>
              <w:rPr>
                <w:sz w:val="20"/>
                <w:szCs w:val="20"/>
              </w:rPr>
              <w:t>Values.</w:t>
            </w:r>
          </w:p>
          <w:p w:rsidR="009C6A81" w:rsidRDefault="00ED5651">
            <w:pPr>
              <w:numPr>
                <w:ilvl w:val="0"/>
                <w:numId w:val="81"/>
              </w:numPr>
              <w:jc w:val="left"/>
              <w:rPr>
                <w:sz w:val="20"/>
                <w:szCs w:val="20"/>
              </w:rPr>
            </w:pPr>
            <w:r>
              <w:rPr>
                <w:sz w:val="20"/>
                <w:szCs w:val="20"/>
              </w:rPr>
              <w:t>Magnitude of resource requirements.</w:t>
            </w:r>
          </w:p>
          <w:p w:rsidR="009C6A81" w:rsidRDefault="00ED5651">
            <w:pPr>
              <w:numPr>
                <w:ilvl w:val="0"/>
                <w:numId w:val="81"/>
              </w:numPr>
              <w:jc w:val="left"/>
              <w:rPr>
                <w:color w:val="AEAAAA"/>
                <w:sz w:val="20"/>
                <w:szCs w:val="20"/>
              </w:rPr>
            </w:pPr>
            <w:r>
              <w:rPr>
                <w:color w:val="AEAAAA"/>
                <w:sz w:val="20"/>
                <w:szCs w:val="20"/>
              </w:rPr>
              <w:t>Certainty of evidence or resource use.</w:t>
            </w:r>
          </w:p>
          <w:p w:rsidR="009C6A81" w:rsidRDefault="00ED5651">
            <w:pPr>
              <w:numPr>
                <w:ilvl w:val="0"/>
                <w:numId w:val="81"/>
              </w:numPr>
              <w:jc w:val="left"/>
              <w:rPr>
                <w:sz w:val="20"/>
                <w:szCs w:val="20"/>
              </w:rPr>
            </w:pPr>
            <w:r>
              <w:rPr>
                <w:sz w:val="20"/>
                <w:szCs w:val="20"/>
              </w:rPr>
              <w:t>Cost-effectiveness.</w:t>
            </w:r>
          </w:p>
          <w:p w:rsidR="009C6A81" w:rsidRDefault="00ED5651">
            <w:pPr>
              <w:numPr>
                <w:ilvl w:val="0"/>
                <w:numId w:val="81"/>
              </w:numPr>
              <w:jc w:val="left"/>
              <w:rPr>
                <w:sz w:val="20"/>
                <w:szCs w:val="20"/>
              </w:rPr>
            </w:pPr>
            <w:r>
              <w:rPr>
                <w:sz w:val="20"/>
                <w:szCs w:val="20"/>
              </w:rPr>
              <w:t>Equity.</w:t>
            </w:r>
          </w:p>
          <w:p w:rsidR="009C6A81" w:rsidRDefault="00ED5651">
            <w:pPr>
              <w:numPr>
                <w:ilvl w:val="0"/>
                <w:numId w:val="81"/>
              </w:numPr>
              <w:jc w:val="left"/>
              <w:rPr>
                <w:sz w:val="20"/>
                <w:szCs w:val="20"/>
              </w:rPr>
            </w:pPr>
            <w:r>
              <w:rPr>
                <w:sz w:val="20"/>
                <w:szCs w:val="20"/>
              </w:rPr>
              <w:t>Acceptability.</w:t>
            </w:r>
          </w:p>
          <w:p w:rsidR="009C6A81" w:rsidRDefault="00ED5651">
            <w:pPr>
              <w:numPr>
                <w:ilvl w:val="0"/>
                <w:numId w:val="81"/>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 xml:space="preserve">Based on the indirect evidence identified and the panel's experience, the use of EOSS is likely to result in great benefits for the diagnosis and treatment of obesity. </w:t>
            </w:r>
          </w:p>
          <w:p w:rsidR="009C6A81" w:rsidRDefault="009C6A81">
            <w:pPr>
              <w:rPr>
                <w:sz w:val="20"/>
                <w:szCs w:val="20"/>
              </w:rPr>
            </w:pPr>
          </w:p>
          <w:p w:rsidR="009C6A81" w:rsidRDefault="00ED5651">
            <w:pPr>
              <w:rPr>
                <w:sz w:val="20"/>
                <w:szCs w:val="20"/>
              </w:rPr>
            </w:pPr>
            <w:r>
              <w:rPr>
                <w:sz w:val="20"/>
                <w:szCs w:val="20"/>
              </w:rPr>
              <w:t>This statement is deemed to satisfy the following EtD criteria:</w:t>
            </w:r>
          </w:p>
          <w:p w:rsidR="009C6A81" w:rsidRDefault="00ED5651">
            <w:pPr>
              <w:numPr>
                <w:ilvl w:val="0"/>
                <w:numId w:val="91"/>
              </w:numPr>
              <w:rPr>
                <w:sz w:val="20"/>
                <w:szCs w:val="20"/>
              </w:rPr>
            </w:pPr>
            <w:r>
              <w:rPr>
                <w:b/>
                <w:sz w:val="20"/>
                <w:szCs w:val="20"/>
              </w:rPr>
              <w:t>Values:</w:t>
            </w:r>
            <w:r>
              <w:rPr>
                <w:sz w:val="20"/>
                <w:szCs w:val="20"/>
              </w:rPr>
              <w:t xml:space="preserve"> Individuals ar</w:t>
            </w:r>
            <w:r>
              <w:rPr>
                <w:sz w:val="20"/>
                <w:szCs w:val="20"/>
              </w:rPr>
              <w:t>e likely to place high value on change in the therapeutic approach based on staging systems such as EOSS.</w:t>
            </w:r>
          </w:p>
          <w:p w:rsidR="009C6A81" w:rsidRDefault="00ED5651">
            <w:pPr>
              <w:numPr>
                <w:ilvl w:val="0"/>
                <w:numId w:val="91"/>
              </w:numPr>
              <w:rPr>
                <w:sz w:val="20"/>
                <w:szCs w:val="20"/>
              </w:rPr>
            </w:pPr>
            <w:r>
              <w:rPr>
                <w:b/>
                <w:sz w:val="20"/>
                <w:szCs w:val="20"/>
              </w:rPr>
              <w:t>Magnitude of resource requirements:</w:t>
            </w:r>
            <w:r>
              <w:rPr>
                <w:sz w:val="20"/>
                <w:szCs w:val="20"/>
              </w:rPr>
              <w:t xml:space="preserve"> The application of EOSS has no direct costs (it does not require supplies or equipment), however, it would result </w:t>
            </w:r>
            <w:r>
              <w:rPr>
                <w:sz w:val="20"/>
                <w:szCs w:val="20"/>
              </w:rPr>
              <w:t>in indirect costs as it requires training of health professionals for its correct implementation.</w:t>
            </w:r>
          </w:p>
          <w:p w:rsidR="009C6A81" w:rsidRDefault="00ED5651">
            <w:pPr>
              <w:numPr>
                <w:ilvl w:val="0"/>
                <w:numId w:val="91"/>
              </w:numPr>
              <w:rPr>
                <w:sz w:val="20"/>
                <w:szCs w:val="20"/>
              </w:rPr>
            </w:pPr>
            <w:r>
              <w:rPr>
                <w:b/>
                <w:sz w:val="20"/>
                <w:szCs w:val="20"/>
              </w:rPr>
              <w:t>Cost-effectiveness:</w:t>
            </w:r>
            <w:r>
              <w:rPr>
                <w:sz w:val="20"/>
                <w:szCs w:val="20"/>
              </w:rPr>
              <w:t xml:space="preserve"> Although the implementation of EOSS requires time and resources to train personnel, it would also make it possible to determine the best t</w:t>
            </w:r>
            <w:r>
              <w:rPr>
                <w:sz w:val="20"/>
                <w:szCs w:val="20"/>
              </w:rPr>
              <w:t xml:space="preserve">reatment alternative, avoiding expenses for ineffective treatments and, based on a correct estimation of risk, reduce the incidence of complications, and thus all the associated expenses. </w:t>
            </w:r>
          </w:p>
          <w:p w:rsidR="009C6A81" w:rsidRDefault="00ED5651">
            <w:pPr>
              <w:numPr>
                <w:ilvl w:val="0"/>
                <w:numId w:val="91"/>
              </w:numPr>
              <w:rPr>
                <w:sz w:val="20"/>
                <w:szCs w:val="20"/>
              </w:rPr>
            </w:pPr>
            <w:r>
              <w:rPr>
                <w:b/>
                <w:sz w:val="20"/>
                <w:szCs w:val="20"/>
              </w:rPr>
              <w:t xml:space="preserve">Equity: </w:t>
            </w:r>
            <w:r>
              <w:rPr>
                <w:sz w:val="20"/>
                <w:szCs w:val="20"/>
              </w:rPr>
              <w:t>the use of tools such as EOSS would increase equity by bett</w:t>
            </w:r>
            <w:r>
              <w:rPr>
                <w:sz w:val="20"/>
                <w:szCs w:val="20"/>
              </w:rPr>
              <w:t xml:space="preserve">er identifying the </w:t>
            </w:r>
            <w:r>
              <w:rPr>
                <w:sz w:val="20"/>
                <w:szCs w:val="20"/>
              </w:rPr>
              <w:lastRenderedPageBreak/>
              <w:t>biopsychosocial components associated with the manifestation of the disease, thereby facilitating access to obesity treatment for disadvantaged groups.</w:t>
            </w:r>
          </w:p>
          <w:p w:rsidR="009C6A81" w:rsidRDefault="00ED5651">
            <w:pPr>
              <w:numPr>
                <w:ilvl w:val="0"/>
                <w:numId w:val="91"/>
              </w:numPr>
              <w:rPr>
                <w:sz w:val="20"/>
                <w:szCs w:val="20"/>
              </w:rPr>
            </w:pPr>
            <w:r>
              <w:rPr>
                <w:b/>
                <w:sz w:val="20"/>
                <w:szCs w:val="20"/>
              </w:rPr>
              <w:t>Acceptability</w:t>
            </w:r>
            <w:r>
              <w:rPr>
                <w:sz w:val="20"/>
                <w:szCs w:val="20"/>
              </w:rPr>
              <w:t>: This is likely to be an acceptable intervention for both clinicians an</w:t>
            </w:r>
            <w:r>
              <w:rPr>
                <w:sz w:val="20"/>
                <w:szCs w:val="20"/>
              </w:rPr>
              <w:t>d patients, as staging would allow more relevant treatments for people with obesity, avoiding complications, saving time and resources in ineffective interventions.</w:t>
            </w:r>
          </w:p>
          <w:p w:rsidR="009C6A81" w:rsidRDefault="00ED5651">
            <w:pPr>
              <w:numPr>
                <w:ilvl w:val="0"/>
                <w:numId w:val="91"/>
              </w:numPr>
              <w:rPr>
                <w:sz w:val="20"/>
                <w:szCs w:val="20"/>
              </w:rPr>
            </w:pPr>
            <w:r>
              <w:rPr>
                <w:b/>
                <w:sz w:val="20"/>
                <w:szCs w:val="20"/>
              </w:rPr>
              <w:t>Factibility:</w:t>
            </w:r>
            <w:r>
              <w:rPr>
                <w:sz w:val="20"/>
                <w:szCs w:val="20"/>
              </w:rPr>
              <w:t xml:space="preserve"> The implementation of EOSS is probably feasible because it does not require a </w:t>
            </w:r>
            <w:r>
              <w:rPr>
                <w:sz w:val="20"/>
                <w:szCs w:val="20"/>
              </w:rPr>
              <w:t xml:space="preserve">large amount of resources; however, it should be considered that some of the components included in the assessment may require diagnosis or study in centers of greater complexity.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99"/>
              </w:numPr>
              <w:jc w:val="left"/>
              <w:rPr>
                <w:sz w:val="20"/>
                <w:szCs w:val="20"/>
              </w:rPr>
            </w:pPr>
            <w:r>
              <w:rPr>
                <w:b/>
                <w:sz w:val="20"/>
                <w:szCs w:val="20"/>
              </w:rPr>
              <w:t>Yes</w:t>
            </w:r>
          </w:p>
          <w:p w:rsidR="009C6A81" w:rsidRDefault="00ED5651">
            <w:pPr>
              <w:numPr>
                <w:ilvl w:val="0"/>
                <w:numId w:val="99"/>
              </w:numPr>
              <w:jc w:val="left"/>
              <w:rPr>
                <w:color w:val="AEAAAA"/>
                <w:sz w:val="20"/>
                <w:szCs w:val="20"/>
              </w:rPr>
            </w:pPr>
            <w:r>
              <w:rPr>
                <w:color w:val="AEAAAA"/>
                <w:sz w:val="20"/>
                <w:szCs w:val="20"/>
              </w:rPr>
              <w:t>Probably yes</w:t>
            </w:r>
          </w:p>
          <w:p w:rsidR="009C6A81" w:rsidRDefault="00ED5651">
            <w:pPr>
              <w:numPr>
                <w:ilvl w:val="0"/>
                <w:numId w:val="99"/>
              </w:numPr>
              <w:jc w:val="left"/>
              <w:rPr>
                <w:color w:val="AEAAAA"/>
                <w:sz w:val="20"/>
                <w:szCs w:val="20"/>
              </w:rPr>
            </w:pPr>
            <w:r>
              <w:rPr>
                <w:color w:val="AEAAAA"/>
                <w:sz w:val="20"/>
                <w:szCs w:val="20"/>
              </w:rPr>
              <w:t>Probably not</w:t>
            </w:r>
          </w:p>
          <w:p w:rsidR="009C6A81" w:rsidRDefault="00ED5651">
            <w:pPr>
              <w:numPr>
                <w:ilvl w:val="0"/>
                <w:numId w:val="99"/>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A good diagn</w:t>
            </w:r>
            <w:r>
              <w:rPr>
                <w:sz w:val="20"/>
                <w:szCs w:val="20"/>
              </w:rPr>
              <w:t>osis, assessment of disease progression and estimation of a patient's risk are a must and part of routine clinical practice. There is consensus that body mass index and waist circumference alone are not sufficient to determine the severity of obesity. It h</w:t>
            </w:r>
            <w:r>
              <w:rPr>
                <w:sz w:val="20"/>
                <w:szCs w:val="20"/>
              </w:rPr>
              <w:t>as also been shown that there is an association between obesity and the development of other diseases. There is no reason to think that not using EOSS is of greater benefit than using it, or that using it as an adjunct to clinical assessment would be harmf</w:t>
            </w:r>
            <w:r>
              <w:rPr>
                <w:sz w:val="20"/>
                <w:szCs w:val="20"/>
              </w:rPr>
              <w:t>ul to the patient. Therefore, collecting, summarizing and formally discussing the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99"/>
              </w:numPr>
              <w:jc w:val="left"/>
              <w:rPr>
                <w:sz w:val="20"/>
                <w:szCs w:val="20"/>
              </w:rPr>
            </w:pPr>
            <w:r>
              <w:rPr>
                <w:b/>
                <w:sz w:val="20"/>
                <w:szCs w:val="20"/>
              </w:rPr>
              <w:t>Yes</w:t>
            </w:r>
          </w:p>
          <w:p w:rsidR="009C6A81" w:rsidRDefault="00ED5651">
            <w:pPr>
              <w:numPr>
                <w:ilvl w:val="0"/>
                <w:numId w:val="99"/>
              </w:numPr>
              <w:jc w:val="left"/>
              <w:rPr>
                <w:color w:val="AEAAAA"/>
                <w:sz w:val="20"/>
                <w:szCs w:val="20"/>
              </w:rPr>
            </w:pPr>
            <w:r>
              <w:rPr>
                <w:color w:val="AEAAAA"/>
                <w:sz w:val="20"/>
                <w:szCs w:val="20"/>
              </w:rPr>
              <w:t>Probably yes</w:t>
            </w:r>
          </w:p>
          <w:p w:rsidR="009C6A81" w:rsidRDefault="00ED5651">
            <w:pPr>
              <w:numPr>
                <w:ilvl w:val="0"/>
                <w:numId w:val="99"/>
              </w:numPr>
              <w:jc w:val="left"/>
              <w:rPr>
                <w:color w:val="AEAAAA"/>
                <w:sz w:val="20"/>
                <w:szCs w:val="20"/>
              </w:rPr>
            </w:pPr>
            <w:r>
              <w:rPr>
                <w:color w:val="AEAAAA"/>
                <w:sz w:val="20"/>
                <w:szCs w:val="20"/>
              </w:rPr>
              <w:t>Probably not</w:t>
            </w:r>
          </w:p>
          <w:p w:rsidR="009C6A81" w:rsidRDefault="00ED5651">
            <w:pPr>
              <w:numPr>
                <w:ilvl w:val="0"/>
                <w:numId w:val="99"/>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Indirect evidence from the Canadian clinical practice guideline (1) was identified to support this good practice statement. It was found that the EOSS was proposed as a tool to guide clinical decisions based on the assessment of obesity in each BMI categor</w:t>
            </w:r>
            <w:r>
              <w:rPr>
                <w:sz w:val="20"/>
                <w:szCs w:val="20"/>
              </w:rPr>
              <w:t>y. Higher stages of EOSS are associated with increased risk of postoperative complications and/or worse outcomes following bariatric surgery and non-surgical weight control interventions.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5. The declaration is clear and actionable.</w:t>
            </w:r>
          </w:p>
        </w:tc>
        <w:tc>
          <w:tcPr>
            <w:tcW w:w="2520" w:type="dxa"/>
            <w:tcMar>
              <w:top w:w="150" w:type="dxa"/>
              <w:left w:w="150" w:type="dxa"/>
              <w:bottom w:w="150" w:type="dxa"/>
              <w:right w:w="150" w:type="dxa"/>
            </w:tcMar>
          </w:tcPr>
          <w:p w:rsidR="009C6A81" w:rsidRDefault="00ED5651">
            <w:pPr>
              <w:numPr>
                <w:ilvl w:val="0"/>
                <w:numId w:val="99"/>
              </w:numPr>
              <w:jc w:val="left"/>
              <w:rPr>
                <w:sz w:val="20"/>
                <w:szCs w:val="20"/>
              </w:rPr>
            </w:pPr>
            <w:r>
              <w:rPr>
                <w:b/>
                <w:sz w:val="20"/>
                <w:szCs w:val="20"/>
              </w:rPr>
              <w:t>Yes</w:t>
            </w:r>
          </w:p>
          <w:p w:rsidR="009C6A81" w:rsidRDefault="00ED5651">
            <w:pPr>
              <w:numPr>
                <w:ilvl w:val="0"/>
                <w:numId w:val="99"/>
              </w:numPr>
              <w:jc w:val="left"/>
              <w:rPr>
                <w:color w:val="AEAAAA"/>
                <w:sz w:val="20"/>
                <w:szCs w:val="20"/>
              </w:rPr>
            </w:pPr>
            <w:r>
              <w:rPr>
                <w:color w:val="AEAAAA"/>
                <w:sz w:val="20"/>
                <w:szCs w:val="20"/>
              </w:rPr>
              <w:t>Probably yes</w:t>
            </w:r>
          </w:p>
          <w:p w:rsidR="009C6A81" w:rsidRDefault="00ED5651">
            <w:pPr>
              <w:numPr>
                <w:ilvl w:val="0"/>
                <w:numId w:val="99"/>
              </w:numPr>
              <w:jc w:val="left"/>
              <w:rPr>
                <w:color w:val="AEAAAA"/>
                <w:sz w:val="20"/>
                <w:szCs w:val="20"/>
              </w:rPr>
            </w:pPr>
            <w:r>
              <w:rPr>
                <w:color w:val="AEAAAA"/>
                <w:sz w:val="20"/>
                <w:szCs w:val="20"/>
              </w:rPr>
              <w:t>Probably not</w:t>
            </w:r>
          </w:p>
          <w:p w:rsidR="009C6A81" w:rsidRDefault="00ED5651">
            <w:pPr>
              <w:numPr>
                <w:ilvl w:val="0"/>
                <w:numId w:val="99"/>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jc w:val="left"/>
              <w:rPr>
                <w:sz w:val="20"/>
                <w:szCs w:val="20"/>
                <w:highlight w:val="yellow"/>
              </w:rPr>
            </w:pPr>
            <w:r>
              <w:rPr>
                <w:sz w:val="20"/>
                <w:szCs w:val="20"/>
              </w:rPr>
              <w:t xml:space="preserve">This statement sets out a clear course of action: implement the Edmonton Obesity Staging System to determine the severity of obesity and guide clinical decision making. </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14"/>
              </w:numPr>
              <w:tabs>
                <w:tab w:val="left" w:pos="142"/>
              </w:tabs>
              <w:spacing w:line="276" w:lineRule="auto"/>
              <w:rPr>
                <w:sz w:val="18"/>
                <w:szCs w:val="18"/>
              </w:rPr>
            </w:pPr>
            <w:r>
              <w:rPr>
                <w:sz w:val="18"/>
                <w:szCs w:val="18"/>
              </w:rPr>
              <w:t>Rueda-Clausen CF, Poddar M, Lear SA, Poirier P, Sharma AM. Canadian Adult Obesity Clinical Practice Guidelines: Assessment of People Living with Obesity. Available from: https://obesitycanada.ca/guidelines/assessment</w:t>
            </w:r>
          </w:p>
        </w:tc>
      </w:tr>
    </w:tbl>
    <w:p w:rsidR="009C6A81" w:rsidRDefault="009C6A81">
      <w:pPr>
        <w:ind w:left="-990"/>
      </w:pPr>
    </w:p>
    <w:p w:rsidR="009C6A81" w:rsidRDefault="009C6A81">
      <w:pPr>
        <w:ind w:left="-990"/>
        <w:rPr>
          <w:highlight w:val="yellow"/>
        </w:rPr>
      </w:pPr>
    </w:p>
    <w:p w:rsidR="009C6A81" w:rsidRDefault="00ED5651">
      <w:pPr>
        <w:pStyle w:val="Ttulo6"/>
        <w:ind w:hanging="990"/>
      </w:pPr>
      <w:bookmarkStart w:id="65" w:name="_1wjtbr7" w:colFirst="0" w:colLast="0"/>
      <w:bookmarkEnd w:id="65"/>
      <w:r>
        <w:t>Good practice statement 9. Healthcar</w:t>
      </w:r>
      <w:r>
        <w:t>e professionals should inform their patients about all evidence-based treatments for obesity, emphasizing that behavioral interventions focusing on nutrition and physical activity form the foundation of any treatment plan for individuals living with chroni</w:t>
      </w:r>
      <w:r>
        <w:t>c diseases.</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7"/>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65"/>
              </w:numPr>
              <w:jc w:val="left"/>
              <w:rPr>
                <w:sz w:val="20"/>
                <w:szCs w:val="20"/>
              </w:rPr>
            </w:pPr>
            <w:r>
              <w:rPr>
                <w:b/>
                <w:sz w:val="20"/>
                <w:szCs w:val="20"/>
              </w:rPr>
              <w:t>Yes</w:t>
            </w:r>
          </w:p>
          <w:p w:rsidR="009C6A81" w:rsidRDefault="00ED5651">
            <w:pPr>
              <w:numPr>
                <w:ilvl w:val="0"/>
                <w:numId w:val="65"/>
              </w:numPr>
              <w:jc w:val="left"/>
              <w:rPr>
                <w:color w:val="AEAAAA"/>
                <w:sz w:val="20"/>
                <w:szCs w:val="20"/>
              </w:rPr>
            </w:pPr>
            <w:r>
              <w:rPr>
                <w:color w:val="AEAAAA"/>
                <w:sz w:val="20"/>
                <w:szCs w:val="20"/>
              </w:rPr>
              <w:t>Probably yes</w:t>
            </w:r>
          </w:p>
          <w:p w:rsidR="009C6A81" w:rsidRDefault="00ED5651">
            <w:pPr>
              <w:numPr>
                <w:ilvl w:val="0"/>
                <w:numId w:val="65"/>
              </w:numPr>
              <w:jc w:val="left"/>
              <w:rPr>
                <w:color w:val="AEAAAA"/>
                <w:sz w:val="20"/>
                <w:szCs w:val="20"/>
              </w:rPr>
            </w:pPr>
            <w:r>
              <w:rPr>
                <w:color w:val="AEAAAA"/>
                <w:sz w:val="20"/>
                <w:szCs w:val="20"/>
              </w:rPr>
              <w:t>Probably not</w:t>
            </w:r>
          </w:p>
          <w:p w:rsidR="009C6A81" w:rsidRDefault="00ED5651">
            <w:pPr>
              <w:numPr>
                <w:ilvl w:val="0"/>
                <w:numId w:val="65"/>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65"/>
              </w:numPr>
              <w:jc w:val="left"/>
              <w:rPr>
                <w:sz w:val="20"/>
                <w:szCs w:val="20"/>
              </w:rPr>
            </w:pPr>
            <w:r>
              <w:rPr>
                <w:b/>
                <w:sz w:val="20"/>
                <w:szCs w:val="20"/>
              </w:rPr>
              <w:t>Yes</w:t>
            </w:r>
          </w:p>
          <w:p w:rsidR="009C6A81" w:rsidRDefault="00ED5651">
            <w:pPr>
              <w:numPr>
                <w:ilvl w:val="0"/>
                <w:numId w:val="65"/>
              </w:numPr>
              <w:jc w:val="left"/>
              <w:rPr>
                <w:color w:val="AEAAAA"/>
                <w:sz w:val="20"/>
                <w:szCs w:val="20"/>
              </w:rPr>
            </w:pPr>
            <w:r>
              <w:rPr>
                <w:color w:val="AEAAAA"/>
                <w:sz w:val="20"/>
                <w:szCs w:val="20"/>
              </w:rPr>
              <w:t>Probably yes</w:t>
            </w:r>
          </w:p>
          <w:p w:rsidR="009C6A81" w:rsidRDefault="00ED5651">
            <w:pPr>
              <w:numPr>
                <w:ilvl w:val="0"/>
                <w:numId w:val="65"/>
              </w:numPr>
              <w:jc w:val="left"/>
              <w:rPr>
                <w:color w:val="AEAAAA"/>
                <w:sz w:val="20"/>
                <w:szCs w:val="20"/>
              </w:rPr>
            </w:pPr>
            <w:r>
              <w:rPr>
                <w:color w:val="AEAAAA"/>
                <w:sz w:val="20"/>
                <w:szCs w:val="20"/>
              </w:rPr>
              <w:t>Probably not</w:t>
            </w:r>
          </w:p>
          <w:p w:rsidR="009C6A81" w:rsidRDefault="00ED5651">
            <w:pPr>
              <w:numPr>
                <w:ilvl w:val="0"/>
                <w:numId w:val="65"/>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component</w:t>
            </w:r>
            <w:r>
              <w:rPr>
                <w:sz w:val="20"/>
                <w:szCs w:val="20"/>
              </w:rPr>
              <w:t>s of the statement are:</w:t>
            </w:r>
          </w:p>
          <w:p w:rsidR="009C6A81" w:rsidRDefault="00ED5651">
            <w:pPr>
              <w:numPr>
                <w:ilvl w:val="0"/>
                <w:numId w:val="34"/>
              </w:numPr>
              <w:rPr>
                <w:sz w:val="20"/>
                <w:szCs w:val="20"/>
              </w:rPr>
            </w:pPr>
            <w:r>
              <w:rPr>
                <w:b/>
                <w:sz w:val="20"/>
                <w:szCs w:val="20"/>
              </w:rPr>
              <w:t>Population</w:t>
            </w:r>
            <w:r>
              <w:rPr>
                <w:sz w:val="20"/>
                <w:szCs w:val="20"/>
              </w:rPr>
              <w:t>: people living with obesity.</w:t>
            </w:r>
          </w:p>
          <w:p w:rsidR="009C6A81" w:rsidRDefault="00ED5651">
            <w:pPr>
              <w:numPr>
                <w:ilvl w:val="0"/>
                <w:numId w:val="34"/>
              </w:numPr>
              <w:rPr>
                <w:sz w:val="20"/>
                <w:szCs w:val="20"/>
              </w:rPr>
            </w:pPr>
            <w:r>
              <w:rPr>
                <w:b/>
                <w:sz w:val="20"/>
                <w:szCs w:val="20"/>
              </w:rPr>
              <w:t>Intervention</w:t>
            </w:r>
            <w:r>
              <w:rPr>
                <w:sz w:val="20"/>
                <w:szCs w:val="20"/>
              </w:rPr>
              <w:t xml:space="preserve">: receive information on all evidence-based treatments for obesity, considering behavioral interventions as the basis of any management plan.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65"/>
              </w:numPr>
              <w:jc w:val="left"/>
              <w:rPr>
                <w:sz w:val="20"/>
                <w:szCs w:val="20"/>
              </w:rPr>
            </w:pPr>
            <w:r>
              <w:rPr>
                <w:b/>
                <w:sz w:val="20"/>
                <w:szCs w:val="20"/>
              </w:rPr>
              <w:t>Yes</w:t>
            </w:r>
          </w:p>
          <w:p w:rsidR="009C6A81" w:rsidRDefault="00ED5651">
            <w:pPr>
              <w:numPr>
                <w:ilvl w:val="0"/>
                <w:numId w:val="65"/>
              </w:numPr>
              <w:jc w:val="left"/>
              <w:rPr>
                <w:color w:val="AEAAAA"/>
                <w:sz w:val="20"/>
                <w:szCs w:val="20"/>
              </w:rPr>
            </w:pPr>
            <w:r>
              <w:rPr>
                <w:color w:val="AEAAAA"/>
                <w:sz w:val="20"/>
                <w:szCs w:val="20"/>
              </w:rPr>
              <w:t>Probably yes</w:t>
            </w:r>
          </w:p>
          <w:p w:rsidR="009C6A81" w:rsidRDefault="00ED5651">
            <w:pPr>
              <w:numPr>
                <w:ilvl w:val="0"/>
                <w:numId w:val="65"/>
              </w:numPr>
              <w:jc w:val="left"/>
              <w:rPr>
                <w:color w:val="AEAAAA"/>
                <w:sz w:val="20"/>
                <w:szCs w:val="20"/>
              </w:rPr>
            </w:pPr>
            <w:r>
              <w:rPr>
                <w:color w:val="AEAAAA"/>
                <w:sz w:val="20"/>
                <w:szCs w:val="20"/>
              </w:rPr>
              <w:t>Probably not</w:t>
            </w:r>
          </w:p>
          <w:p w:rsidR="009C6A81" w:rsidRDefault="00ED5651">
            <w:pPr>
              <w:numPr>
                <w:ilvl w:val="0"/>
                <w:numId w:val="65"/>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color w:val="FF0000"/>
                <w:sz w:val="20"/>
                <w:szCs w:val="20"/>
              </w:rPr>
            </w:pPr>
            <w:r>
              <w:rPr>
                <w:sz w:val="20"/>
                <w:szCs w:val="20"/>
              </w:rPr>
              <w:t>The treatment of obesity is complex, with multiple alternatives such as behavioral interventions, pharmacotherapy, surgery, among others. It is essential for health professionals to inform about treatment alternatives in order to involve people in the mana</w:t>
            </w:r>
            <w:r>
              <w:rPr>
                <w:sz w:val="20"/>
                <w:szCs w:val="20"/>
              </w:rPr>
              <w:t>gement of their disease.</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w:t>
            </w:r>
            <w:r>
              <w:rPr>
                <w:b/>
                <w:sz w:val="20"/>
                <w:szCs w:val="20"/>
              </w:rPr>
              <w:lastRenderedPageBreak/>
              <w:t xml:space="preserve">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96"/>
              </w:numPr>
              <w:jc w:val="left"/>
              <w:rPr>
                <w:sz w:val="20"/>
                <w:szCs w:val="20"/>
              </w:rPr>
            </w:pPr>
            <w:r>
              <w:rPr>
                <w:b/>
                <w:sz w:val="20"/>
                <w:szCs w:val="20"/>
              </w:rPr>
              <w:lastRenderedPageBreak/>
              <w:t>Yes</w:t>
            </w:r>
          </w:p>
          <w:p w:rsidR="009C6A81" w:rsidRDefault="00ED5651">
            <w:pPr>
              <w:numPr>
                <w:ilvl w:val="0"/>
                <w:numId w:val="96"/>
              </w:numPr>
              <w:jc w:val="left"/>
              <w:rPr>
                <w:color w:val="AEAAAA"/>
                <w:sz w:val="20"/>
                <w:szCs w:val="20"/>
              </w:rPr>
            </w:pPr>
            <w:r>
              <w:rPr>
                <w:color w:val="AEAAAA"/>
                <w:sz w:val="20"/>
                <w:szCs w:val="20"/>
              </w:rPr>
              <w:t>Probably yes</w:t>
            </w:r>
          </w:p>
          <w:p w:rsidR="009C6A81" w:rsidRDefault="00ED5651">
            <w:pPr>
              <w:numPr>
                <w:ilvl w:val="0"/>
                <w:numId w:val="96"/>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96"/>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5"/>
              </w:numPr>
              <w:jc w:val="left"/>
              <w:rPr>
                <w:sz w:val="20"/>
                <w:szCs w:val="20"/>
              </w:rPr>
            </w:pPr>
            <w:r>
              <w:rPr>
                <w:color w:val="AEAAAA"/>
                <w:sz w:val="20"/>
                <w:szCs w:val="20"/>
              </w:rPr>
              <w:t>Importance of the problem.</w:t>
            </w:r>
          </w:p>
          <w:p w:rsidR="009C6A81" w:rsidRDefault="00ED5651">
            <w:pPr>
              <w:numPr>
                <w:ilvl w:val="0"/>
                <w:numId w:val="5"/>
              </w:numPr>
              <w:jc w:val="left"/>
              <w:rPr>
                <w:color w:val="AEAAAA"/>
                <w:sz w:val="20"/>
                <w:szCs w:val="20"/>
              </w:rPr>
            </w:pPr>
            <w:r>
              <w:rPr>
                <w:color w:val="AEAAAA"/>
                <w:sz w:val="20"/>
                <w:szCs w:val="20"/>
              </w:rPr>
              <w:t>Certainty of evidence.</w:t>
            </w:r>
          </w:p>
          <w:p w:rsidR="009C6A81" w:rsidRDefault="00ED5651">
            <w:pPr>
              <w:numPr>
                <w:ilvl w:val="0"/>
                <w:numId w:val="5"/>
              </w:numPr>
              <w:jc w:val="left"/>
              <w:rPr>
                <w:sz w:val="20"/>
                <w:szCs w:val="20"/>
              </w:rPr>
            </w:pPr>
            <w:r>
              <w:rPr>
                <w:sz w:val="20"/>
                <w:szCs w:val="20"/>
              </w:rPr>
              <w:t>Values.</w:t>
            </w:r>
          </w:p>
          <w:p w:rsidR="009C6A81" w:rsidRDefault="00ED5651">
            <w:pPr>
              <w:numPr>
                <w:ilvl w:val="0"/>
                <w:numId w:val="5"/>
              </w:numPr>
              <w:jc w:val="left"/>
              <w:rPr>
                <w:sz w:val="20"/>
                <w:szCs w:val="20"/>
              </w:rPr>
            </w:pPr>
            <w:r>
              <w:rPr>
                <w:sz w:val="20"/>
                <w:szCs w:val="20"/>
              </w:rPr>
              <w:t>Magnitude of resource requirements.</w:t>
            </w:r>
          </w:p>
          <w:p w:rsidR="009C6A81" w:rsidRDefault="00ED5651">
            <w:pPr>
              <w:numPr>
                <w:ilvl w:val="0"/>
                <w:numId w:val="5"/>
              </w:numPr>
              <w:jc w:val="left"/>
              <w:rPr>
                <w:color w:val="AEAAAA"/>
                <w:sz w:val="20"/>
                <w:szCs w:val="20"/>
              </w:rPr>
            </w:pPr>
            <w:r>
              <w:rPr>
                <w:color w:val="AEAAAA"/>
                <w:sz w:val="20"/>
                <w:szCs w:val="20"/>
              </w:rPr>
              <w:t>Certainty of evidence or resource use.</w:t>
            </w:r>
          </w:p>
          <w:p w:rsidR="009C6A81" w:rsidRDefault="00ED5651">
            <w:pPr>
              <w:numPr>
                <w:ilvl w:val="0"/>
                <w:numId w:val="5"/>
              </w:numPr>
              <w:jc w:val="left"/>
              <w:rPr>
                <w:sz w:val="20"/>
                <w:szCs w:val="20"/>
              </w:rPr>
            </w:pPr>
            <w:r>
              <w:rPr>
                <w:sz w:val="20"/>
                <w:szCs w:val="20"/>
              </w:rPr>
              <w:t>Cost-effectiveness.</w:t>
            </w:r>
          </w:p>
          <w:p w:rsidR="009C6A81" w:rsidRDefault="00ED5651">
            <w:pPr>
              <w:numPr>
                <w:ilvl w:val="0"/>
                <w:numId w:val="5"/>
              </w:numPr>
              <w:jc w:val="left"/>
              <w:rPr>
                <w:sz w:val="20"/>
                <w:szCs w:val="20"/>
              </w:rPr>
            </w:pPr>
            <w:r>
              <w:rPr>
                <w:sz w:val="20"/>
                <w:szCs w:val="20"/>
              </w:rPr>
              <w:t>Equity.</w:t>
            </w:r>
          </w:p>
          <w:p w:rsidR="009C6A81" w:rsidRDefault="00ED5651">
            <w:pPr>
              <w:numPr>
                <w:ilvl w:val="0"/>
                <w:numId w:val="5"/>
              </w:numPr>
              <w:jc w:val="left"/>
              <w:rPr>
                <w:sz w:val="20"/>
                <w:szCs w:val="20"/>
              </w:rPr>
            </w:pPr>
            <w:r>
              <w:rPr>
                <w:sz w:val="20"/>
                <w:szCs w:val="20"/>
              </w:rPr>
              <w:t>Acceptability.</w:t>
            </w:r>
          </w:p>
          <w:p w:rsidR="009C6A81" w:rsidRDefault="00ED5651">
            <w:pPr>
              <w:numPr>
                <w:ilvl w:val="0"/>
                <w:numId w:val="5"/>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lastRenderedPageBreak/>
              <w:t xml:space="preserve">Based on the indirect evidence identified and the panel's experience, informing patients about all therapeutic alternatives, with behavioral interventions (nutrition and </w:t>
            </w:r>
            <w:r>
              <w:rPr>
                <w:sz w:val="20"/>
                <w:szCs w:val="20"/>
              </w:rPr>
              <w:lastRenderedPageBreak/>
              <w:t>physical activity) for obesity as the basis, would result in great benefit.</w:t>
            </w:r>
          </w:p>
          <w:p w:rsidR="009C6A81" w:rsidRDefault="00ED5651">
            <w:pPr>
              <w:jc w:val="left"/>
              <w:rPr>
                <w:sz w:val="20"/>
                <w:szCs w:val="20"/>
              </w:rPr>
            </w:pPr>
            <w:r>
              <w:rPr>
                <w:sz w:val="20"/>
                <w:szCs w:val="20"/>
              </w:rPr>
              <w:t xml:space="preserve"> </w:t>
            </w:r>
          </w:p>
          <w:p w:rsidR="009C6A81" w:rsidRDefault="00ED5651">
            <w:pPr>
              <w:jc w:val="left"/>
              <w:rPr>
                <w:color w:val="FF0000"/>
                <w:sz w:val="20"/>
                <w:szCs w:val="20"/>
              </w:rPr>
            </w:pPr>
            <w:r>
              <w:rPr>
                <w:sz w:val="20"/>
                <w:szCs w:val="20"/>
              </w:rPr>
              <w:t>This sta</w:t>
            </w:r>
            <w:r>
              <w:rPr>
                <w:sz w:val="20"/>
                <w:szCs w:val="20"/>
              </w:rPr>
              <w:t>tement is deemed to satisfy the following EtD criteria:</w:t>
            </w:r>
          </w:p>
          <w:p w:rsidR="009C6A81" w:rsidRDefault="00ED5651">
            <w:pPr>
              <w:numPr>
                <w:ilvl w:val="0"/>
                <w:numId w:val="97"/>
              </w:numPr>
              <w:rPr>
                <w:sz w:val="20"/>
                <w:szCs w:val="20"/>
              </w:rPr>
            </w:pPr>
            <w:r>
              <w:rPr>
                <w:b/>
                <w:sz w:val="20"/>
                <w:szCs w:val="20"/>
              </w:rPr>
              <w:t>Values:</w:t>
            </w:r>
            <w:r>
              <w:rPr>
                <w:sz w:val="20"/>
                <w:szCs w:val="20"/>
              </w:rPr>
              <w:t xml:space="preserve"> people with obesity would consider it important to have access to the best treatment alternatives for their case, as a result of professionals informing them about them. There is no reason to </w:t>
            </w:r>
            <w:r>
              <w:rPr>
                <w:sz w:val="20"/>
                <w:szCs w:val="20"/>
              </w:rPr>
              <w:t xml:space="preserve">suspect variability in the values assigned to the outcomes.  </w:t>
            </w:r>
          </w:p>
          <w:p w:rsidR="009C6A81" w:rsidRDefault="00ED5651">
            <w:pPr>
              <w:numPr>
                <w:ilvl w:val="0"/>
                <w:numId w:val="97"/>
              </w:numPr>
              <w:rPr>
                <w:sz w:val="20"/>
                <w:szCs w:val="20"/>
              </w:rPr>
            </w:pPr>
            <w:r>
              <w:rPr>
                <w:b/>
                <w:sz w:val="20"/>
                <w:szCs w:val="20"/>
              </w:rPr>
              <w:t>Magnitude of resource requirements:</w:t>
            </w:r>
            <w:r>
              <w:rPr>
                <w:sz w:val="20"/>
                <w:szCs w:val="20"/>
              </w:rPr>
              <w:t xml:space="preserve"> Informing patients of the different treatment alternatives, considering behavioral interventions as the basis of the management plan, may require minimal asso</w:t>
            </w:r>
            <w:r>
              <w:rPr>
                <w:sz w:val="20"/>
                <w:szCs w:val="20"/>
              </w:rPr>
              <w:t>ciated costs (directly, increased consultation time; indirectly: need for training for health professionals).</w:t>
            </w:r>
          </w:p>
          <w:p w:rsidR="009C6A81" w:rsidRDefault="00ED5651">
            <w:pPr>
              <w:numPr>
                <w:ilvl w:val="0"/>
                <w:numId w:val="85"/>
              </w:numPr>
              <w:rPr>
                <w:sz w:val="20"/>
                <w:szCs w:val="20"/>
              </w:rPr>
            </w:pPr>
            <w:r>
              <w:rPr>
                <w:b/>
                <w:sz w:val="20"/>
                <w:szCs w:val="20"/>
              </w:rPr>
              <w:t>Cost-effectiveness:</w:t>
            </w:r>
            <w:r>
              <w:rPr>
                <w:sz w:val="20"/>
                <w:szCs w:val="20"/>
              </w:rPr>
              <w:t xml:space="preserve"> Investing more time in informing patients of the different treatment alternatives allows for better long-term treatment outcom</w:t>
            </w:r>
            <w:r>
              <w:rPr>
                <w:sz w:val="20"/>
                <w:szCs w:val="20"/>
              </w:rPr>
              <w:t>es and thus avoids complications associated with inadequate or irrelevant management of people with obesity.</w:t>
            </w:r>
          </w:p>
          <w:p w:rsidR="009C6A81" w:rsidRDefault="00ED5651">
            <w:pPr>
              <w:numPr>
                <w:ilvl w:val="0"/>
                <w:numId w:val="97"/>
              </w:numPr>
              <w:rPr>
                <w:sz w:val="20"/>
                <w:szCs w:val="20"/>
              </w:rPr>
            </w:pPr>
            <w:r>
              <w:rPr>
                <w:b/>
                <w:sz w:val="20"/>
                <w:szCs w:val="20"/>
              </w:rPr>
              <w:t>Equity:</w:t>
            </w:r>
            <w:r>
              <w:rPr>
                <w:sz w:val="20"/>
                <w:szCs w:val="20"/>
              </w:rPr>
              <w:t xml:space="preserve"> It would increase health equity, especially in disadvantaged groups with lower health literacy (e.g., those with lower educational levels).</w:t>
            </w:r>
          </w:p>
          <w:p w:rsidR="009C6A81" w:rsidRDefault="00ED5651">
            <w:pPr>
              <w:numPr>
                <w:ilvl w:val="0"/>
                <w:numId w:val="97"/>
              </w:numPr>
              <w:rPr>
                <w:sz w:val="20"/>
                <w:szCs w:val="20"/>
              </w:rPr>
            </w:pPr>
            <w:r>
              <w:rPr>
                <w:b/>
                <w:sz w:val="20"/>
                <w:szCs w:val="20"/>
              </w:rPr>
              <w:t>Acceptability:</w:t>
            </w:r>
            <w:r>
              <w:rPr>
                <w:sz w:val="20"/>
                <w:szCs w:val="20"/>
              </w:rPr>
              <w:t xml:space="preserve"> It would be acceptable to all or almost all key stakeholders.</w:t>
            </w:r>
          </w:p>
          <w:p w:rsidR="009C6A81" w:rsidRDefault="00ED5651">
            <w:pPr>
              <w:numPr>
                <w:ilvl w:val="0"/>
                <w:numId w:val="97"/>
              </w:numPr>
              <w:rPr>
                <w:sz w:val="20"/>
                <w:szCs w:val="20"/>
              </w:rPr>
            </w:pPr>
            <w:r>
              <w:rPr>
                <w:b/>
                <w:sz w:val="20"/>
                <w:szCs w:val="20"/>
              </w:rPr>
              <w:t>Factibility:</w:t>
            </w:r>
            <w:r>
              <w:rPr>
                <w:sz w:val="20"/>
                <w:szCs w:val="20"/>
              </w:rPr>
              <w:t xml:space="preserve"> It would probably be feasible to report on all therapeutic alternatives, with behavioral interventions for obesity management as a basis. Factors such as health prof</w:t>
            </w:r>
            <w:r>
              <w:rPr>
                <w:sz w:val="20"/>
                <w:szCs w:val="20"/>
              </w:rPr>
              <w:t xml:space="preserve">essionals' time and staff training should be considered.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w:t>
            </w:r>
            <w:r>
              <w:rPr>
                <w:b/>
                <w:sz w:val="20"/>
                <w:szCs w:val="20"/>
              </w:rPr>
              <w:lastRenderedPageBreak/>
              <w:t xml:space="preserve">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65"/>
              </w:numPr>
              <w:jc w:val="left"/>
              <w:rPr>
                <w:sz w:val="20"/>
                <w:szCs w:val="20"/>
              </w:rPr>
            </w:pPr>
            <w:r>
              <w:rPr>
                <w:b/>
                <w:sz w:val="20"/>
                <w:szCs w:val="20"/>
              </w:rPr>
              <w:lastRenderedPageBreak/>
              <w:t>Yes</w:t>
            </w:r>
          </w:p>
          <w:p w:rsidR="009C6A81" w:rsidRDefault="00ED5651">
            <w:pPr>
              <w:numPr>
                <w:ilvl w:val="0"/>
                <w:numId w:val="65"/>
              </w:numPr>
              <w:jc w:val="left"/>
              <w:rPr>
                <w:color w:val="AEAAAA"/>
                <w:sz w:val="20"/>
                <w:szCs w:val="20"/>
              </w:rPr>
            </w:pPr>
            <w:r>
              <w:rPr>
                <w:color w:val="AEAAAA"/>
                <w:sz w:val="20"/>
                <w:szCs w:val="20"/>
              </w:rPr>
              <w:t>Probably yes</w:t>
            </w:r>
          </w:p>
          <w:p w:rsidR="009C6A81" w:rsidRDefault="00ED5651">
            <w:pPr>
              <w:numPr>
                <w:ilvl w:val="0"/>
                <w:numId w:val="65"/>
              </w:numPr>
              <w:jc w:val="left"/>
              <w:rPr>
                <w:color w:val="AEAAAA"/>
                <w:sz w:val="20"/>
                <w:szCs w:val="20"/>
              </w:rPr>
            </w:pPr>
            <w:r>
              <w:rPr>
                <w:color w:val="AEAAAA"/>
                <w:sz w:val="20"/>
                <w:szCs w:val="20"/>
              </w:rPr>
              <w:t>Probably not</w:t>
            </w:r>
          </w:p>
          <w:p w:rsidR="009C6A81" w:rsidRDefault="00ED5651">
            <w:pPr>
              <w:numPr>
                <w:ilvl w:val="0"/>
                <w:numId w:val="65"/>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Informing pe</w:t>
            </w:r>
            <w:r>
              <w:rPr>
                <w:sz w:val="20"/>
                <w:szCs w:val="20"/>
              </w:rPr>
              <w:t xml:space="preserve">ople living with chronic diseases about evidence-based treatment alternatives is a standard of care. Failure to inform the patient carries ethical </w:t>
            </w:r>
            <w:r>
              <w:rPr>
                <w:sz w:val="20"/>
                <w:szCs w:val="20"/>
              </w:rPr>
              <w:lastRenderedPageBreak/>
              <w:t>implications and there is no reason to suspect that not doing so would bring any benefit. This is why collect</w:t>
            </w:r>
            <w:r>
              <w:rPr>
                <w:sz w:val="20"/>
                <w:szCs w:val="20"/>
              </w:rPr>
              <w:t>ing, summarizing and formally discussing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65"/>
              </w:numPr>
              <w:jc w:val="left"/>
              <w:rPr>
                <w:sz w:val="20"/>
                <w:szCs w:val="20"/>
              </w:rPr>
            </w:pPr>
            <w:r>
              <w:rPr>
                <w:b/>
                <w:sz w:val="20"/>
                <w:szCs w:val="20"/>
              </w:rPr>
              <w:t>Yes</w:t>
            </w:r>
          </w:p>
          <w:p w:rsidR="009C6A81" w:rsidRDefault="00ED5651">
            <w:pPr>
              <w:numPr>
                <w:ilvl w:val="0"/>
                <w:numId w:val="65"/>
              </w:numPr>
              <w:jc w:val="left"/>
              <w:rPr>
                <w:color w:val="AEAAAA"/>
                <w:sz w:val="20"/>
                <w:szCs w:val="20"/>
              </w:rPr>
            </w:pPr>
            <w:r>
              <w:rPr>
                <w:color w:val="AEAAAA"/>
                <w:sz w:val="20"/>
                <w:szCs w:val="20"/>
              </w:rPr>
              <w:t>Probably yes</w:t>
            </w:r>
          </w:p>
          <w:p w:rsidR="009C6A81" w:rsidRDefault="00ED5651">
            <w:pPr>
              <w:numPr>
                <w:ilvl w:val="0"/>
                <w:numId w:val="65"/>
              </w:numPr>
              <w:jc w:val="left"/>
              <w:rPr>
                <w:color w:val="AEAAAA"/>
                <w:sz w:val="20"/>
                <w:szCs w:val="20"/>
              </w:rPr>
            </w:pPr>
            <w:r>
              <w:rPr>
                <w:color w:val="AEAAAA"/>
                <w:sz w:val="20"/>
                <w:szCs w:val="20"/>
              </w:rPr>
              <w:t>Probably not</w:t>
            </w:r>
          </w:p>
          <w:p w:rsidR="009C6A81" w:rsidRDefault="00ED5651">
            <w:pPr>
              <w:numPr>
                <w:ilvl w:val="0"/>
                <w:numId w:val="65"/>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color w:val="FF0000"/>
                <w:sz w:val="20"/>
                <w:szCs w:val="20"/>
                <w:shd w:val="clear" w:color="auto" w:fill="FF9900"/>
              </w:rPr>
            </w:pPr>
            <w:r>
              <w:rPr>
                <w:sz w:val="20"/>
                <w:szCs w:val="20"/>
              </w:rPr>
              <w:t>The Canadian (1,2) and American (3) clinical practice guidelines were identified as indirect evidence to support this good practice statement. In them, it is considered that people should have access to individualized treatment plans that address the cause</w:t>
            </w:r>
            <w:r>
              <w:rPr>
                <w:sz w:val="20"/>
                <w:szCs w:val="20"/>
              </w:rPr>
              <w:t>s of their disease, considering behavioral change support (through nutrition and physical activity) as a basis and offer adjuvant alternatives that would include psychological, pharmacological and surgical interventions (1,2). Behavioral (also called lifes</w:t>
            </w:r>
            <w:r>
              <w:rPr>
                <w:sz w:val="20"/>
                <w:szCs w:val="20"/>
              </w:rPr>
              <w:t>tyle) therapies increase adherence to the treatment plan for weight management (3).</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65"/>
              </w:numPr>
              <w:jc w:val="left"/>
              <w:rPr>
                <w:sz w:val="20"/>
                <w:szCs w:val="20"/>
              </w:rPr>
            </w:pPr>
            <w:r>
              <w:rPr>
                <w:b/>
                <w:sz w:val="20"/>
                <w:szCs w:val="20"/>
              </w:rPr>
              <w:t>Yes</w:t>
            </w:r>
          </w:p>
          <w:p w:rsidR="009C6A81" w:rsidRDefault="00ED5651">
            <w:pPr>
              <w:numPr>
                <w:ilvl w:val="0"/>
                <w:numId w:val="65"/>
              </w:numPr>
              <w:jc w:val="left"/>
              <w:rPr>
                <w:color w:val="AEAAAA"/>
                <w:sz w:val="20"/>
                <w:szCs w:val="20"/>
              </w:rPr>
            </w:pPr>
            <w:r>
              <w:rPr>
                <w:color w:val="AEAAAA"/>
                <w:sz w:val="20"/>
                <w:szCs w:val="20"/>
              </w:rPr>
              <w:t>Probably yes</w:t>
            </w:r>
          </w:p>
          <w:p w:rsidR="009C6A81" w:rsidRDefault="00ED5651">
            <w:pPr>
              <w:numPr>
                <w:ilvl w:val="0"/>
                <w:numId w:val="65"/>
              </w:numPr>
              <w:jc w:val="left"/>
              <w:rPr>
                <w:color w:val="AEAAAA"/>
                <w:sz w:val="20"/>
                <w:szCs w:val="20"/>
              </w:rPr>
            </w:pPr>
            <w:r>
              <w:rPr>
                <w:color w:val="AEAAAA"/>
                <w:sz w:val="20"/>
                <w:szCs w:val="20"/>
              </w:rPr>
              <w:t>Probably not</w:t>
            </w:r>
          </w:p>
          <w:p w:rsidR="009C6A81" w:rsidRDefault="00ED5651">
            <w:pPr>
              <w:numPr>
                <w:ilvl w:val="0"/>
                <w:numId w:val="65"/>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 xml:space="preserve">This statement sets out a clear course of action: inform people with obesity about all evidence-based treatments, emphasizing that behavioral interventions such as nutrition and physical activity are the foundation of any management plan for people living </w:t>
            </w:r>
            <w:r>
              <w:rPr>
                <w:sz w:val="20"/>
                <w:szCs w:val="20"/>
              </w:rPr>
              <w:t>with chronic disease.</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95"/>
              </w:numPr>
              <w:tabs>
                <w:tab w:val="left" w:pos="142"/>
              </w:tabs>
              <w:spacing w:line="276" w:lineRule="auto"/>
              <w:rPr>
                <w:sz w:val="18"/>
                <w:szCs w:val="18"/>
              </w:rPr>
            </w:pPr>
            <w:r>
              <w:rPr>
                <w:sz w:val="18"/>
                <w:szCs w:val="18"/>
              </w:rPr>
              <w:t>Sean Wharton, David C.W. Lau, Michael Vallis, Arya M. Sharma, Laurent Biertho, Denise Campbell-Scherer, Kristi Adamo, Angela Alberga, Rhonda Bell, Normand Boulé, Elaine Boyling, Jennifer Brown, Betty Calam, Carol Clarke, Lindsay Crowshoe, Dennis Divalentin</w:t>
            </w:r>
            <w:r>
              <w:rPr>
                <w:sz w:val="18"/>
                <w:szCs w:val="18"/>
              </w:rPr>
              <w:t>o, Mary Forhan, Yoni Freedhoff, Michel Gagner, Stephen Glazer, Cindy Grand, Michael Green, Margaret Hahn, Raed Hawa, Rita Henderson, Dennis Hong, Pam Hung, Ian Janssen, Kristen Jacklin, Carlene Johnson-Stoklossa, Amy Kemp, Sara Kirk, Jennifer Kuk, Marie-Fr</w:t>
            </w:r>
            <w:r>
              <w:rPr>
                <w:sz w:val="18"/>
                <w:szCs w:val="18"/>
              </w:rPr>
              <w:t>ance Langlois, Scott Lear, Ashley McInnes, David Macklin, Leen Naji, Priya Manjoo, Marie-Philippe Morin, Kara Nerenberg, Ian Patton, Sue Pedersen, Leticia Pereira, Helena Piccinini-Vallis, Megha Poddar, Paul Poirier, Denis Prud’homme, Ximena Ramos Salas, C</w:t>
            </w:r>
            <w:r>
              <w:rPr>
                <w:sz w:val="18"/>
                <w:szCs w:val="18"/>
              </w:rPr>
              <w:t>hristian Rueda-Clausen, Shelly Russell-Mayhew, Judy Shiau, Diana Sherifali, John Sievenpiper, Sanjeev Sockalingam, Valerie Taylor, Ellen Toth, Laurie Twells, Richard Tytus, Shahebina Walji, Leah Walker, Sonja Wicklum. Obesity in adults: a clinical practice</w:t>
            </w:r>
            <w:r>
              <w:rPr>
                <w:sz w:val="18"/>
                <w:szCs w:val="18"/>
              </w:rPr>
              <w:t xml:space="preserve"> guideline. CMAJ Aug 2020, 192 (31) E875-E891; DOI: 10.1503/cmaj.191707 </w:t>
            </w:r>
          </w:p>
          <w:p w:rsidR="009C6A81" w:rsidRDefault="00ED5651">
            <w:pPr>
              <w:numPr>
                <w:ilvl w:val="0"/>
                <w:numId w:val="95"/>
              </w:numPr>
              <w:tabs>
                <w:tab w:val="left" w:pos="142"/>
              </w:tabs>
              <w:spacing w:line="276" w:lineRule="auto"/>
              <w:rPr>
                <w:sz w:val="18"/>
                <w:szCs w:val="18"/>
              </w:rPr>
            </w:pPr>
            <w:r>
              <w:rPr>
                <w:sz w:val="18"/>
                <w:szCs w:val="18"/>
              </w:rPr>
              <w:t>Campbell-Scherer D, Walji S, Kemp A, Piccinini-Vallis H, Vallis TM. Canadian Adult Obesity Clinical Practice Guidelines: Primary Care and Primary Healthcare in Obesity Management. Dow</w:t>
            </w:r>
            <w:r>
              <w:rPr>
                <w:sz w:val="18"/>
                <w:szCs w:val="18"/>
              </w:rPr>
              <w:t xml:space="preserve">nloaded from: </w:t>
            </w:r>
            <w:hyperlink r:id="rId41">
              <w:r>
                <w:rPr>
                  <w:color w:val="1155CC"/>
                  <w:sz w:val="18"/>
                  <w:szCs w:val="18"/>
                  <w:u w:val="single"/>
                </w:rPr>
                <w:t>https://obesitycanada.ca/guidelines/primarycare</w:t>
              </w:r>
            </w:hyperlink>
            <w:r>
              <w:rPr>
                <w:sz w:val="18"/>
                <w:szCs w:val="18"/>
              </w:rPr>
              <w:t xml:space="preserve"> </w:t>
            </w:r>
          </w:p>
          <w:p w:rsidR="009C6A81" w:rsidRDefault="00ED5651">
            <w:pPr>
              <w:numPr>
                <w:ilvl w:val="0"/>
                <w:numId w:val="95"/>
              </w:numPr>
              <w:tabs>
                <w:tab w:val="left" w:pos="142"/>
              </w:tabs>
              <w:spacing w:line="276" w:lineRule="auto"/>
              <w:rPr>
                <w:sz w:val="18"/>
                <w:szCs w:val="18"/>
              </w:rPr>
            </w:pPr>
            <w:r>
              <w:rPr>
                <w:sz w:val="18"/>
                <w:szCs w:val="18"/>
              </w:rPr>
              <w:t>Garvey WT, Mechanick JI, Brett EM, et al. AMERICAN ASSOCIATION OF CLINICAL ENDOCRINOLOGISTS AND AMERICAN COLLEGE OF ENDOCRINOL</w:t>
            </w:r>
            <w:r>
              <w:rPr>
                <w:sz w:val="18"/>
                <w:szCs w:val="18"/>
              </w:rPr>
              <w:t>OGY COMPREHENSIVE CLINICAL PRACTICE GUIDELINES FOR MEDICAL CARE OF PATIENTS WITH OBESITY. Endocr Pract. 2016;22 Suppl 3:1-203. doi:10.4158/EP161365.GL</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66" w:name="_4gjguf0" w:colFirst="0" w:colLast="0"/>
      <w:bookmarkEnd w:id="66"/>
      <w:r>
        <w:t>Good practice statement 10. Healthcare professionals should consider that nutritional and physical activity interventions are essential for health and well-being, but they may also require complementary therapies for the treatment of obesity.</w:t>
      </w:r>
    </w:p>
    <w:p w:rsidR="009C6A81" w:rsidRDefault="009C6A81"/>
    <w:p w:rsidR="009C6A81" w:rsidRDefault="00ED5651">
      <w:pPr>
        <w:ind w:hanging="990"/>
      </w:pPr>
      <w:r>
        <w:t>Table. Summa</w:t>
      </w:r>
      <w:r>
        <w:t>ry of criteria for the formulation of good practice statements.</w:t>
      </w:r>
    </w:p>
    <w:p w:rsidR="009C6A81" w:rsidRDefault="009C6A81">
      <w:pPr>
        <w:jc w:val="left"/>
        <w:rPr>
          <w:sz w:val="24"/>
          <w:szCs w:val="24"/>
        </w:rPr>
      </w:pPr>
    </w:p>
    <w:tbl>
      <w:tblPr>
        <w:tblStyle w:val="affff8"/>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101"/>
              </w:numPr>
              <w:jc w:val="left"/>
              <w:rPr>
                <w:sz w:val="20"/>
                <w:szCs w:val="20"/>
              </w:rPr>
            </w:pPr>
            <w:r>
              <w:rPr>
                <w:b/>
                <w:sz w:val="20"/>
                <w:szCs w:val="20"/>
              </w:rPr>
              <w:t>Yes</w:t>
            </w:r>
          </w:p>
          <w:p w:rsidR="009C6A81" w:rsidRDefault="00ED5651">
            <w:pPr>
              <w:numPr>
                <w:ilvl w:val="0"/>
                <w:numId w:val="101"/>
              </w:numPr>
              <w:jc w:val="left"/>
              <w:rPr>
                <w:color w:val="AEAAAA"/>
                <w:sz w:val="20"/>
                <w:szCs w:val="20"/>
              </w:rPr>
            </w:pPr>
            <w:r>
              <w:rPr>
                <w:color w:val="AEAAAA"/>
                <w:sz w:val="20"/>
                <w:szCs w:val="20"/>
              </w:rPr>
              <w:t>Probably yes</w:t>
            </w:r>
          </w:p>
          <w:p w:rsidR="009C6A81" w:rsidRDefault="00ED5651">
            <w:pPr>
              <w:numPr>
                <w:ilvl w:val="0"/>
                <w:numId w:val="101"/>
              </w:numPr>
              <w:jc w:val="left"/>
              <w:rPr>
                <w:color w:val="AEAAAA"/>
                <w:sz w:val="20"/>
                <w:szCs w:val="20"/>
              </w:rPr>
            </w:pPr>
            <w:r>
              <w:rPr>
                <w:color w:val="AEAAAA"/>
                <w:sz w:val="20"/>
                <w:szCs w:val="20"/>
              </w:rPr>
              <w:t>Probably not</w:t>
            </w:r>
          </w:p>
          <w:p w:rsidR="009C6A81" w:rsidRDefault="00ED5651">
            <w:pPr>
              <w:numPr>
                <w:ilvl w:val="0"/>
                <w:numId w:val="101"/>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101"/>
              </w:numPr>
              <w:jc w:val="left"/>
              <w:rPr>
                <w:sz w:val="20"/>
                <w:szCs w:val="20"/>
              </w:rPr>
            </w:pPr>
            <w:r>
              <w:rPr>
                <w:b/>
                <w:sz w:val="20"/>
                <w:szCs w:val="20"/>
              </w:rPr>
              <w:t>Yes</w:t>
            </w:r>
          </w:p>
          <w:p w:rsidR="009C6A81" w:rsidRDefault="00ED5651">
            <w:pPr>
              <w:numPr>
                <w:ilvl w:val="0"/>
                <w:numId w:val="101"/>
              </w:numPr>
              <w:jc w:val="left"/>
              <w:rPr>
                <w:color w:val="AEAAAA"/>
                <w:sz w:val="20"/>
                <w:szCs w:val="20"/>
              </w:rPr>
            </w:pPr>
            <w:r>
              <w:rPr>
                <w:color w:val="AEAAAA"/>
                <w:sz w:val="20"/>
                <w:szCs w:val="20"/>
              </w:rPr>
              <w:t>Probably yes</w:t>
            </w:r>
          </w:p>
          <w:p w:rsidR="009C6A81" w:rsidRDefault="00ED5651">
            <w:pPr>
              <w:numPr>
                <w:ilvl w:val="0"/>
                <w:numId w:val="101"/>
              </w:numPr>
              <w:jc w:val="left"/>
              <w:rPr>
                <w:color w:val="AEAAAA"/>
                <w:sz w:val="20"/>
                <w:szCs w:val="20"/>
              </w:rPr>
            </w:pPr>
            <w:r>
              <w:rPr>
                <w:color w:val="AEAAAA"/>
                <w:sz w:val="20"/>
                <w:szCs w:val="20"/>
              </w:rPr>
              <w:t>Probably not</w:t>
            </w:r>
          </w:p>
          <w:p w:rsidR="009C6A81" w:rsidRDefault="00ED5651">
            <w:pPr>
              <w:numPr>
                <w:ilvl w:val="0"/>
                <w:numId w:val="101"/>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components of the statement are:</w:t>
            </w:r>
          </w:p>
          <w:p w:rsidR="009C6A81" w:rsidRDefault="00ED5651">
            <w:pPr>
              <w:numPr>
                <w:ilvl w:val="0"/>
                <w:numId w:val="79"/>
              </w:numPr>
              <w:rPr>
                <w:sz w:val="20"/>
                <w:szCs w:val="20"/>
              </w:rPr>
            </w:pPr>
            <w:r>
              <w:rPr>
                <w:b/>
                <w:sz w:val="20"/>
                <w:szCs w:val="20"/>
              </w:rPr>
              <w:t>Population</w:t>
            </w:r>
            <w:r>
              <w:rPr>
                <w:sz w:val="20"/>
                <w:szCs w:val="20"/>
              </w:rPr>
              <w:t>: people living with obesity.</w:t>
            </w:r>
          </w:p>
          <w:p w:rsidR="009C6A81" w:rsidRDefault="00ED5651">
            <w:pPr>
              <w:numPr>
                <w:ilvl w:val="0"/>
                <w:numId w:val="79"/>
              </w:numPr>
              <w:rPr>
                <w:sz w:val="20"/>
                <w:szCs w:val="20"/>
              </w:rPr>
            </w:pPr>
            <w:r>
              <w:rPr>
                <w:b/>
                <w:sz w:val="20"/>
                <w:szCs w:val="20"/>
              </w:rPr>
              <w:t>Intervention</w:t>
            </w:r>
            <w:r>
              <w:rPr>
                <w:sz w:val="20"/>
                <w:szCs w:val="20"/>
              </w:rPr>
              <w:t>: consider nutritional and physical activity interventions as important but not sufficient on their own to treat obesity.</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101"/>
              </w:numPr>
              <w:jc w:val="left"/>
              <w:rPr>
                <w:sz w:val="20"/>
                <w:szCs w:val="20"/>
              </w:rPr>
            </w:pPr>
            <w:r>
              <w:rPr>
                <w:b/>
                <w:sz w:val="20"/>
                <w:szCs w:val="20"/>
              </w:rPr>
              <w:t>Yes</w:t>
            </w:r>
          </w:p>
          <w:p w:rsidR="009C6A81" w:rsidRDefault="00ED5651">
            <w:pPr>
              <w:numPr>
                <w:ilvl w:val="0"/>
                <w:numId w:val="101"/>
              </w:numPr>
              <w:jc w:val="left"/>
              <w:rPr>
                <w:color w:val="AEAAAA"/>
                <w:sz w:val="20"/>
                <w:szCs w:val="20"/>
              </w:rPr>
            </w:pPr>
            <w:r>
              <w:rPr>
                <w:color w:val="AEAAAA"/>
                <w:sz w:val="20"/>
                <w:szCs w:val="20"/>
              </w:rPr>
              <w:t>Probably yes</w:t>
            </w:r>
          </w:p>
          <w:p w:rsidR="009C6A81" w:rsidRDefault="00ED5651">
            <w:pPr>
              <w:numPr>
                <w:ilvl w:val="0"/>
                <w:numId w:val="101"/>
              </w:numPr>
              <w:jc w:val="left"/>
              <w:rPr>
                <w:color w:val="AEAAAA"/>
                <w:sz w:val="20"/>
                <w:szCs w:val="20"/>
              </w:rPr>
            </w:pPr>
            <w:r>
              <w:rPr>
                <w:color w:val="AEAAAA"/>
                <w:sz w:val="20"/>
                <w:szCs w:val="20"/>
              </w:rPr>
              <w:t>Probably not</w:t>
            </w:r>
          </w:p>
          <w:p w:rsidR="009C6A81" w:rsidRDefault="00ED5651">
            <w:pPr>
              <w:numPr>
                <w:ilvl w:val="0"/>
                <w:numId w:val="101"/>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In the context of obesity treatment, there are different therapeutic strategies, including nutritional and activity interventions. It is important to consider the benefits and scope that each alternative can bring so that people with obesity receive adequa</w:t>
            </w:r>
            <w:r>
              <w:rPr>
                <w:sz w:val="20"/>
                <w:szCs w:val="20"/>
              </w:rPr>
              <w:t>te treatment and achieve the established goals.</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12"/>
              </w:numPr>
              <w:jc w:val="left"/>
              <w:rPr>
                <w:sz w:val="20"/>
                <w:szCs w:val="20"/>
              </w:rPr>
            </w:pPr>
            <w:r>
              <w:rPr>
                <w:b/>
                <w:sz w:val="20"/>
                <w:szCs w:val="20"/>
              </w:rPr>
              <w:t>Yes</w:t>
            </w:r>
          </w:p>
          <w:p w:rsidR="009C6A81" w:rsidRDefault="00ED5651">
            <w:pPr>
              <w:numPr>
                <w:ilvl w:val="0"/>
                <w:numId w:val="12"/>
              </w:numPr>
              <w:jc w:val="left"/>
              <w:rPr>
                <w:color w:val="AEAAAA"/>
                <w:sz w:val="20"/>
                <w:szCs w:val="20"/>
              </w:rPr>
            </w:pPr>
            <w:r>
              <w:rPr>
                <w:color w:val="AEAAAA"/>
                <w:sz w:val="20"/>
                <w:szCs w:val="20"/>
              </w:rPr>
              <w:t>Probably yes</w:t>
            </w:r>
          </w:p>
          <w:p w:rsidR="009C6A81" w:rsidRDefault="00ED5651">
            <w:pPr>
              <w:numPr>
                <w:ilvl w:val="0"/>
                <w:numId w:val="12"/>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12"/>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45"/>
              </w:numPr>
              <w:jc w:val="left"/>
              <w:rPr>
                <w:sz w:val="20"/>
                <w:szCs w:val="20"/>
              </w:rPr>
            </w:pPr>
            <w:r>
              <w:rPr>
                <w:sz w:val="20"/>
                <w:szCs w:val="20"/>
              </w:rPr>
              <w:t>Importance of the problem.</w:t>
            </w:r>
          </w:p>
          <w:p w:rsidR="009C6A81" w:rsidRDefault="00ED5651">
            <w:pPr>
              <w:numPr>
                <w:ilvl w:val="0"/>
                <w:numId w:val="45"/>
              </w:numPr>
              <w:jc w:val="left"/>
              <w:rPr>
                <w:color w:val="AEAAAA"/>
                <w:sz w:val="20"/>
                <w:szCs w:val="20"/>
              </w:rPr>
            </w:pPr>
            <w:r>
              <w:rPr>
                <w:color w:val="AEAAAA"/>
                <w:sz w:val="20"/>
                <w:szCs w:val="20"/>
              </w:rPr>
              <w:t>Certainty of evidence.</w:t>
            </w:r>
          </w:p>
          <w:p w:rsidR="009C6A81" w:rsidRDefault="00ED5651">
            <w:pPr>
              <w:numPr>
                <w:ilvl w:val="0"/>
                <w:numId w:val="45"/>
              </w:numPr>
              <w:jc w:val="left"/>
              <w:rPr>
                <w:sz w:val="20"/>
                <w:szCs w:val="20"/>
              </w:rPr>
            </w:pPr>
            <w:r>
              <w:rPr>
                <w:sz w:val="20"/>
                <w:szCs w:val="20"/>
              </w:rPr>
              <w:t>Values</w:t>
            </w:r>
            <w:r>
              <w:rPr>
                <w:color w:val="AEAAAA"/>
                <w:sz w:val="20"/>
                <w:szCs w:val="20"/>
              </w:rPr>
              <w:t>.</w:t>
            </w:r>
          </w:p>
          <w:p w:rsidR="009C6A81" w:rsidRDefault="00ED5651">
            <w:pPr>
              <w:numPr>
                <w:ilvl w:val="0"/>
                <w:numId w:val="45"/>
              </w:numPr>
              <w:jc w:val="left"/>
              <w:rPr>
                <w:sz w:val="20"/>
                <w:szCs w:val="20"/>
              </w:rPr>
            </w:pPr>
            <w:r>
              <w:rPr>
                <w:sz w:val="20"/>
                <w:szCs w:val="20"/>
              </w:rPr>
              <w:t>Magnitude of resource requirements.</w:t>
            </w:r>
          </w:p>
          <w:p w:rsidR="009C6A81" w:rsidRDefault="00ED5651">
            <w:pPr>
              <w:numPr>
                <w:ilvl w:val="0"/>
                <w:numId w:val="45"/>
              </w:numPr>
              <w:jc w:val="left"/>
              <w:rPr>
                <w:color w:val="AEAAAA"/>
                <w:sz w:val="20"/>
                <w:szCs w:val="20"/>
              </w:rPr>
            </w:pPr>
            <w:r>
              <w:rPr>
                <w:color w:val="AEAAAA"/>
                <w:sz w:val="20"/>
                <w:szCs w:val="20"/>
              </w:rPr>
              <w:lastRenderedPageBreak/>
              <w:t>Certainty of evidence or resource use.</w:t>
            </w:r>
          </w:p>
          <w:p w:rsidR="009C6A81" w:rsidRDefault="00ED5651">
            <w:pPr>
              <w:numPr>
                <w:ilvl w:val="0"/>
                <w:numId w:val="45"/>
              </w:numPr>
              <w:jc w:val="left"/>
              <w:rPr>
                <w:sz w:val="20"/>
                <w:szCs w:val="20"/>
              </w:rPr>
            </w:pPr>
            <w:r>
              <w:rPr>
                <w:sz w:val="20"/>
                <w:szCs w:val="20"/>
              </w:rPr>
              <w:t>Cost-effectiveness.</w:t>
            </w:r>
          </w:p>
          <w:p w:rsidR="009C6A81" w:rsidRDefault="00ED5651">
            <w:pPr>
              <w:numPr>
                <w:ilvl w:val="0"/>
                <w:numId w:val="45"/>
              </w:numPr>
              <w:jc w:val="left"/>
              <w:rPr>
                <w:sz w:val="20"/>
                <w:szCs w:val="20"/>
              </w:rPr>
            </w:pPr>
            <w:r>
              <w:rPr>
                <w:sz w:val="20"/>
                <w:szCs w:val="20"/>
              </w:rPr>
              <w:t>Equity.</w:t>
            </w:r>
          </w:p>
          <w:p w:rsidR="009C6A81" w:rsidRDefault="00ED5651">
            <w:pPr>
              <w:numPr>
                <w:ilvl w:val="0"/>
                <w:numId w:val="45"/>
              </w:numPr>
              <w:jc w:val="left"/>
              <w:rPr>
                <w:sz w:val="20"/>
                <w:szCs w:val="20"/>
              </w:rPr>
            </w:pPr>
            <w:r>
              <w:rPr>
                <w:sz w:val="20"/>
                <w:szCs w:val="20"/>
              </w:rPr>
              <w:t>Acceptability.</w:t>
            </w:r>
          </w:p>
          <w:p w:rsidR="009C6A81" w:rsidRDefault="00ED5651">
            <w:pPr>
              <w:numPr>
                <w:ilvl w:val="0"/>
                <w:numId w:val="45"/>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lastRenderedPageBreak/>
              <w:t>Based on the indirect evidence identified and the panel's experience, considering nutritional and physical activity interventions as the basis of the treatment plan and recognizing that they alone may not be sufficient would result in great benefit.</w:t>
            </w:r>
          </w:p>
          <w:p w:rsidR="009C6A81" w:rsidRDefault="009C6A81">
            <w:pPr>
              <w:rPr>
                <w:sz w:val="20"/>
                <w:szCs w:val="20"/>
              </w:rPr>
            </w:pPr>
          </w:p>
          <w:p w:rsidR="009C6A81" w:rsidRDefault="00ED5651">
            <w:pPr>
              <w:rPr>
                <w:sz w:val="20"/>
                <w:szCs w:val="20"/>
              </w:rPr>
            </w:pPr>
            <w:r>
              <w:rPr>
                <w:sz w:val="20"/>
                <w:szCs w:val="20"/>
              </w:rPr>
              <w:t xml:space="preserve">This </w:t>
            </w:r>
            <w:r>
              <w:rPr>
                <w:sz w:val="20"/>
                <w:szCs w:val="20"/>
              </w:rPr>
              <w:t>statement is deemed to satisfy the following EtD criteria:</w:t>
            </w:r>
          </w:p>
          <w:p w:rsidR="009C6A81" w:rsidRDefault="00ED5651">
            <w:pPr>
              <w:numPr>
                <w:ilvl w:val="0"/>
                <w:numId w:val="80"/>
              </w:numPr>
              <w:rPr>
                <w:sz w:val="20"/>
                <w:szCs w:val="20"/>
              </w:rPr>
            </w:pPr>
            <w:r>
              <w:rPr>
                <w:b/>
                <w:sz w:val="20"/>
                <w:szCs w:val="20"/>
              </w:rPr>
              <w:t>Importance of the problem</w:t>
            </w:r>
            <w:r>
              <w:rPr>
                <w:sz w:val="20"/>
                <w:szCs w:val="20"/>
              </w:rPr>
              <w:t>: Effective alternatives should be offered to achieve treatment goals and avoid future complications.</w:t>
            </w:r>
          </w:p>
          <w:p w:rsidR="009C6A81" w:rsidRDefault="00ED5651">
            <w:pPr>
              <w:numPr>
                <w:ilvl w:val="0"/>
                <w:numId w:val="80"/>
              </w:numPr>
              <w:rPr>
                <w:sz w:val="20"/>
                <w:szCs w:val="20"/>
              </w:rPr>
            </w:pPr>
            <w:r>
              <w:rPr>
                <w:b/>
                <w:sz w:val="20"/>
                <w:szCs w:val="20"/>
              </w:rPr>
              <w:t>Values:</w:t>
            </w:r>
            <w:r>
              <w:rPr>
                <w:sz w:val="20"/>
                <w:szCs w:val="20"/>
              </w:rPr>
              <w:t xml:space="preserve"> for people with obesity it would be important to receive an ap</w:t>
            </w:r>
            <w:r>
              <w:rPr>
                <w:sz w:val="20"/>
                <w:szCs w:val="20"/>
              </w:rPr>
              <w:t xml:space="preserve">propriate treatment plan as a </w:t>
            </w:r>
            <w:r>
              <w:rPr>
                <w:sz w:val="20"/>
                <w:szCs w:val="20"/>
              </w:rPr>
              <w:lastRenderedPageBreak/>
              <w:t>result of health professionals considering nutritional and physical activity interventions as a basis for treatment, but not in isolation.</w:t>
            </w:r>
          </w:p>
          <w:p w:rsidR="009C6A81" w:rsidRDefault="00ED5651">
            <w:pPr>
              <w:numPr>
                <w:ilvl w:val="0"/>
                <w:numId w:val="80"/>
              </w:numPr>
              <w:rPr>
                <w:sz w:val="20"/>
                <w:szCs w:val="20"/>
              </w:rPr>
            </w:pPr>
            <w:r>
              <w:rPr>
                <w:b/>
                <w:sz w:val="20"/>
                <w:szCs w:val="20"/>
              </w:rPr>
              <w:t>Magnitude of resource requirements:</w:t>
            </w:r>
            <w:r>
              <w:rPr>
                <w:sz w:val="20"/>
                <w:szCs w:val="20"/>
              </w:rPr>
              <w:t xml:space="preserve"> Recognizing the strengths and limitations of nutrit</w:t>
            </w:r>
            <w:r>
              <w:rPr>
                <w:sz w:val="20"/>
                <w:szCs w:val="20"/>
              </w:rPr>
              <w:t xml:space="preserve">ional and physical activity interventions does not require extra resources. </w:t>
            </w:r>
          </w:p>
          <w:p w:rsidR="009C6A81" w:rsidRDefault="00ED5651">
            <w:pPr>
              <w:numPr>
                <w:ilvl w:val="0"/>
                <w:numId w:val="80"/>
              </w:numPr>
              <w:rPr>
                <w:sz w:val="20"/>
                <w:szCs w:val="20"/>
              </w:rPr>
            </w:pPr>
            <w:r>
              <w:rPr>
                <w:b/>
                <w:sz w:val="20"/>
                <w:szCs w:val="20"/>
              </w:rPr>
              <w:t xml:space="preserve">Cost-effectiveness: </w:t>
            </w:r>
            <w:r>
              <w:rPr>
                <w:sz w:val="20"/>
                <w:szCs w:val="20"/>
              </w:rPr>
              <w:t>Recognizing the strengths and limitations of nutritional and physical activity interventions and considering them as the basis of the treatment plan does not h</w:t>
            </w:r>
            <w:r>
              <w:rPr>
                <w:sz w:val="20"/>
                <w:szCs w:val="20"/>
              </w:rPr>
              <w:t xml:space="preserve">ave significant costs associated with them; moreover, it could avoid wasting time and resources on interventions with intermediate and unsustainable results over time. </w:t>
            </w:r>
          </w:p>
          <w:p w:rsidR="009C6A81" w:rsidRDefault="00ED5651">
            <w:pPr>
              <w:numPr>
                <w:ilvl w:val="0"/>
                <w:numId w:val="80"/>
              </w:numPr>
              <w:rPr>
                <w:sz w:val="20"/>
                <w:szCs w:val="20"/>
              </w:rPr>
            </w:pPr>
            <w:r>
              <w:rPr>
                <w:b/>
                <w:sz w:val="20"/>
                <w:szCs w:val="20"/>
              </w:rPr>
              <w:t>Equity:</w:t>
            </w:r>
            <w:r>
              <w:rPr>
                <w:sz w:val="20"/>
                <w:szCs w:val="20"/>
              </w:rPr>
              <w:t xml:space="preserve"> It is likely to increase health equity, since disadvantaged groups could be fav</w:t>
            </w:r>
            <w:r>
              <w:rPr>
                <w:sz w:val="20"/>
                <w:szCs w:val="20"/>
              </w:rPr>
              <w:t>ored by addressing factors in addition to behavioral changes (nutrition and physical activity).</w:t>
            </w:r>
          </w:p>
          <w:p w:rsidR="009C6A81" w:rsidRDefault="00ED5651">
            <w:pPr>
              <w:numPr>
                <w:ilvl w:val="0"/>
                <w:numId w:val="80"/>
              </w:numPr>
              <w:rPr>
                <w:sz w:val="20"/>
                <w:szCs w:val="20"/>
              </w:rPr>
            </w:pPr>
            <w:r>
              <w:rPr>
                <w:b/>
                <w:sz w:val="20"/>
                <w:szCs w:val="20"/>
              </w:rPr>
              <w:t xml:space="preserve">Acceptability: </w:t>
            </w:r>
            <w:r>
              <w:rPr>
                <w:sz w:val="20"/>
                <w:szCs w:val="20"/>
              </w:rPr>
              <w:t>It would be acceptable for patients, as addressing the disease by considering not only changes in diet and physical activity would allow sustaini</w:t>
            </w:r>
            <w:r>
              <w:rPr>
                <w:sz w:val="20"/>
                <w:szCs w:val="20"/>
              </w:rPr>
              <w:t>ng changes in the long term. For health professionals, recognizing the limitations of nutritional and physical activity interventions is likely to be acceptable and would help reduce the stigma associated with weight due to simplistic narratives (1).</w:t>
            </w:r>
          </w:p>
          <w:p w:rsidR="009C6A81" w:rsidRDefault="00ED5651">
            <w:pPr>
              <w:numPr>
                <w:ilvl w:val="0"/>
                <w:numId w:val="80"/>
              </w:numPr>
              <w:rPr>
                <w:sz w:val="20"/>
                <w:szCs w:val="20"/>
              </w:rPr>
            </w:pPr>
            <w:r>
              <w:rPr>
                <w:b/>
                <w:sz w:val="20"/>
                <w:szCs w:val="20"/>
              </w:rPr>
              <w:t>Facti</w:t>
            </w:r>
            <w:r>
              <w:rPr>
                <w:b/>
                <w:sz w:val="20"/>
                <w:szCs w:val="20"/>
              </w:rPr>
              <w:t>bility:</w:t>
            </w:r>
            <w:r>
              <w:rPr>
                <w:sz w:val="20"/>
                <w:szCs w:val="20"/>
              </w:rPr>
              <w:t xml:space="preserve"> It would be feasible, as it would be implemented during the elaboration of the treatment plan in conjunction with the patient.</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w:t>
            </w:r>
            <w:r>
              <w:rPr>
                <w:b/>
                <w:sz w:val="20"/>
                <w:szCs w:val="20"/>
              </w:rPr>
              <w:lastRenderedPageBreak/>
              <w:t xml:space="preserve">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101"/>
              </w:numPr>
              <w:jc w:val="left"/>
              <w:rPr>
                <w:sz w:val="20"/>
                <w:szCs w:val="20"/>
              </w:rPr>
            </w:pPr>
            <w:r>
              <w:rPr>
                <w:b/>
                <w:sz w:val="20"/>
                <w:szCs w:val="20"/>
              </w:rPr>
              <w:lastRenderedPageBreak/>
              <w:t>Yes</w:t>
            </w:r>
          </w:p>
          <w:p w:rsidR="009C6A81" w:rsidRDefault="00ED5651">
            <w:pPr>
              <w:numPr>
                <w:ilvl w:val="0"/>
                <w:numId w:val="101"/>
              </w:numPr>
              <w:jc w:val="left"/>
              <w:rPr>
                <w:color w:val="AEAAAA"/>
                <w:sz w:val="20"/>
                <w:szCs w:val="20"/>
              </w:rPr>
            </w:pPr>
            <w:r>
              <w:rPr>
                <w:color w:val="AEAAAA"/>
                <w:sz w:val="20"/>
                <w:szCs w:val="20"/>
              </w:rPr>
              <w:t>Probably yes</w:t>
            </w:r>
          </w:p>
          <w:p w:rsidR="009C6A81" w:rsidRDefault="00ED5651">
            <w:pPr>
              <w:numPr>
                <w:ilvl w:val="0"/>
                <w:numId w:val="101"/>
              </w:numPr>
              <w:jc w:val="left"/>
              <w:rPr>
                <w:color w:val="AEAAAA"/>
                <w:sz w:val="20"/>
                <w:szCs w:val="20"/>
              </w:rPr>
            </w:pPr>
            <w:r>
              <w:rPr>
                <w:color w:val="AEAAAA"/>
                <w:sz w:val="20"/>
                <w:szCs w:val="20"/>
              </w:rPr>
              <w:t>Probably not</w:t>
            </w:r>
          </w:p>
          <w:p w:rsidR="009C6A81" w:rsidRDefault="00ED5651">
            <w:pPr>
              <w:numPr>
                <w:ilvl w:val="0"/>
                <w:numId w:val="101"/>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 xml:space="preserve">Recognizing </w:t>
            </w:r>
            <w:r>
              <w:rPr>
                <w:sz w:val="20"/>
                <w:szCs w:val="20"/>
              </w:rPr>
              <w:t xml:space="preserve">the therapeutic strengths and limitations of an intervention is a standard of clinical care. Not considering them as the basis of the treatment plan would have no benefit over considering them. This is why collecting, summarizing and formally </w:t>
            </w:r>
            <w:r>
              <w:rPr>
                <w:sz w:val="20"/>
                <w:szCs w:val="20"/>
              </w:rPr>
              <w:lastRenderedPageBreak/>
              <w:t>discussing ev</w:t>
            </w:r>
            <w:r>
              <w:rPr>
                <w:sz w:val="20"/>
                <w:szCs w:val="20"/>
              </w:rPr>
              <w:t>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101"/>
              </w:numPr>
              <w:jc w:val="left"/>
              <w:rPr>
                <w:sz w:val="20"/>
                <w:szCs w:val="20"/>
              </w:rPr>
            </w:pPr>
            <w:r>
              <w:rPr>
                <w:b/>
                <w:sz w:val="20"/>
                <w:szCs w:val="20"/>
              </w:rPr>
              <w:t>Yes</w:t>
            </w:r>
          </w:p>
          <w:p w:rsidR="009C6A81" w:rsidRDefault="00ED5651">
            <w:pPr>
              <w:numPr>
                <w:ilvl w:val="0"/>
                <w:numId w:val="101"/>
              </w:numPr>
              <w:jc w:val="left"/>
              <w:rPr>
                <w:color w:val="AEAAAA"/>
                <w:sz w:val="20"/>
                <w:szCs w:val="20"/>
              </w:rPr>
            </w:pPr>
            <w:r>
              <w:rPr>
                <w:color w:val="AEAAAA"/>
                <w:sz w:val="20"/>
                <w:szCs w:val="20"/>
              </w:rPr>
              <w:t>Probably yes</w:t>
            </w:r>
          </w:p>
          <w:p w:rsidR="009C6A81" w:rsidRDefault="00ED5651">
            <w:pPr>
              <w:numPr>
                <w:ilvl w:val="0"/>
                <w:numId w:val="101"/>
              </w:numPr>
              <w:jc w:val="left"/>
              <w:rPr>
                <w:color w:val="AEAAAA"/>
                <w:sz w:val="20"/>
                <w:szCs w:val="20"/>
              </w:rPr>
            </w:pPr>
            <w:r>
              <w:rPr>
                <w:color w:val="AEAAAA"/>
                <w:sz w:val="20"/>
                <w:szCs w:val="20"/>
              </w:rPr>
              <w:t>Probably not</w:t>
            </w:r>
          </w:p>
          <w:p w:rsidR="009C6A81" w:rsidRDefault="00ED5651">
            <w:pPr>
              <w:numPr>
                <w:ilvl w:val="0"/>
                <w:numId w:val="101"/>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Indirect evidence from the Canadian clinical practice guideline (1-3) was identified to support this good practice statement. It describes that healthy eating and physical activity are fundamental but not sufficient to achieve weight management, as these w</w:t>
            </w:r>
            <w:r>
              <w:rPr>
                <w:sz w:val="20"/>
                <w:szCs w:val="20"/>
              </w:rPr>
              <w:t>ould only achieve a 3-5% weight reduction, which is generally not sustained in the long term due to compensatory mechanisms that promote weight gain. Therefore, the results obtained with nutritional and physical activity interventions should be complemente</w:t>
            </w:r>
            <w:r>
              <w:rPr>
                <w:sz w:val="20"/>
                <w:szCs w:val="20"/>
              </w:rPr>
              <w:t>d with a comprehensive treatment plan that addresses the causes of obesity, also considering other psychological, pharmacological or surgical therapies.</w:t>
            </w:r>
          </w:p>
        </w:tc>
      </w:tr>
      <w:tr w:rsidR="009C6A81">
        <w:trPr>
          <w:trHeight w:val="2514"/>
        </w:trPr>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101"/>
              </w:numPr>
              <w:jc w:val="left"/>
              <w:rPr>
                <w:sz w:val="20"/>
                <w:szCs w:val="20"/>
              </w:rPr>
            </w:pPr>
            <w:r>
              <w:rPr>
                <w:b/>
                <w:sz w:val="20"/>
                <w:szCs w:val="20"/>
              </w:rPr>
              <w:t>Yes</w:t>
            </w:r>
          </w:p>
          <w:p w:rsidR="009C6A81" w:rsidRDefault="00ED5651">
            <w:pPr>
              <w:numPr>
                <w:ilvl w:val="0"/>
                <w:numId w:val="101"/>
              </w:numPr>
              <w:jc w:val="left"/>
              <w:rPr>
                <w:color w:val="AEAAAA"/>
                <w:sz w:val="20"/>
                <w:szCs w:val="20"/>
              </w:rPr>
            </w:pPr>
            <w:r>
              <w:rPr>
                <w:color w:val="AEAAAA"/>
                <w:sz w:val="20"/>
                <w:szCs w:val="20"/>
              </w:rPr>
              <w:t>Probably yes</w:t>
            </w:r>
          </w:p>
          <w:p w:rsidR="009C6A81" w:rsidRDefault="00ED5651">
            <w:pPr>
              <w:numPr>
                <w:ilvl w:val="0"/>
                <w:numId w:val="101"/>
              </w:numPr>
              <w:jc w:val="left"/>
              <w:rPr>
                <w:color w:val="AEAAAA"/>
                <w:sz w:val="20"/>
                <w:szCs w:val="20"/>
              </w:rPr>
            </w:pPr>
            <w:r>
              <w:rPr>
                <w:color w:val="AEAAAA"/>
                <w:sz w:val="20"/>
                <w:szCs w:val="20"/>
              </w:rPr>
              <w:t>Probably not</w:t>
            </w:r>
          </w:p>
          <w:p w:rsidR="009C6A81" w:rsidRDefault="00ED5651">
            <w:pPr>
              <w:numPr>
                <w:ilvl w:val="0"/>
                <w:numId w:val="101"/>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 xml:space="preserve">This statement sets out </w:t>
            </w:r>
            <w:r>
              <w:rPr>
                <w:sz w:val="20"/>
                <w:szCs w:val="20"/>
              </w:rPr>
              <w:t>a clear course of action: for health professionals to consider that nutritional and physical activity interventions are important for health and wellness, but may not be sufficient for people living with obesity.</w:t>
            </w:r>
          </w:p>
        </w:tc>
      </w:tr>
      <w:tr w:rsidR="009C6A81">
        <w:trPr>
          <w:trHeight w:val="2514"/>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41"/>
              </w:numPr>
              <w:tabs>
                <w:tab w:val="left" w:pos="142"/>
              </w:tabs>
              <w:spacing w:line="276" w:lineRule="auto"/>
              <w:rPr>
                <w:sz w:val="18"/>
                <w:szCs w:val="18"/>
              </w:rPr>
            </w:pPr>
            <w:r>
              <w:rPr>
                <w:sz w:val="18"/>
                <w:szCs w:val="18"/>
              </w:rPr>
              <w:t xml:space="preserve">Campbell-Scherer D, Walji S, Kemp A, Piccinini-Vallis H, Vallis TM. Canadian Adult Obesity Clinical Practice Guidelines: Primary Care and Primary Healthcare in Obesity Management. Downloaded from: </w:t>
            </w:r>
            <w:hyperlink r:id="rId42">
              <w:r>
                <w:rPr>
                  <w:color w:val="1155CC"/>
                  <w:sz w:val="18"/>
                  <w:szCs w:val="18"/>
                  <w:u w:val="single"/>
                </w:rPr>
                <w:t>https://obesitycanada.ca/guidelines/primarycare</w:t>
              </w:r>
            </w:hyperlink>
            <w:r>
              <w:rPr>
                <w:sz w:val="18"/>
                <w:szCs w:val="18"/>
              </w:rPr>
              <w:t xml:space="preserve"> </w:t>
            </w:r>
          </w:p>
          <w:p w:rsidR="009C6A81" w:rsidRDefault="00ED5651">
            <w:pPr>
              <w:numPr>
                <w:ilvl w:val="0"/>
                <w:numId w:val="41"/>
              </w:numPr>
              <w:tabs>
                <w:tab w:val="left" w:pos="142"/>
              </w:tabs>
              <w:spacing w:line="276" w:lineRule="auto"/>
              <w:rPr>
                <w:sz w:val="18"/>
                <w:szCs w:val="18"/>
              </w:rPr>
            </w:pPr>
            <w:r>
              <w:rPr>
                <w:sz w:val="18"/>
                <w:szCs w:val="18"/>
              </w:rPr>
              <w:t>Sean Wharton, David C.W. Lau, Michael Vallis, Arya M. Sharma, Laurent Biertho, Denise Campbell-Scherer, Kristi Adamo, Angela Alberga, Rhonda Bell, Normand Boulé, Elaine Boyling, Jennifer Brown, Betty</w:t>
            </w:r>
            <w:r>
              <w:rPr>
                <w:sz w:val="18"/>
                <w:szCs w:val="18"/>
              </w:rPr>
              <w:t xml:space="preserve"> Calam, Carol Clarke, Lindsay Crowshoe, Dennis Divalentino, Mary Forhan, Yoni Freedhoff, Michel Gagner, Stephen Glazer, Cindy Grand, Michael Green, Margaret Hahn, Raed Hawa, Rita Henderson, Dennis Hong, Pam Hung, Ian Janssen, Kristen Jacklin, Carlene Johns</w:t>
            </w:r>
            <w:r>
              <w:rPr>
                <w:sz w:val="18"/>
                <w:szCs w:val="18"/>
              </w:rPr>
              <w:t>on-Stoklossa, Amy Kemp, Sara Kirk, Jennifer Kuk, Marie-France Langlois, Scott Lear, Ashley McInnes, David Macklin, Leen Naji, Priya Manjoo, Marie-Philippe Morin, Kara Nerenberg, Ian Patton, Sue Pedersen, Leticia Pereira, Helena Piccinini-Vallis, Megha Podd</w:t>
            </w:r>
            <w:r>
              <w:rPr>
                <w:sz w:val="18"/>
                <w:szCs w:val="18"/>
              </w:rPr>
              <w:t>ar, Paul Poirier, Denis Prud’homme, Ximena Ramos Salas, Christian Rueda-Clausen, Shelly Russell-Mayhew, Judy Shiau, Diana Sherifali, John Sievenpiper, Sanjeev Sockalingam, Valerie Taylor, Ellen Toth, Laurie Twells, Richard Tytus, Shahebina Walji, Leah Walk</w:t>
            </w:r>
            <w:r>
              <w:rPr>
                <w:sz w:val="18"/>
                <w:szCs w:val="18"/>
              </w:rPr>
              <w:t>er, Sonja Wicklum. Obesity in adults: a clinical practice guideline. CMAJ Aug 2020, 192 (31) E875-E891; DOI: 10.1503/cmaj.191707.</w:t>
            </w:r>
          </w:p>
          <w:p w:rsidR="009C6A81" w:rsidRDefault="00ED5651">
            <w:pPr>
              <w:numPr>
                <w:ilvl w:val="0"/>
                <w:numId w:val="41"/>
              </w:numPr>
              <w:tabs>
                <w:tab w:val="left" w:pos="142"/>
              </w:tabs>
              <w:spacing w:line="276" w:lineRule="auto"/>
              <w:rPr>
                <w:sz w:val="18"/>
                <w:szCs w:val="18"/>
              </w:rPr>
            </w:pPr>
            <w:r>
              <w:rPr>
                <w:sz w:val="18"/>
                <w:szCs w:val="18"/>
              </w:rPr>
              <w:t xml:space="preserve">Brown J, Clarke C, Johnson Stoklossa C, Sievenpiper J. Canadian Adult Obesity Clinical Practice Guidelines: Medical Nutrition </w:t>
            </w:r>
            <w:r>
              <w:rPr>
                <w:sz w:val="18"/>
                <w:szCs w:val="18"/>
              </w:rPr>
              <w:t xml:space="preserve">Therapy in Obesity Management. Available from: </w:t>
            </w:r>
            <w:hyperlink r:id="rId43">
              <w:r>
                <w:rPr>
                  <w:color w:val="1155CC"/>
                  <w:sz w:val="18"/>
                  <w:szCs w:val="18"/>
                  <w:u w:val="single"/>
                </w:rPr>
                <w:t>https://obesitycanada.ca/guidelines/nutrition</w:t>
              </w:r>
            </w:hyperlink>
            <w:r>
              <w:rPr>
                <w:sz w:val="18"/>
                <w:szCs w:val="18"/>
              </w:rPr>
              <w:t xml:space="preserve"> </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67" w:name="_2vor4mt" w:colFirst="0" w:colLast="0"/>
      <w:bookmarkEnd w:id="67"/>
      <w:r>
        <w:t>Good practice statement 11. Healthcare professionals should personalize dietary plans, prescribe physical activity and exercise, and tailor behavioral interventions for individuals with overweight or obesity.</w:t>
      </w:r>
    </w:p>
    <w:p w:rsidR="009C6A81" w:rsidRDefault="009C6A81"/>
    <w:p w:rsidR="009C6A81" w:rsidRDefault="00ED5651">
      <w:pPr>
        <w:ind w:hanging="990"/>
      </w:pPr>
      <w:r>
        <w:t>Table. Summary of criteria for the formulation</w:t>
      </w:r>
      <w:r>
        <w:t xml:space="preserve"> of good practice statements.</w:t>
      </w:r>
    </w:p>
    <w:p w:rsidR="009C6A81" w:rsidRDefault="009C6A81">
      <w:pPr>
        <w:jc w:val="left"/>
        <w:rPr>
          <w:sz w:val="24"/>
          <w:szCs w:val="24"/>
        </w:rPr>
      </w:pPr>
    </w:p>
    <w:tbl>
      <w:tblPr>
        <w:tblStyle w:val="affff9"/>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1"/>
              </w:numPr>
              <w:jc w:val="left"/>
              <w:rPr>
                <w:sz w:val="20"/>
                <w:szCs w:val="20"/>
              </w:rPr>
            </w:pPr>
            <w:r>
              <w:rPr>
                <w:b/>
                <w:sz w:val="20"/>
                <w:szCs w:val="20"/>
              </w:rPr>
              <w:t>Yes</w:t>
            </w:r>
          </w:p>
          <w:p w:rsidR="009C6A81" w:rsidRDefault="00ED5651">
            <w:pPr>
              <w:numPr>
                <w:ilvl w:val="0"/>
                <w:numId w:val="51"/>
              </w:numPr>
              <w:jc w:val="left"/>
              <w:rPr>
                <w:color w:val="AEAAAA"/>
                <w:sz w:val="20"/>
                <w:szCs w:val="20"/>
              </w:rPr>
            </w:pPr>
            <w:r>
              <w:rPr>
                <w:color w:val="AEAAAA"/>
                <w:sz w:val="20"/>
                <w:szCs w:val="20"/>
              </w:rPr>
              <w:t>Probably yes</w:t>
            </w:r>
          </w:p>
          <w:p w:rsidR="009C6A81" w:rsidRDefault="00ED5651">
            <w:pPr>
              <w:numPr>
                <w:ilvl w:val="0"/>
                <w:numId w:val="51"/>
              </w:numPr>
              <w:jc w:val="left"/>
              <w:rPr>
                <w:color w:val="AEAAAA"/>
                <w:sz w:val="20"/>
                <w:szCs w:val="20"/>
              </w:rPr>
            </w:pPr>
            <w:r>
              <w:rPr>
                <w:color w:val="AEAAAA"/>
                <w:sz w:val="20"/>
                <w:szCs w:val="20"/>
              </w:rPr>
              <w:t>Probably not</w:t>
            </w:r>
          </w:p>
          <w:p w:rsidR="009C6A81" w:rsidRDefault="00ED5651">
            <w:pPr>
              <w:numPr>
                <w:ilvl w:val="0"/>
                <w:numId w:val="51"/>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1"/>
              </w:numPr>
              <w:jc w:val="left"/>
              <w:rPr>
                <w:sz w:val="20"/>
                <w:szCs w:val="20"/>
              </w:rPr>
            </w:pPr>
            <w:r>
              <w:rPr>
                <w:b/>
                <w:sz w:val="20"/>
                <w:szCs w:val="20"/>
              </w:rPr>
              <w:t>Yes</w:t>
            </w:r>
          </w:p>
          <w:p w:rsidR="009C6A81" w:rsidRDefault="00ED5651">
            <w:pPr>
              <w:numPr>
                <w:ilvl w:val="0"/>
                <w:numId w:val="51"/>
              </w:numPr>
              <w:jc w:val="left"/>
              <w:rPr>
                <w:color w:val="AEAAAA"/>
                <w:sz w:val="20"/>
                <w:szCs w:val="20"/>
              </w:rPr>
            </w:pPr>
            <w:r>
              <w:rPr>
                <w:color w:val="AEAAAA"/>
                <w:sz w:val="20"/>
                <w:szCs w:val="20"/>
              </w:rPr>
              <w:t>Probably yes</w:t>
            </w:r>
          </w:p>
          <w:p w:rsidR="009C6A81" w:rsidRDefault="00ED5651">
            <w:pPr>
              <w:numPr>
                <w:ilvl w:val="0"/>
                <w:numId w:val="51"/>
              </w:numPr>
              <w:jc w:val="left"/>
              <w:rPr>
                <w:color w:val="AEAAAA"/>
                <w:sz w:val="20"/>
                <w:szCs w:val="20"/>
              </w:rPr>
            </w:pPr>
            <w:r>
              <w:rPr>
                <w:color w:val="AEAAAA"/>
                <w:sz w:val="20"/>
                <w:szCs w:val="20"/>
              </w:rPr>
              <w:t>Probably not</w:t>
            </w:r>
          </w:p>
          <w:p w:rsidR="009C6A81" w:rsidRDefault="00ED5651">
            <w:pPr>
              <w:numPr>
                <w:ilvl w:val="0"/>
                <w:numId w:val="51"/>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88"/>
              </w:numPr>
              <w:rPr>
                <w:sz w:val="20"/>
                <w:szCs w:val="20"/>
              </w:rPr>
            </w:pPr>
            <w:r>
              <w:rPr>
                <w:b/>
                <w:sz w:val="20"/>
                <w:szCs w:val="20"/>
              </w:rPr>
              <w:t>Population</w:t>
            </w:r>
            <w:r>
              <w:rPr>
                <w:sz w:val="20"/>
                <w:szCs w:val="20"/>
              </w:rPr>
              <w:t>: people living with overweight or obesity.</w:t>
            </w:r>
          </w:p>
          <w:p w:rsidR="009C6A81" w:rsidRDefault="00ED5651">
            <w:pPr>
              <w:numPr>
                <w:ilvl w:val="0"/>
                <w:numId w:val="88"/>
              </w:numPr>
              <w:rPr>
                <w:sz w:val="20"/>
                <w:szCs w:val="20"/>
              </w:rPr>
            </w:pPr>
            <w:r>
              <w:rPr>
                <w:b/>
                <w:sz w:val="20"/>
                <w:szCs w:val="20"/>
              </w:rPr>
              <w:t>Intervention</w:t>
            </w:r>
            <w:r>
              <w:rPr>
                <w:sz w:val="20"/>
                <w:szCs w:val="20"/>
              </w:rPr>
              <w:t>: personalization of the diet plan, prescription of physical activity and exercise, and behavioral interventions.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1"/>
              </w:numPr>
              <w:jc w:val="left"/>
              <w:rPr>
                <w:sz w:val="20"/>
                <w:szCs w:val="20"/>
              </w:rPr>
            </w:pPr>
            <w:r>
              <w:rPr>
                <w:b/>
                <w:sz w:val="20"/>
                <w:szCs w:val="20"/>
              </w:rPr>
              <w:t>Yes</w:t>
            </w:r>
          </w:p>
          <w:p w:rsidR="009C6A81" w:rsidRDefault="00ED5651">
            <w:pPr>
              <w:numPr>
                <w:ilvl w:val="0"/>
                <w:numId w:val="51"/>
              </w:numPr>
              <w:jc w:val="left"/>
              <w:rPr>
                <w:color w:val="AEAAAA"/>
                <w:sz w:val="20"/>
                <w:szCs w:val="20"/>
              </w:rPr>
            </w:pPr>
            <w:r>
              <w:rPr>
                <w:color w:val="AEAAAA"/>
                <w:sz w:val="20"/>
                <w:szCs w:val="20"/>
              </w:rPr>
              <w:t>Probably yes</w:t>
            </w:r>
          </w:p>
          <w:p w:rsidR="009C6A81" w:rsidRDefault="00ED5651">
            <w:pPr>
              <w:numPr>
                <w:ilvl w:val="0"/>
                <w:numId w:val="51"/>
              </w:numPr>
              <w:jc w:val="left"/>
              <w:rPr>
                <w:color w:val="AEAAAA"/>
                <w:sz w:val="20"/>
                <w:szCs w:val="20"/>
              </w:rPr>
            </w:pPr>
            <w:r>
              <w:rPr>
                <w:color w:val="AEAAAA"/>
                <w:sz w:val="20"/>
                <w:szCs w:val="20"/>
              </w:rPr>
              <w:t>Probably not</w:t>
            </w:r>
          </w:p>
          <w:p w:rsidR="009C6A81" w:rsidRDefault="00ED5651">
            <w:pPr>
              <w:numPr>
                <w:ilvl w:val="0"/>
                <w:numId w:val="51"/>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Obesity is a chronic, complex and heterogeneous disease. There is no single treatment for its management, and in order to focus the therapeutic effort on effective and appropriate interventions, the characteristics and context of overweight or obese indivi</w:t>
            </w:r>
            <w:r>
              <w:rPr>
                <w:sz w:val="20"/>
                <w:szCs w:val="20"/>
              </w:rPr>
              <w:t>duals must be considered.</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82"/>
              </w:numPr>
              <w:jc w:val="left"/>
              <w:rPr>
                <w:sz w:val="20"/>
                <w:szCs w:val="20"/>
              </w:rPr>
            </w:pPr>
            <w:r>
              <w:rPr>
                <w:b/>
                <w:sz w:val="20"/>
                <w:szCs w:val="20"/>
              </w:rPr>
              <w:t>Yes</w:t>
            </w:r>
          </w:p>
          <w:p w:rsidR="009C6A81" w:rsidRDefault="00ED5651">
            <w:pPr>
              <w:numPr>
                <w:ilvl w:val="0"/>
                <w:numId w:val="82"/>
              </w:numPr>
              <w:jc w:val="left"/>
              <w:rPr>
                <w:color w:val="AEAAAA"/>
                <w:sz w:val="20"/>
                <w:szCs w:val="20"/>
              </w:rPr>
            </w:pPr>
            <w:r>
              <w:rPr>
                <w:color w:val="AEAAAA"/>
                <w:sz w:val="20"/>
                <w:szCs w:val="20"/>
              </w:rPr>
              <w:t>Probably yes</w:t>
            </w:r>
          </w:p>
          <w:p w:rsidR="009C6A81" w:rsidRDefault="00ED5651">
            <w:pPr>
              <w:numPr>
                <w:ilvl w:val="0"/>
                <w:numId w:val="82"/>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82"/>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120"/>
              </w:numPr>
              <w:jc w:val="left"/>
              <w:rPr>
                <w:sz w:val="20"/>
                <w:szCs w:val="20"/>
              </w:rPr>
            </w:pPr>
            <w:r>
              <w:rPr>
                <w:sz w:val="20"/>
                <w:szCs w:val="20"/>
              </w:rPr>
              <w:t>Importance of the problem.</w:t>
            </w:r>
          </w:p>
          <w:p w:rsidR="009C6A81" w:rsidRDefault="00ED5651">
            <w:pPr>
              <w:numPr>
                <w:ilvl w:val="0"/>
                <w:numId w:val="120"/>
              </w:numPr>
              <w:jc w:val="left"/>
              <w:rPr>
                <w:color w:val="AEAAAA"/>
                <w:sz w:val="20"/>
                <w:szCs w:val="20"/>
              </w:rPr>
            </w:pPr>
            <w:r>
              <w:rPr>
                <w:color w:val="AEAAAA"/>
                <w:sz w:val="20"/>
                <w:szCs w:val="20"/>
              </w:rPr>
              <w:t>Certainty of evidence.</w:t>
            </w:r>
          </w:p>
          <w:p w:rsidR="009C6A81" w:rsidRDefault="00ED5651">
            <w:pPr>
              <w:numPr>
                <w:ilvl w:val="0"/>
                <w:numId w:val="120"/>
              </w:numPr>
              <w:jc w:val="left"/>
              <w:rPr>
                <w:sz w:val="20"/>
                <w:szCs w:val="20"/>
              </w:rPr>
            </w:pPr>
            <w:r>
              <w:rPr>
                <w:sz w:val="20"/>
                <w:szCs w:val="20"/>
              </w:rPr>
              <w:t>Values</w:t>
            </w:r>
            <w:r>
              <w:rPr>
                <w:color w:val="AEAAAA"/>
                <w:sz w:val="20"/>
                <w:szCs w:val="20"/>
              </w:rPr>
              <w:t>.</w:t>
            </w:r>
          </w:p>
          <w:p w:rsidR="009C6A81" w:rsidRDefault="00ED5651">
            <w:pPr>
              <w:numPr>
                <w:ilvl w:val="0"/>
                <w:numId w:val="120"/>
              </w:numPr>
              <w:jc w:val="left"/>
              <w:rPr>
                <w:sz w:val="20"/>
                <w:szCs w:val="20"/>
              </w:rPr>
            </w:pPr>
            <w:r>
              <w:rPr>
                <w:sz w:val="20"/>
                <w:szCs w:val="20"/>
              </w:rPr>
              <w:t>Magnitude of resource requirements.</w:t>
            </w:r>
          </w:p>
          <w:p w:rsidR="009C6A81" w:rsidRDefault="00ED5651">
            <w:pPr>
              <w:numPr>
                <w:ilvl w:val="0"/>
                <w:numId w:val="120"/>
              </w:numPr>
              <w:jc w:val="left"/>
              <w:rPr>
                <w:color w:val="AEAAAA"/>
                <w:sz w:val="20"/>
                <w:szCs w:val="20"/>
              </w:rPr>
            </w:pPr>
            <w:r>
              <w:rPr>
                <w:color w:val="AEAAAA"/>
                <w:sz w:val="20"/>
                <w:szCs w:val="20"/>
              </w:rPr>
              <w:lastRenderedPageBreak/>
              <w:t>Certainty of evidence or resource use.</w:t>
            </w:r>
          </w:p>
          <w:p w:rsidR="009C6A81" w:rsidRDefault="00ED5651">
            <w:pPr>
              <w:numPr>
                <w:ilvl w:val="0"/>
                <w:numId w:val="120"/>
              </w:numPr>
              <w:jc w:val="left"/>
              <w:rPr>
                <w:sz w:val="20"/>
                <w:szCs w:val="20"/>
              </w:rPr>
            </w:pPr>
            <w:r>
              <w:rPr>
                <w:sz w:val="20"/>
                <w:szCs w:val="20"/>
              </w:rPr>
              <w:t>Cost-effectiveness.</w:t>
            </w:r>
          </w:p>
          <w:p w:rsidR="009C6A81" w:rsidRDefault="00ED5651">
            <w:pPr>
              <w:numPr>
                <w:ilvl w:val="0"/>
                <w:numId w:val="120"/>
              </w:numPr>
              <w:jc w:val="left"/>
              <w:rPr>
                <w:sz w:val="20"/>
                <w:szCs w:val="20"/>
              </w:rPr>
            </w:pPr>
            <w:r>
              <w:rPr>
                <w:sz w:val="20"/>
                <w:szCs w:val="20"/>
              </w:rPr>
              <w:t>Equity.</w:t>
            </w:r>
          </w:p>
          <w:p w:rsidR="009C6A81" w:rsidRDefault="00ED5651">
            <w:pPr>
              <w:numPr>
                <w:ilvl w:val="0"/>
                <w:numId w:val="120"/>
              </w:numPr>
              <w:jc w:val="left"/>
              <w:rPr>
                <w:sz w:val="20"/>
                <w:szCs w:val="20"/>
              </w:rPr>
            </w:pPr>
            <w:r>
              <w:rPr>
                <w:sz w:val="20"/>
                <w:szCs w:val="20"/>
              </w:rPr>
              <w:t>Aceptability.</w:t>
            </w:r>
          </w:p>
          <w:p w:rsidR="009C6A81" w:rsidRDefault="00ED5651">
            <w:pPr>
              <w:numPr>
                <w:ilvl w:val="0"/>
                <w:numId w:val="120"/>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lastRenderedPageBreak/>
              <w:t>Con base en la evidencia indirecta identificada y la experiencia del panel, personalizar el plan de tratamiento probablemente se traduce en un gran beneficio.</w:t>
            </w:r>
          </w:p>
          <w:p w:rsidR="009C6A81" w:rsidRDefault="009C6A81">
            <w:pPr>
              <w:rPr>
                <w:sz w:val="20"/>
                <w:szCs w:val="20"/>
              </w:rPr>
            </w:pPr>
          </w:p>
          <w:p w:rsidR="009C6A81" w:rsidRDefault="00ED5651">
            <w:pPr>
              <w:rPr>
                <w:sz w:val="20"/>
                <w:szCs w:val="20"/>
              </w:rPr>
            </w:pPr>
            <w:r>
              <w:rPr>
                <w:sz w:val="20"/>
                <w:szCs w:val="20"/>
              </w:rPr>
              <w:t>This statement is deemed to satisfy the following EtD criteria:</w:t>
            </w:r>
          </w:p>
          <w:p w:rsidR="009C6A81" w:rsidRDefault="00ED5651">
            <w:pPr>
              <w:numPr>
                <w:ilvl w:val="0"/>
                <w:numId w:val="117"/>
              </w:numPr>
              <w:rPr>
                <w:sz w:val="20"/>
                <w:szCs w:val="20"/>
              </w:rPr>
            </w:pPr>
            <w:r>
              <w:rPr>
                <w:b/>
                <w:sz w:val="20"/>
                <w:szCs w:val="20"/>
              </w:rPr>
              <w:t>Importance of the problem:</w:t>
            </w:r>
            <w:r>
              <w:rPr>
                <w:sz w:val="20"/>
                <w:szCs w:val="20"/>
              </w:rPr>
              <w:t xml:space="preserve"> The c</w:t>
            </w:r>
            <w:r>
              <w:rPr>
                <w:sz w:val="20"/>
                <w:szCs w:val="20"/>
              </w:rPr>
              <w:t>omplexity of obesity and its relationship with genetic, metabolic, behavioral and environmental factors make it a heterogeneous disease that requires an individualized treatment plan to avoid complications.</w:t>
            </w:r>
          </w:p>
          <w:p w:rsidR="009C6A81" w:rsidRDefault="00ED5651">
            <w:pPr>
              <w:numPr>
                <w:ilvl w:val="0"/>
                <w:numId w:val="117"/>
              </w:numPr>
              <w:rPr>
                <w:sz w:val="20"/>
                <w:szCs w:val="20"/>
              </w:rPr>
            </w:pPr>
            <w:r>
              <w:rPr>
                <w:b/>
                <w:sz w:val="20"/>
                <w:szCs w:val="20"/>
              </w:rPr>
              <w:lastRenderedPageBreak/>
              <w:t>Values:</w:t>
            </w:r>
            <w:r>
              <w:rPr>
                <w:sz w:val="20"/>
                <w:szCs w:val="20"/>
              </w:rPr>
              <w:t xml:space="preserve"> people living with overweight or obesity </w:t>
            </w:r>
            <w:r>
              <w:rPr>
                <w:sz w:val="20"/>
                <w:szCs w:val="20"/>
              </w:rPr>
              <w:t xml:space="preserve">would place a high value on the benefits derived from receiving a treatment plan appropriate to their individual characteristics. There is no reason to suspect heterogeneity in the assignment of values for these outcomes. </w:t>
            </w:r>
          </w:p>
          <w:p w:rsidR="009C6A81" w:rsidRDefault="00ED5651">
            <w:pPr>
              <w:numPr>
                <w:ilvl w:val="0"/>
                <w:numId w:val="117"/>
              </w:numPr>
              <w:rPr>
                <w:sz w:val="20"/>
                <w:szCs w:val="20"/>
              </w:rPr>
            </w:pPr>
            <w:r>
              <w:rPr>
                <w:b/>
                <w:sz w:val="20"/>
                <w:szCs w:val="20"/>
              </w:rPr>
              <w:t>Magnitude of resource requirement</w:t>
            </w:r>
            <w:r>
              <w:rPr>
                <w:b/>
                <w:sz w:val="20"/>
                <w:szCs w:val="20"/>
              </w:rPr>
              <w:t>s:</w:t>
            </w:r>
            <w:r>
              <w:rPr>
                <w:sz w:val="20"/>
                <w:szCs w:val="20"/>
              </w:rPr>
              <w:t xml:space="preserve"> Personalizing the treatment plan has minimal costs associated with it (training of health professionals may be required to individualize the treatment plan). Depending on the type of nutritional, physical activity and behavioral interventions, costs may</w:t>
            </w:r>
            <w:r>
              <w:rPr>
                <w:sz w:val="20"/>
                <w:szCs w:val="20"/>
              </w:rPr>
              <w:t xml:space="preserve"> vary. </w:t>
            </w:r>
          </w:p>
          <w:p w:rsidR="009C6A81" w:rsidRDefault="00ED5651">
            <w:pPr>
              <w:numPr>
                <w:ilvl w:val="0"/>
                <w:numId w:val="117"/>
              </w:numPr>
              <w:rPr>
                <w:sz w:val="20"/>
                <w:szCs w:val="20"/>
              </w:rPr>
            </w:pPr>
            <w:r>
              <w:rPr>
                <w:b/>
                <w:sz w:val="20"/>
                <w:szCs w:val="20"/>
              </w:rPr>
              <w:t>Cost-effectiveness:</w:t>
            </w:r>
            <w:r>
              <w:rPr>
                <w:sz w:val="20"/>
                <w:szCs w:val="20"/>
              </w:rPr>
              <w:t xml:space="preserve"> Although the implementation of an individualized treatment plan may require higher costs, the benefits of identifying a priori those interventions that would be more effective according to the characteristics of the individuals </w:t>
            </w:r>
            <w:r>
              <w:rPr>
                <w:sz w:val="20"/>
                <w:szCs w:val="20"/>
              </w:rPr>
              <w:t>would avoid wasting resources on irrelevant interventions and would achieve results aligned with the proposed objectives.</w:t>
            </w:r>
          </w:p>
          <w:p w:rsidR="009C6A81" w:rsidRDefault="00ED5651">
            <w:pPr>
              <w:numPr>
                <w:ilvl w:val="0"/>
                <w:numId w:val="117"/>
              </w:numPr>
              <w:rPr>
                <w:sz w:val="20"/>
                <w:szCs w:val="20"/>
              </w:rPr>
            </w:pPr>
            <w:r>
              <w:rPr>
                <w:b/>
                <w:sz w:val="20"/>
                <w:szCs w:val="20"/>
              </w:rPr>
              <w:t>Equity:</w:t>
            </w:r>
            <w:r>
              <w:rPr>
                <w:sz w:val="20"/>
                <w:szCs w:val="20"/>
              </w:rPr>
              <w:t xml:space="preserve"> It would increase health equity, since considering the characteristics of individuals for personalizing the treatment plan wou</w:t>
            </w:r>
            <w:r>
              <w:rPr>
                <w:sz w:val="20"/>
                <w:szCs w:val="20"/>
              </w:rPr>
              <w:t>ld favor certain vulnerable groups (mainly according to ethnicity, socioeconomic and educational level) (1).</w:t>
            </w:r>
          </w:p>
          <w:p w:rsidR="009C6A81" w:rsidRDefault="00ED5651">
            <w:pPr>
              <w:numPr>
                <w:ilvl w:val="0"/>
                <w:numId w:val="117"/>
              </w:numPr>
              <w:rPr>
                <w:sz w:val="20"/>
                <w:szCs w:val="20"/>
              </w:rPr>
            </w:pPr>
            <w:r>
              <w:rPr>
                <w:b/>
                <w:sz w:val="20"/>
                <w:szCs w:val="20"/>
              </w:rPr>
              <w:t xml:space="preserve">Acceptability: </w:t>
            </w:r>
            <w:r>
              <w:rPr>
                <w:sz w:val="20"/>
                <w:szCs w:val="20"/>
              </w:rPr>
              <w:t>It would be acceptable to key stakeholders, mainly patients, who would positively perceive receiving a treatment plan that suits the</w:t>
            </w:r>
            <w:r>
              <w:rPr>
                <w:sz w:val="20"/>
                <w:szCs w:val="20"/>
              </w:rPr>
              <w:t>ir preferences.</w:t>
            </w:r>
          </w:p>
          <w:p w:rsidR="009C6A81" w:rsidRDefault="00ED5651">
            <w:pPr>
              <w:numPr>
                <w:ilvl w:val="0"/>
                <w:numId w:val="117"/>
              </w:numPr>
              <w:rPr>
                <w:sz w:val="20"/>
                <w:szCs w:val="20"/>
              </w:rPr>
            </w:pPr>
            <w:r>
              <w:rPr>
                <w:b/>
                <w:sz w:val="20"/>
                <w:szCs w:val="20"/>
              </w:rPr>
              <w:t>Factibility:</w:t>
            </w:r>
            <w:r>
              <w:rPr>
                <w:sz w:val="20"/>
                <w:szCs w:val="20"/>
              </w:rPr>
              <w:t xml:space="preserve"> It would probably be feasible to individualize the treatment plan. Factors affecting implementation such as timeliness of access to prescribed treatments should be considered.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w:t>
            </w:r>
            <w:r>
              <w:rPr>
                <w:b/>
                <w:sz w:val="20"/>
                <w:szCs w:val="20"/>
              </w:rPr>
              <w:lastRenderedPageBreak/>
              <w:t xml:space="preserve">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51"/>
              </w:numPr>
              <w:jc w:val="left"/>
              <w:rPr>
                <w:sz w:val="20"/>
                <w:szCs w:val="20"/>
              </w:rPr>
            </w:pPr>
            <w:r>
              <w:rPr>
                <w:b/>
                <w:sz w:val="20"/>
                <w:szCs w:val="20"/>
              </w:rPr>
              <w:lastRenderedPageBreak/>
              <w:t>Yes</w:t>
            </w:r>
          </w:p>
          <w:p w:rsidR="009C6A81" w:rsidRDefault="00ED5651">
            <w:pPr>
              <w:numPr>
                <w:ilvl w:val="0"/>
                <w:numId w:val="51"/>
              </w:numPr>
              <w:jc w:val="left"/>
              <w:rPr>
                <w:color w:val="AEAAAA"/>
                <w:sz w:val="20"/>
                <w:szCs w:val="20"/>
              </w:rPr>
            </w:pPr>
            <w:r>
              <w:rPr>
                <w:color w:val="AEAAAA"/>
                <w:sz w:val="20"/>
                <w:szCs w:val="20"/>
              </w:rPr>
              <w:t>Probably yes</w:t>
            </w:r>
          </w:p>
          <w:p w:rsidR="009C6A81" w:rsidRDefault="00ED5651">
            <w:pPr>
              <w:numPr>
                <w:ilvl w:val="0"/>
                <w:numId w:val="51"/>
              </w:numPr>
              <w:jc w:val="left"/>
              <w:rPr>
                <w:color w:val="AEAAAA"/>
                <w:sz w:val="20"/>
                <w:szCs w:val="20"/>
              </w:rPr>
            </w:pPr>
            <w:r>
              <w:rPr>
                <w:color w:val="AEAAAA"/>
                <w:sz w:val="20"/>
                <w:szCs w:val="20"/>
              </w:rPr>
              <w:t>Probably not</w:t>
            </w:r>
          </w:p>
          <w:p w:rsidR="009C6A81" w:rsidRDefault="00ED5651">
            <w:pPr>
              <w:numPr>
                <w:ilvl w:val="0"/>
                <w:numId w:val="51"/>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The heteroge</w:t>
            </w:r>
            <w:r>
              <w:rPr>
                <w:sz w:val="20"/>
                <w:szCs w:val="20"/>
              </w:rPr>
              <w:t xml:space="preserve">neity of the presentation of obesity is a phenomenon recognized and widely accepted by the international community. There is no reason to suspect </w:t>
            </w:r>
            <w:r>
              <w:rPr>
                <w:sz w:val="20"/>
                <w:szCs w:val="20"/>
              </w:rPr>
              <w:lastRenderedPageBreak/>
              <w:t>that not individualizing a treatment plan will have more benefit than doing it. This is why collecting, summar</w:t>
            </w:r>
            <w:r>
              <w:rPr>
                <w:sz w:val="20"/>
                <w:szCs w:val="20"/>
              </w:rPr>
              <w:t>izing and formally discussing the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51"/>
              </w:numPr>
              <w:jc w:val="left"/>
              <w:rPr>
                <w:sz w:val="20"/>
                <w:szCs w:val="20"/>
              </w:rPr>
            </w:pPr>
            <w:r>
              <w:rPr>
                <w:b/>
                <w:sz w:val="20"/>
                <w:szCs w:val="20"/>
              </w:rPr>
              <w:t>Yes</w:t>
            </w:r>
          </w:p>
          <w:p w:rsidR="009C6A81" w:rsidRDefault="00ED5651">
            <w:pPr>
              <w:numPr>
                <w:ilvl w:val="0"/>
                <w:numId w:val="51"/>
              </w:numPr>
              <w:jc w:val="left"/>
              <w:rPr>
                <w:color w:val="AEAAAA"/>
                <w:sz w:val="20"/>
                <w:szCs w:val="20"/>
              </w:rPr>
            </w:pPr>
            <w:r>
              <w:rPr>
                <w:color w:val="AEAAAA"/>
                <w:sz w:val="20"/>
                <w:szCs w:val="20"/>
              </w:rPr>
              <w:t>Probably yes</w:t>
            </w:r>
          </w:p>
          <w:p w:rsidR="009C6A81" w:rsidRDefault="00ED5651">
            <w:pPr>
              <w:numPr>
                <w:ilvl w:val="0"/>
                <w:numId w:val="51"/>
              </w:numPr>
              <w:jc w:val="left"/>
              <w:rPr>
                <w:color w:val="AEAAAA"/>
                <w:sz w:val="20"/>
                <w:szCs w:val="20"/>
              </w:rPr>
            </w:pPr>
            <w:r>
              <w:rPr>
                <w:color w:val="AEAAAA"/>
                <w:sz w:val="20"/>
                <w:szCs w:val="20"/>
              </w:rPr>
              <w:t>Probably not</w:t>
            </w:r>
          </w:p>
          <w:p w:rsidR="009C6A81" w:rsidRDefault="00ED5651">
            <w:pPr>
              <w:numPr>
                <w:ilvl w:val="0"/>
                <w:numId w:val="51"/>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Indirect evidence from Canadian, North American and European clinical practice guidelines (1-3) was identified to support this good practice statement. In them, it was found that obesity is a chronic, complex and heterogeneous disease that requires individ</w:t>
            </w:r>
            <w:r>
              <w:rPr>
                <w:sz w:val="20"/>
                <w:szCs w:val="20"/>
              </w:rPr>
              <w:t xml:space="preserve">ualized treatment that is sustainable over time (2). Modifications in the dietary plan could increase adherence to treatment, as well as adjustments in the prescription of physical activity according to the capabilities and preferences of individuals (1). </w:t>
            </w:r>
            <w:r>
              <w:rPr>
                <w:sz w:val="20"/>
                <w:szCs w:val="20"/>
              </w:rPr>
              <w:t xml:space="preserve">Personalizing nutritional, physical activity and psychological interventions will optimize motivation and adherence to treatment (3).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51"/>
              </w:numPr>
              <w:jc w:val="left"/>
              <w:rPr>
                <w:sz w:val="20"/>
                <w:szCs w:val="20"/>
              </w:rPr>
            </w:pPr>
            <w:r>
              <w:rPr>
                <w:b/>
                <w:sz w:val="20"/>
                <w:szCs w:val="20"/>
              </w:rPr>
              <w:t>Yes</w:t>
            </w:r>
          </w:p>
          <w:p w:rsidR="009C6A81" w:rsidRDefault="00ED5651">
            <w:pPr>
              <w:numPr>
                <w:ilvl w:val="0"/>
                <w:numId w:val="51"/>
              </w:numPr>
              <w:jc w:val="left"/>
              <w:rPr>
                <w:color w:val="AEAAAA"/>
                <w:sz w:val="20"/>
                <w:szCs w:val="20"/>
              </w:rPr>
            </w:pPr>
            <w:r>
              <w:rPr>
                <w:color w:val="AEAAAA"/>
                <w:sz w:val="20"/>
                <w:szCs w:val="20"/>
              </w:rPr>
              <w:t>Probably yes</w:t>
            </w:r>
          </w:p>
          <w:p w:rsidR="009C6A81" w:rsidRDefault="00ED5651">
            <w:pPr>
              <w:numPr>
                <w:ilvl w:val="0"/>
                <w:numId w:val="51"/>
              </w:numPr>
              <w:jc w:val="left"/>
              <w:rPr>
                <w:color w:val="AEAAAA"/>
                <w:sz w:val="20"/>
                <w:szCs w:val="20"/>
              </w:rPr>
            </w:pPr>
            <w:r>
              <w:rPr>
                <w:color w:val="AEAAAA"/>
                <w:sz w:val="20"/>
                <w:szCs w:val="20"/>
              </w:rPr>
              <w:t>Probably not</w:t>
            </w:r>
          </w:p>
          <w:p w:rsidR="009C6A81" w:rsidRDefault="00ED5651">
            <w:pPr>
              <w:numPr>
                <w:ilvl w:val="0"/>
                <w:numId w:val="51"/>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 xml:space="preserve">This statement suggests a clear course of action: personalizing the diet plan, physical activity and exercise and behavioral interventions. In addition, it mentions the characteristics that should be considered in this individualization. </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38"/>
              </w:numPr>
              <w:tabs>
                <w:tab w:val="left" w:pos="142"/>
              </w:tabs>
              <w:spacing w:line="276" w:lineRule="auto"/>
              <w:rPr>
                <w:sz w:val="18"/>
                <w:szCs w:val="18"/>
              </w:rPr>
            </w:pPr>
            <w:r>
              <w:rPr>
                <w:sz w:val="18"/>
                <w:szCs w:val="18"/>
              </w:rPr>
              <w:t>Garvey WT, Mechanick JI, Brett EM, et al. AMERICAN ASSOCIATION OF CLINICAL ENDOCRINOLOGISTS AND AMERICAN COLLEGE OF ENDOCRINOLOGY COMPREHENSIVE CLINICAL PRACTICE GUIDELINES FOR MEDICAL CARE OF PATIENTS WITH OBESITY. Endocr Pract. 2016;22 Suppl 3:1-203. doi</w:t>
            </w:r>
            <w:r>
              <w:rPr>
                <w:sz w:val="18"/>
                <w:szCs w:val="18"/>
              </w:rPr>
              <w:t>:10.4158/EP161365.GL</w:t>
            </w:r>
          </w:p>
          <w:p w:rsidR="009C6A81" w:rsidRDefault="00ED5651">
            <w:pPr>
              <w:numPr>
                <w:ilvl w:val="0"/>
                <w:numId w:val="38"/>
              </w:numPr>
              <w:tabs>
                <w:tab w:val="left" w:pos="142"/>
              </w:tabs>
              <w:spacing w:line="276" w:lineRule="auto"/>
              <w:rPr>
                <w:sz w:val="18"/>
                <w:szCs w:val="18"/>
              </w:rPr>
            </w:pPr>
            <w:r>
              <w:rPr>
                <w:sz w:val="18"/>
                <w:szCs w:val="18"/>
              </w:rPr>
              <w:t xml:space="preserve">Campbell-Scherer D, Walji S, Kemp A, Piccinini-Vallis H, Vallis TM. Canadian Adult Obesity Clinical Practice Guidelines: Primary Care and Primary Healthcare in Obesity Management. Downloaded from: </w:t>
            </w:r>
            <w:hyperlink r:id="rId44">
              <w:r>
                <w:rPr>
                  <w:color w:val="1155CC"/>
                  <w:sz w:val="18"/>
                  <w:szCs w:val="18"/>
                  <w:u w:val="single"/>
                </w:rPr>
                <w:t>https://obesitycanada.ca/guidelines/primarycare</w:t>
              </w:r>
            </w:hyperlink>
            <w:r>
              <w:rPr>
                <w:sz w:val="18"/>
                <w:szCs w:val="18"/>
              </w:rPr>
              <w:t xml:space="preserve"> </w:t>
            </w:r>
          </w:p>
          <w:p w:rsidR="009C6A81" w:rsidRDefault="00ED5651">
            <w:pPr>
              <w:numPr>
                <w:ilvl w:val="0"/>
                <w:numId w:val="38"/>
              </w:numPr>
              <w:tabs>
                <w:tab w:val="left" w:pos="142"/>
              </w:tabs>
              <w:spacing w:line="276" w:lineRule="auto"/>
              <w:rPr>
                <w:sz w:val="18"/>
                <w:szCs w:val="18"/>
              </w:rPr>
            </w:pPr>
            <w:r>
              <w:rPr>
                <w:sz w:val="18"/>
                <w:szCs w:val="18"/>
              </w:rPr>
              <w:t>Yumuk V, Tsigos C, Fried M, et al. European Guidelines for Obesity Management in Adults [published correction appears in Obes Facts. 2016;9(1):64. doi: 10.1159/000444869]. Obes F</w:t>
            </w:r>
            <w:r>
              <w:rPr>
                <w:sz w:val="18"/>
                <w:szCs w:val="18"/>
              </w:rPr>
              <w:t xml:space="preserve">acts. 2015;8(6):402-424. doi:10.1159/000442721 </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68" w:name="_1au1eum" w:colFirst="0" w:colLast="0"/>
      <w:bookmarkEnd w:id="68"/>
      <w:r>
        <w:t>Good practice statement 12. Healthcare professionals should individualize the prescription of physical activity according to the characteristics and preferences of people with overweight or obesity (cardiovascular risk, musculoskeletal conditions, and risk</w:t>
      </w:r>
      <w:r>
        <w:t xml:space="preserve"> of falls), gradually increasing it to achieve WHO recommendations for aerobic physical activity.</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a"/>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lastRenderedPageBreak/>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w:t>
            </w:r>
            <w:r>
              <w:rPr>
                <w:b/>
                <w:color w:val="FFFFFF"/>
                <w:sz w:val="20"/>
                <w:szCs w:val="20"/>
              </w:rPr>
              <w:t>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7"/>
              </w:numPr>
              <w:jc w:val="left"/>
              <w:rPr>
                <w:sz w:val="20"/>
                <w:szCs w:val="20"/>
              </w:rPr>
            </w:pPr>
            <w:r>
              <w:rPr>
                <w:b/>
                <w:sz w:val="20"/>
                <w:szCs w:val="20"/>
              </w:rPr>
              <w:t>Yes</w:t>
            </w:r>
          </w:p>
          <w:p w:rsidR="009C6A81" w:rsidRDefault="00ED5651">
            <w:pPr>
              <w:numPr>
                <w:ilvl w:val="0"/>
                <w:numId w:val="57"/>
              </w:numPr>
              <w:jc w:val="left"/>
              <w:rPr>
                <w:color w:val="AEAAAA"/>
                <w:sz w:val="20"/>
                <w:szCs w:val="20"/>
              </w:rPr>
            </w:pPr>
            <w:r>
              <w:rPr>
                <w:color w:val="AEAAAA"/>
                <w:sz w:val="20"/>
                <w:szCs w:val="20"/>
              </w:rPr>
              <w:t>Probably yes</w:t>
            </w:r>
          </w:p>
          <w:p w:rsidR="009C6A81" w:rsidRDefault="00ED5651">
            <w:pPr>
              <w:numPr>
                <w:ilvl w:val="0"/>
                <w:numId w:val="57"/>
              </w:numPr>
              <w:jc w:val="left"/>
              <w:rPr>
                <w:color w:val="AEAAAA"/>
                <w:sz w:val="20"/>
                <w:szCs w:val="20"/>
              </w:rPr>
            </w:pPr>
            <w:r>
              <w:rPr>
                <w:color w:val="AEAAAA"/>
                <w:sz w:val="20"/>
                <w:szCs w:val="20"/>
              </w:rPr>
              <w:t>Probably not</w:t>
            </w:r>
          </w:p>
          <w:p w:rsidR="009C6A81" w:rsidRDefault="00ED5651">
            <w:pPr>
              <w:numPr>
                <w:ilvl w:val="0"/>
                <w:numId w:val="57"/>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7"/>
              </w:numPr>
              <w:jc w:val="left"/>
              <w:rPr>
                <w:sz w:val="20"/>
                <w:szCs w:val="20"/>
              </w:rPr>
            </w:pPr>
            <w:r>
              <w:rPr>
                <w:b/>
                <w:sz w:val="20"/>
                <w:szCs w:val="20"/>
              </w:rPr>
              <w:t>Yes</w:t>
            </w:r>
          </w:p>
          <w:p w:rsidR="009C6A81" w:rsidRDefault="00ED5651">
            <w:pPr>
              <w:numPr>
                <w:ilvl w:val="0"/>
                <w:numId w:val="57"/>
              </w:numPr>
              <w:jc w:val="left"/>
              <w:rPr>
                <w:color w:val="AEAAAA"/>
                <w:sz w:val="20"/>
                <w:szCs w:val="20"/>
              </w:rPr>
            </w:pPr>
            <w:r>
              <w:rPr>
                <w:color w:val="AEAAAA"/>
                <w:sz w:val="20"/>
                <w:szCs w:val="20"/>
              </w:rPr>
              <w:t>Probably yes</w:t>
            </w:r>
          </w:p>
          <w:p w:rsidR="009C6A81" w:rsidRDefault="00ED5651">
            <w:pPr>
              <w:numPr>
                <w:ilvl w:val="0"/>
                <w:numId w:val="57"/>
              </w:numPr>
              <w:jc w:val="left"/>
              <w:rPr>
                <w:color w:val="AEAAAA"/>
                <w:sz w:val="20"/>
                <w:szCs w:val="20"/>
              </w:rPr>
            </w:pPr>
            <w:r>
              <w:rPr>
                <w:color w:val="AEAAAA"/>
                <w:sz w:val="20"/>
                <w:szCs w:val="20"/>
              </w:rPr>
              <w:t>Probably not</w:t>
            </w:r>
          </w:p>
          <w:p w:rsidR="009C6A81" w:rsidRDefault="00ED5651">
            <w:pPr>
              <w:numPr>
                <w:ilvl w:val="0"/>
                <w:numId w:val="57"/>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components of the statement are:</w:t>
            </w:r>
          </w:p>
          <w:p w:rsidR="009C6A81" w:rsidRDefault="00ED5651">
            <w:pPr>
              <w:numPr>
                <w:ilvl w:val="0"/>
                <w:numId w:val="25"/>
              </w:numPr>
              <w:rPr>
                <w:sz w:val="20"/>
                <w:szCs w:val="20"/>
              </w:rPr>
            </w:pPr>
            <w:r>
              <w:rPr>
                <w:b/>
                <w:sz w:val="20"/>
                <w:szCs w:val="20"/>
              </w:rPr>
              <w:t>Population</w:t>
            </w:r>
            <w:r>
              <w:rPr>
                <w:sz w:val="20"/>
                <w:szCs w:val="20"/>
              </w:rPr>
              <w:t>: people living with overweight or obesity.</w:t>
            </w:r>
          </w:p>
          <w:p w:rsidR="009C6A81" w:rsidRDefault="00ED5651">
            <w:pPr>
              <w:numPr>
                <w:ilvl w:val="0"/>
                <w:numId w:val="25"/>
              </w:numPr>
              <w:rPr>
                <w:sz w:val="20"/>
                <w:szCs w:val="20"/>
              </w:rPr>
            </w:pPr>
            <w:r>
              <w:rPr>
                <w:b/>
                <w:sz w:val="20"/>
                <w:szCs w:val="20"/>
              </w:rPr>
              <w:t>Intervention</w:t>
            </w:r>
            <w:r>
              <w:rPr>
                <w:sz w:val="20"/>
                <w:szCs w:val="20"/>
              </w:rPr>
              <w:t>:  perform at least 150-300 minutes of moderate aerobic physical activity or 75-150 minutes of vigorous physical activity per week.</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7"/>
              </w:numPr>
              <w:jc w:val="left"/>
              <w:rPr>
                <w:sz w:val="20"/>
                <w:szCs w:val="20"/>
              </w:rPr>
            </w:pPr>
            <w:r>
              <w:rPr>
                <w:b/>
                <w:sz w:val="20"/>
                <w:szCs w:val="20"/>
              </w:rPr>
              <w:t>Yes</w:t>
            </w:r>
          </w:p>
          <w:p w:rsidR="009C6A81" w:rsidRDefault="00ED5651">
            <w:pPr>
              <w:numPr>
                <w:ilvl w:val="0"/>
                <w:numId w:val="57"/>
              </w:numPr>
              <w:jc w:val="left"/>
              <w:rPr>
                <w:color w:val="AEAAAA"/>
                <w:sz w:val="20"/>
                <w:szCs w:val="20"/>
              </w:rPr>
            </w:pPr>
            <w:r>
              <w:rPr>
                <w:color w:val="AEAAAA"/>
                <w:sz w:val="20"/>
                <w:szCs w:val="20"/>
              </w:rPr>
              <w:t>Probably yes</w:t>
            </w:r>
          </w:p>
          <w:p w:rsidR="009C6A81" w:rsidRDefault="00ED5651">
            <w:pPr>
              <w:numPr>
                <w:ilvl w:val="0"/>
                <w:numId w:val="57"/>
              </w:numPr>
              <w:jc w:val="left"/>
              <w:rPr>
                <w:color w:val="AEAAAA"/>
                <w:sz w:val="20"/>
                <w:szCs w:val="20"/>
              </w:rPr>
            </w:pPr>
            <w:r>
              <w:rPr>
                <w:color w:val="AEAAAA"/>
                <w:sz w:val="20"/>
                <w:szCs w:val="20"/>
              </w:rPr>
              <w:t>Probably not</w:t>
            </w:r>
          </w:p>
          <w:p w:rsidR="009C6A81" w:rsidRDefault="00ED5651">
            <w:pPr>
              <w:numPr>
                <w:ilvl w:val="0"/>
                <w:numId w:val="57"/>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Since the basis of the management plan for overweight or obesity are behavioral interventions (nutrition and physical activity), it is necessary t</w:t>
            </w:r>
            <w:r>
              <w:rPr>
                <w:sz w:val="20"/>
                <w:szCs w:val="20"/>
              </w:rPr>
              <w:t xml:space="preserve">o determine the type and amount of physical activity to be indicated depending on the objectives to be achieved. </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116"/>
              </w:numPr>
              <w:jc w:val="left"/>
              <w:rPr>
                <w:sz w:val="20"/>
                <w:szCs w:val="20"/>
              </w:rPr>
            </w:pPr>
            <w:r>
              <w:rPr>
                <w:b/>
                <w:sz w:val="20"/>
                <w:szCs w:val="20"/>
              </w:rPr>
              <w:t>Yes</w:t>
            </w:r>
          </w:p>
          <w:p w:rsidR="009C6A81" w:rsidRDefault="00ED5651">
            <w:pPr>
              <w:numPr>
                <w:ilvl w:val="0"/>
                <w:numId w:val="116"/>
              </w:numPr>
              <w:jc w:val="left"/>
              <w:rPr>
                <w:color w:val="AEAAAA"/>
                <w:sz w:val="20"/>
                <w:szCs w:val="20"/>
              </w:rPr>
            </w:pPr>
            <w:r>
              <w:rPr>
                <w:color w:val="AEAAAA"/>
                <w:sz w:val="20"/>
                <w:szCs w:val="20"/>
              </w:rPr>
              <w:t>Probably yes</w:t>
            </w:r>
          </w:p>
          <w:p w:rsidR="009C6A81" w:rsidRDefault="00ED5651">
            <w:pPr>
              <w:numPr>
                <w:ilvl w:val="0"/>
                <w:numId w:val="116"/>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116"/>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112"/>
              </w:numPr>
              <w:jc w:val="left"/>
              <w:rPr>
                <w:sz w:val="20"/>
                <w:szCs w:val="20"/>
              </w:rPr>
            </w:pPr>
            <w:r>
              <w:rPr>
                <w:color w:val="AEAAAA"/>
                <w:sz w:val="20"/>
                <w:szCs w:val="20"/>
              </w:rPr>
              <w:t>Importance of the problem.</w:t>
            </w:r>
          </w:p>
          <w:p w:rsidR="009C6A81" w:rsidRDefault="00ED5651">
            <w:pPr>
              <w:numPr>
                <w:ilvl w:val="0"/>
                <w:numId w:val="112"/>
              </w:numPr>
              <w:jc w:val="left"/>
              <w:rPr>
                <w:color w:val="AEAAAA"/>
                <w:sz w:val="20"/>
                <w:szCs w:val="20"/>
              </w:rPr>
            </w:pPr>
            <w:r>
              <w:rPr>
                <w:color w:val="AEAAAA"/>
                <w:sz w:val="20"/>
                <w:szCs w:val="20"/>
              </w:rPr>
              <w:t>Certainty of evidence.</w:t>
            </w:r>
          </w:p>
          <w:p w:rsidR="009C6A81" w:rsidRDefault="00ED5651">
            <w:pPr>
              <w:numPr>
                <w:ilvl w:val="0"/>
                <w:numId w:val="112"/>
              </w:numPr>
              <w:jc w:val="left"/>
              <w:rPr>
                <w:sz w:val="20"/>
                <w:szCs w:val="20"/>
              </w:rPr>
            </w:pPr>
            <w:r>
              <w:rPr>
                <w:sz w:val="20"/>
                <w:szCs w:val="20"/>
              </w:rPr>
              <w:t>Values.</w:t>
            </w:r>
          </w:p>
          <w:p w:rsidR="009C6A81" w:rsidRDefault="00ED5651">
            <w:pPr>
              <w:numPr>
                <w:ilvl w:val="0"/>
                <w:numId w:val="112"/>
              </w:numPr>
              <w:jc w:val="left"/>
              <w:rPr>
                <w:sz w:val="20"/>
                <w:szCs w:val="20"/>
              </w:rPr>
            </w:pPr>
            <w:r>
              <w:rPr>
                <w:sz w:val="20"/>
                <w:szCs w:val="20"/>
              </w:rPr>
              <w:t>Magnitude of resource requirements.</w:t>
            </w:r>
          </w:p>
          <w:p w:rsidR="009C6A81" w:rsidRDefault="00ED5651">
            <w:pPr>
              <w:numPr>
                <w:ilvl w:val="0"/>
                <w:numId w:val="112"/>
              </w:numPr>
              <w:jc w:val="left"/>
              <w:rPr>
                <w:color w:val="AEAAAA"/>
                <w:sz w:val="20"/>
                <w:szCs w:val="20"/>
              </w:rPr>
            </w:pPr>
            <w:r>
              <w:rPr>
                <w:color w:val="AEAAAA"/>
                <w:sz w:val="20"/>
                <w:szCs w:val="20"/>
              </w:rPr>
              <w:t>Certainty of evidence or resource use.</w:t>
            </w:r>
          </w:p>
          <w:p w:rsidR="009C6A81" w:rsidRDefault="00ED5651">
            <w:pPr>
              <w:numPr>
                <w:ilvl w:val="0"/>
                <w:numId w:val="112"/>
              </w:numPr>
              <w:jc w:val="left"/>
              <w:rPr>
                <w:sz w:val="20"/>
                <w:szCs w:val="20"/>
              </w:rPr>
            </w:pPr>
            <w:r>
              <w:rPr>
                <w:sz w:val="20"/>
                <w:szCs w:val="20"/>
              </w:rPr>
              <w:t>Cost-effectiveness.</w:t>
            </w:r>
          </w:p>
          <w:p w:rsidR="009C6A81" w:rsidRDefault="00ED5651">
            <w:pPr>
              <w:numPr>
                <w:ilvl w:val="0"/>
                <w:numId w:val="112"/>
              </w:numPr>
              <w:jc w:val="left"/>
              <w:rPr>
                <w:sz w:val="20"/>
                <w:szCs w:val="20"/>
              </w:rPr>
            </w:pPr>
            <w:r>
              <w:rPr>
                <w:sz w:val="20"/>
                <w:szCs w:val="20"/>
              </w:rPr>
              <w:t>Equity.</w:t>
            </w:r>
          </w:p>
          <w:p w:rsidR="009C6A81" w:rsidRDefault="00ED5651">
            <w:pPr>
              <w:numPr>
                <w:ilvl w:val="0"/>
                <w:numId w:val="112"/>
              </w:numPr>
              <w:jc w:val="left"/>
              <w:rPr>
                <w:sz w:val="20"/>
                <w:szCs w:val="20"/>
              </w:rPr>
            </w:pPr>
            <w:r>
              <w:rPr>
                <w:sz w:val="20"/>
                <w:szCs w:val="20"/>
              </w:rPr>
              <w:t>Acceptability.</w:t>
            </w:r>
          </w:p>
          <w:p w:rsidR="009C6A81" w:rsidRDefault="00ED5651">
            <w:pPr>
              <w:numPr>
                <w:ilvl w:val="0"/>
                <w:numId w:val="112"/>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panel's experience, prescribing aerobic physical activity according to WHO recommendations would likely result in a great benefit.</w:t>
            </w:r>
          </w:p>
          <w:p w:rsidR="009C6A81" w:rsidRDefault="00ED5651">
            <w:pPr>
              <w:jc w:val="left"/>
              <w:rPr>
                <w:sz w:val="20"/>
                <w:szCs w:val="20"/>
              </w:rPr>
            </w:pPr>
            <w:r>
              <w:rPr>
                <w:sz w:val="20"/>
                <w:szCs w:val="20"/>
              </w:rPr>
              <w:t xml:space="preserve"> </w:t>
            </w:r>
          </w:p>
          <w:p w:rsidR="009C6A81" w:rsidRDefault="00ED5651">
            <w:pPr>
              <w:rPr>
                <w:sz w:val="20"/>
                <w:szCs w:val="20"/>
              </w:rPr>
            </w:pPr>
            <w:r>
              <w:rPr>
                <w:sz w:val="20"/>
                <w:szCs w:val="20"/>
              </w:rPr>
              <w:t>This statement is deemed to satisfy the following EtD criteria:</w:t>
            </w:r>
          </w:p>
          <w:p w:rsidR="009C6A81" w:rsidRDefault="00ED5651">
            <w:pPr>
              <w:numPr>
                <w:ilvl w:val="0"/>
                <w:numId w:val="84"/>
              </w:numPr>
              <w:rPr>
                <w:sz w:val="20"/>
                <w:szCs w:val="20"/>
              </w:rPr>
            </w:pPr>
            <w:r>
              <w:rPr>
                <w:b/>
                <w:sz w:val="20"/>
                <w:szCs w:val="20"/>
              </w:rPr>
              <w:t>Values:</w:t>
            </w:r>
            <w:r>
              <w:rPr>
                <w:sz w:val="20"/>
                <w:szCs w:val="20"/>
              </w:rPr>
              <w:t xml:space="preserve"> p</w:t>
            </w:r>
            <w:r>
              <w:rPr>
                <w:sz w:val="20"/>
                <w:szCs w:val="20"/>
              </w:rPr>
              <w:t>robably all people living with overweight or obesity would place a high value on the physical and mental health benefits of aerobic physical activity.</w:t>
            </w:r>
          </w:p>
          <w:p w:rsidR="009C6A81" w:rsidRDefault="00ED5651">
            <w:pPr>
              <w:numPr>
                <w:ilvl w:val="0"/>
                <w:numId w:val="84"/>
              </w:numPr>
              <w:rPr>
                <w:sz w:val="20"/>
                <w:szCs w:val="20"/>
              </w:rPr>
            </w:pPr>
            <w:r>
              <w:rPr>
                <w:b/>
                <w:sz w:val="20"/>
                <w:szCs w:val="20"/>
              </w:rPr>
              <w:t>Magnitude of resource requirements:</w:t>
            </w:r>
            <w:r>
              <w:rPr>
                <w:sz w:val="20"/>
                <w:szCs w:val="20"/>
              </w:rPr>
              <w:t xml:space="preserve"> aerobic physical activity may require moderate costs, depending on wh</w:t>
            </w:r>
            <w:r>
              <w:rPr>
                <w:sz w:val="20"/>
                <w:szCs w:val="20"/>
              </w:rPr>
              <w:t>ether they are performed in the context of activities of daily living, work or travel, or whether supervision with additional space and equipment is required.</w:t>
            </w:r>
          </w:p>
          <w:p w:rsidR="009C6A81" w:rsidRDefault="00ED5651">
            <w:pPr>
              <w:numPr>
                <w:ilvl w:val="0"/>
                <w:numId w:val="84"/>
              </w:numPr>
              <w:rPr>
                <w:sz w:val="20"/>
                <w:szCs w:val="20"/>
              </w:rPr>
            </w:pPr>
            <w:r>
              <w:rPr>
                <w:b/>
                <w:sz w:val="20"/>
                <w:szCs w:val="20"/>
              </w:rPr>
              <w:t>Cost-effectiveness:</w:t>
            </w:r>
            <w:r>
              <w:rPr>
                <w:sz w:val="20"/>
                <w:szCs w:val="20"/>
              </w:rPr>
              <w:t xml:space="preserve"> Although the indication of aerobic physical activity may require personnel an</w:t>
            </w:r>
            <w:r>
              <w:rPr>
                <w:sz w:val="20"/>
                <w:szCs w:val="20"/>
              </w:rPr>
              <w:t xml:space="preserve">d </w:t>
            </w:r>
            <w:r>
              <w:rPr>
                <w:sz w:val="20"/>
                <w:szCs w:val="20"/>
              </w:rPr>
              <w:lastRenderedPageBreak/>
              <w:t>equipment/infrastructure, the benefits of exercise when complemented with other therapies would improve physical and mental health and prevent long-term complications.</w:t>
            </w:r>
          </w:p>
          <w:p w:rsidR="009C6A81" w:rsidRDefault="00ED5651">
            <w:pPr>
              <w:numPr>
                <w:ilvl w:val="0"/>
                <w:numId w:val="84"/>
              </w:numPr>
              <w:rPr>
                <w:sz w:val="20"/>
                <w:szCs w:val="20"/>
              </w:rPr>
            </w:pPr>
            <w:r>
              <w:rPr>
                <w:b/>
                <w:sz w:val="20"/>
                <w:szCs w:val="20"/>
              </w:rPr>
              <w:t>Equity</w:t>
            </w:r>
            <w:r>
              <w:rPr>
                <w:sz w:val="20"/>
                <w:szCs w:val="20"/>
              </w:rPr>
              <w:t>: the impact on equity may vary in some groups, but in general, its implementati</w:t>
            </w:r>
            <w:r>
              <w:rPr>
                <w:sz w:val="20"/>
                <w:szCs w:val="20"/>
              </w:rPr>
              <w:t>on could increase the opportunity for access to physical activity in vulnerable groups (according to socioeconomic level, educational level or geographic location).</w:t>
            </w:r>
          </w:p>
          <w:p w:rsidR="009C6A81" w:rsidRDefault="00ED5651">
            <w:pPr>
              <w:numPr>
                <w:ilvl w:val="0"/>
                <w:numId w:val="84"/>
              </w:numPr>
              <w:rPr>
                <w:sz w:val="20"/>
                <w:szCs w:val="20"/>
              </w:rPr>
            </w:pPr>
            <w:r>
              <w:rPr>
                <w:b/>
                <w:sz w:val="20"/>
                <w:szCs w:val="20"/>
              </w:rPr>
              <w:t>Acceptability:</w:t>
            </w:r>
            <w:r>
              <w:rPr>
                <w:sz w:val="20"/>
                <w:szCs w:val="20"/>
              </w:rPr>
              <w:t xml:space="preserve"> It would probably be acceptable by the key involved actors, requiring adapta</w:t>
            </w:r>
            <w:r>
              <w:rPr>
                <w:sz w:val="20"/>
                <w:szCs w:val="20"/>
              </w:rPr>
              <w:t>tions according to the motivations and preferences of people living with overweight or obesity (1).</w:t>
            </w:r>
          </w:p>
          <w:p w:rsidR="009C6A81" w:rsidRDefault="00ED5651">
            <w:pPr>
              <w:numPr>
                <w:ilvl w:val="0"/>
                <w:numId w:val="84"/>
              </w:numPr>
              <w:rPr>
                <w:sz w:val="20"/>
                <w:szCs w:val="20"/>
              </w:rPr>
            </w:pPr>
            <w:r>
              <w:rPr>
                <w:b/>
                <w:sz w:val="20"/>
                <w:szCs w:val="20"/>
              </w:rPr>
              <w:t xml:space="preserve">Factibility: </w:t>
            </w:r>
            <w:r>
              <w:rPr>
                <w:sz w:val="20"/>
                <w:szCs w:val="20"/>
              </w:rPr>
              <w:t>It would probably be feasible to indicate aerobic physical activity according to WHO recommendations. Factors affecting implementation should b</w:t>
            </w:r>
            <w:r>
              <w:rPr>
                <w:sz w:val="20"/>
                <w:szCs w:val="20"/>
              </w:rPr>
              <w:t>e considered, such as the capabilities and preferences of individuals (1), as well as access to supervision and/or necessary equipment.</w:t>
            </w:r>
          </w:p>
        </w:tc>
      </w:tr>
      <w:tr w:rsidR="009C6A81">
        <w:trPr>
          <w:trHeight w:val="3165"/>
        </w:trPr>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57"/>
              </w:numPr>
              <w:jc w:val="left"/>
              <w:rPr>
                <w:sz w:val="20"/>
                <w:szCs w:val="20"/>
              </w:rPr>
            </w:pPr>
            <w:r>
              <w:rPr>
                <w:b/>
                <w:sz w:val="20"/>
                <w:szCs w:val="20"/>
              </w:rPr>
              <w:t>Yes</w:t>
            </w:r>
          </w:p>
          <w:p w:rsidR="009C6A81" w:rsidRDefault="00ED5651">
            <w:pPr>
              <w:numPr>
                <w:ilvl w:val="0"/>
                <w:numId w:val="57"/>
              </w:numPr>
              <w:jc w:val="left"/>
              <w:rPr>
                <w:color w:val="AEAAAA"/>
                <w:sz w:val="20"/>
                <w:szCs w:val="20"/>
              </w:rPr>
            </w:pPr>
            <w:r>
              <w:rPr>
                <w:color w:val="AEAAAA"/>
                <w:sz w:val="20"/>
                <w:szCs w:val="20"/>
              </w:rPr>
              <w:t>Probably yes</w:t>
            </w:r>
          </w:p>
          <w:p w:rsidR="009C6A81" w:rsidRDefault="00ED5651">
            <w:pPr>
              <w:numPr>
                <w:ilvl w:val="0"/>
                <w:numId w:val="57"/>
              </w:numPr>
              <w:jc w:val="left"/>
              <w:rPr>
                <w:color w:val="AEAAAA"/>
                <w:sz w:val="20"/>
                <w:szCs w:val="20"/>
              </w:rPr>
            </w:pPr>
            <w:r>
              <w:rPr>
                <w:color w:val="AEAAAA"/>
                <w:sz w:val="20"/>
                <w:szCs w:val="20"/>
              </w:rPr>
              <w:t>Probably not</w:t>
            </w:r>
          </w:p>
          <w:p w:rsidR="009C6A81" w:rsidRDefault="00ED5651">
            <w:pPr>
              <w:numPr>
                <w:ilvl w:val="0"/>
                <w:numId w:val="57"/>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The conseque</w:t>
            </w:r>
            <w:r>
              <w:rPr>
                <w:sz w:val="20"/>
                <w:szCs w:val="20"/>
              </w:rPr>
              <w:t xml:space="preserve">nces of aerobic physical activity according to WHO recommendations bring benefits to people with or without obesity. There is no reason to think that not indicating physical activity will have greater benefits, on the contrary, it may generate harm versus </w:t>
            </w:r>
            <w:r>
              <w:rPr>
                <w:sz w:val="20"/>
                <w:szCs w:val="20"/>
              </w:rPr>
              <w:t>indicating it. Therefore, collecting, summarizing and formally discussing the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57"/>
              </w:numPr>
              <w:jc w:val="left"/>
              <w:rPr>
                <w:sz w:val="20"/>
                <w:szCs w:val="20"/>
              </w:rPr>
            </w:pPr>
            <w:r>
              <w:rPr>
                <w:b/>
                <w:sz w:val="20"/>
                <w:szCs w:val="20"/>
              </w:rPr>
              <w:t>Yes</w:t>
            </w:r>
          </w:p>
          <w:p w:rsidR="009C6A81" w:rsidRDefault="00ED5651">
            <w:pPr>
              <w:numPr>
                <w:ilvl w:val="0"/>
                <w:numId w:val="57"/>
              </w:numPr>
              <w:jc w:val="left"/>
              <w:rPr>
                <w:color w:val="AEAAAA"/>
                <w:sz w:val="20"/>
                <w:szCs w:val="20"/>
              </w:rPr>
            </w:pPr>
            <w:r>
              <w:rPr>
                <w:color w:val="AEAAAA"/>
                <w:sz w:val="20"/>
                <w:szCs w:val="20"/>
              </w:rPr>
              <w:t>Probably yes</w:t>
            </w:r>
          </w:p>
          <w:p w:rsidR="009C6A81" w:rsidRDefault="00ED5651">
            <w:pPr>
              <w:numPr>
                <w:ilvl w:val="0"/>
                <w:numId w:val="57"/>
              </w:numPr>
              <w:jc w:val="left"/>
              <w:rPr>
                <w:color w:val="AEAAAA"/>
                <w:sz w:val="20"/>
                <w:szCs w:val="20"/>
              </w:rPr>
            </w:pPr>
            <w:r>
              <w:rPr>
                <w:color w:val="AEAAAA"/>
                <w:sz w:val="20"/>
                <w:szCs w:val="20"/>
              </w:rPr>
              <w:t>Probably not</w:t>
            </w:r>
          </w:p>
          <w:p w:rsidR="009C6A81" w:rsidRDefault="00ED5651">
            <w:pPr>
              <w:numPr>
                <w:ilvl w:val="0"/>
                <w:numId w:val="57"/>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Indirect evidence from the WHO physical activity and sedentary behavior guideline (1), and Canadian, American, and European clinical practice guidelines (2-5) was identified to support this good practice statement. In them, it was found that aerobic physic</w:t>
            </w:r>
            <w:r>
              <w:rPr>
                <w:sz w:val="20"/>
                <w:szCs w:val="20"/>
              </w:rPr>
              <w:t xml:space="preserve">al activity of moderate to vigorous intensity would lead to improved physical </w:t>
            </w:r>
            <w:r>
              <w:rPr>
                <w:sz w:val="20"/>
                <w:szCs w:val="20"/>
              </w:rPr>
              <w:lastRenderedPageBreak/>
              <w:t>and mental health. The Canadian guidelines (2,3) show that a slight decrease in weight and body fat (even in the absence of weight loss), maintenance of achieved weight, and impr</w:t>
            </w:r>
            <w:r>
              <w:rPr>
                <w:sz w:val="20"/>
                <w:szCs w:val="20"/>
              </w:rPr>
              <w:t>ovement in cardiorespiratory fitness and mobility would be achieved. The prescription of physical activity should be indicated progressively (4), while walking would be the best type of physical activity/exercise in people living with overweight or obesity</w:t>
            </w:r>
            <w:r>
              <w:rPr>
                <w:sz w:val="20"/>
                <w:szCs w:val="20"/>
              </w:rPr>
              <w:t xml:space="preserve"> (5).</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lastRenderedPageBreak/>
              <w:t>5. The declaration is clear and actionable.</w:t>
            </w:r>
          </w:p>
        </w:tc>
        <w:tc>
          <w:tcPr>
            <w:tcW w:w="2520" w:type="dxa"/>
            <w:tcMar>
              <w:top w:w="150" w:type="dxa"/>
              <w:left w:w="150" w:type="dxa"/>
              <w:bottom w:w="150" w:type="dxa"/>
              <w:right w:w="150" w:type="dxa"/>
            </w:tcMar>
          </w:tcPr>
          <w:p w:rsidR="009C6A81" w:rsidRDefault="00ED5651">
            <w:pPr>
              <w:numPr>
                <w:ilvl w:val="0"/>
                <w:numId w:val="57"/>
              </w:numPr>
              <w:jc w:val="left"/>
              <w:rPr>
                <w:sz w:val="20"/>
                <w:szCs w:val="20"/>
              </w:rPr>
            </w:pPr>
            <w:r>
              <w:rPr>
                <w:b/>
                <w:sz w:val="20"/>
                <w:szCs w:val="20"/>
              </w:rPr>
              <w:t>Yes</w:t>
            </w:r>
          </w:p>
          <w:p w:rsidR="009C6A81" w:rsidRDefault="00ED5651">
            <w:pPr>
              <w:numPr>
                <w:ilvl w:val="0"/>
                <w:numId w:val="57"/>
              </w:numPr>
              <w:jc w:val="left"/>
              <w:rPr>
                <w:color w:val="AEAAAA"/>
                <w:sz w:val="20"/>
                <w:szCs w:val="20"/>
              </w:rPr>
            </w:pPr>
            <w:r>
              <w:rPr>
                <w:color w:val="AEAAAA"/>
                <w:sz w:val="20"/>
                <w:szCs w:val="20"/>
              </w:rPr>
              <w:t>Probably yes</w:t>
            </w:r>
          </w:p>
          <w:p w:rsidR="009C6A81" w:rsidRDefault="00ED5651">
            <w:pPr>
              <w:numPr>
                <w:ilvl w:val="0"/>
                <w:numId w:val="57"/>
              </w:numPr>
              <w:jc w:val="left"/>
              <w:rPr>
                <w:color w:val="AEAAAA"/>
                <w:sz w:val="20"/>
                <w:szCs w:val="20"/>
              </w:rPr>
            </w:pPr>
            <w:r>
              <w:rPr>
                <w:color w:val="AEAAAA"/>
                <w:sz w:val="20"/>
                <w:szCs w:val="20"/>
              </w:rPr>
              <w:t>Probably not</w:t>
            </w:r>
          </w:p>
          <w:p w:rsidR="009C6A81" w:rsidRDefault="00ED5651">
            <w:pPr>
              <w:numPr>
                <w:ilvl w:val="0"/>
                <w:numId w:val="57"/>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This statement suggests a clear course of action: individualize the prescription of physical activity according to the characteristics and preferences of people living with overweight or obesity and gradually build up to the WHO recommendations for aerobic</w:t>
            </w:r>
            <w:r>
              <w:rPr>
                <w:sz w:val="20"/>
                <w:szCs w:val="20"/>
              </w:rPr>
              <w:t xml:space="preserve"> physical activity.</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63"/>
              </w:numPr>
              <w:tabs>
                <w:tab w:val="left" w:pos="142"/>
              </w:tabs>
              <w:spacing w:line="276" w:lineRule="auto"/>
              <w:rPr>
                <w:sz w:val="18"/>
                <w:szCs w:val="18"/>
              </w:rPr>
            </w:pPr>
            <w:r>
              <w:rPr>
                <w:sz w:val="18"/>
                <w:szCs w:val="18"/>
              </w:rPr>
              <w:t xml:space="preserve">WHO guidelines on physical activity and sedentary behaviour. Geneva: World Health Organization; 2020. Available from: </w:t>
            </w:r>
            <w:hyperlink r:id="rId45">
              <w:r>
                <w:rPr>
                  <w:color w:val="1155CC"/>
                  <w:sz w:val="18"/>
                  <w:szCs w:val="18"/>
                  <w:u w:val="single"/>
                </w:rPr>
                <w:t>https://www.who.int/publications/i/item/9789240015128</w:t>
              </w:r>
            </w:hyperlink>
            <w:r>
              <w:rPr>
                <w:sz w:val="18"/>
                <w:szCs w:val="18"/>
              </w:rPr>
              <w:t xml:space="preserve"> </w:t>
            </w:r>
          </w:p>
          <w:p w:rsidR="009C6A81" w:rsidRDefault="00ED5651">
            <w:pPr>
              <w:numPr>
                <w:ilvl w:val="0"/>
                <w:numId w:val="63"/>
              </w:numPr>
              <w:tabs>
                <w:tab w:val="left" w:pos="142"/>
              </w:tabs>
              <w:spacing w:line="276" w:lineRule="auto"/>
              <w:rPr>
                <w:sz w:val="18"/>
                <w:szCs w:val="18"/>
              </w:rPr>
            </w:pPr>
            <w:r>
              <w:rPr>
                <w:sz w:val="18"/>
                <w:szCs w:val="18"/>
              </w:rPr>
              <w:t>Sean Wharton, David C.W. Lau, Michael Vallis, Arya M. Sharma, Laurent Biertho, Denise Campbell-Scherer, Kristi Adamo, Angela Alberga, Rhonda Bell, Normand Boulé, Elaine Boyling, Jennifer Brown, Betty C</w:t>
            </w:r>
            <w:r>
              <w:rPr>
                <w:sz w:val="18"/>
                <w:szCs w:val="18"/>
              </w:rPr>
              <w:t>alam, Carol Clarke, Lindsay Crowshoe, Dennis Divalentino, Mary Forhan, Yoni Freedhoff, Michel Gagner, Stephen Glazer, Cindy Grand, Michael Green, Margaret Hahn, Raed Hawa, Rita Henderson, Dennis Hong, Pam Hung, Ian Janssen, Kristen Jacklin, Carlene Johnson</w:t>
            </w:r>
            <w:r>
              <w:rPr>
                <w:sz w:val="18"/>
                <w:szCs w:val="18"/>
              </w:rPr>
              <w:t>-Stoklossa, Amy Kemp, Sara Kirk, Jennifer Kuk, Marie-France Langlois, Scott Lear, Ashley McInnes, David Macklin, Leen Naji, Priya Manjoo, Marie-Philippe Morin, Kara Nerenberg, Ian Patton, Sue Pedersen, Leticia Pereira, Helena Piccinini-Vallis, Megha Poddar</w:t>
            </w:r>
            <w:r>
              <w:rPr>
                <w:sz w:val="18"/>
                <w:szCs w:val="18"/>
              </w:rPr>
              <w:t>, Paul Poirier, Denis Prud’homme, Ximena Ramos Salas, Christian Rueda-Clausen, Shelly Russell-Mayhew, Judy Shiau, Diana Sherifali, John Sievenpiper, Sanjeev Sockalingam, Valerie Taylor, Ellen Toth, Laurie Twells, Richard Tytus, Shahebina Walji, Leah Walker</w:t>
            </w:r>
            <w:r>
              <w:rPr>
                <w:sz w:val="18"/>
                <w:szCs w:val="18"/>
              </w:rPr>
              <w:t>, Sonja Wicklum. Obesity in adults: a clinical practice guideline. CMAJ Aug 2020, 192 (31) E875-E891; DOI: 10.1503/cmaj.191707.</w:t>
            </w:r>
          </w:p>
          <w:p w:rsidR="009C6A81" w:rsidRDefault="00ED5651">
            <w:pPr>
              <w:numPr>
                <w:ilvl w:val="0"/>
                <w:numId w:val="63"/>
              </w:numPr>
              <w:tabs>
                <w:tab w:val="left" w:pos="142"/>
              </w:tabs>
              <w:spacing w:line="276" w:lineRule="auto"/>
              <w:rPr>
                <w:sz w:val="18"/>
                <w:szCs w:val="18"/>
              </w:rPr>
            </w:pPr>
            <w:r>
              <w:rPr>
                <w:sz w:val="18"/>
                <w:szCs w:val="18"/>
              </w:rPr>
              <w:t xml:space="preserve">Boulé NG, Prud’homme D. Canadian Adult Obesity Clinical Practice Guidelines: Physical Activity in Obesity Management. Available </w:t>
            </w:r>
            <w:r>
              <w:rPr>
                <w:sz w:val="18"/>
                <w:szCs w:val="18"/>
              </w:rPr>
              <w:t xml:space="preserve">from: </w:t>
            </w:r>
            <w:hyperlink r:id="rId46">
              <w:r>
                <w:rPr>
                  <w:color w:val="1155CC"/>
                  <w:sz w:val="18"/>
                  <w:szCs w:val="18"/>
                  <w:u w:val="single"/>
                </w:rPr>
                <w:t>https://obesitycanada.ca/guidelines/physicalactivity</w:t>
              </w:r>
            </w:hyperlink>
            <w:r>
              <w:rPr>
                <w:sz w:val="18"/>
                <w:szCs w:val="18"/>
              </w:rPr>
              <w:t xml:space="preserve"> </w:t>
            </w:r>
          </w:p>
          <w:p w:rsidR="009C6A81" w:rsidRDefault="00ED5651">
            <w:pPr>
              <w:numPr>
                <w:ilvl w:val="0"/>
                <w:numId w:val="63"/>
              </w:numPr>
              <w:tabs>
                <w:tab w:val="left" w:pos="142"/>
              </w:tabs>
              <w:spacing w:line="276" w:lineRule="auto"/>
              <w:rPr>
                <w:sz w:val="18"/>
                <w:szCs w:val="18"/>
              </w:rPr>
            </w:pPr>
            <w:r>
              <w:rPr>
                <w:sz w:val="18"/>
                <w:szCs w:val="18"/>
              </w:rPr>
              <w:t>Garvey WT, Mechanick JI, Brett EM, et al. AMERICAN ASSOCIATION OF CLINICAL ENDOCRINOLOGISTS AND AMERICAN COLLEGE OF ENDOCRIN</w:t>
            </w:r>
            <w:r>
              <w:rPr>
                <w:sz w:val="18"/>
                <w:szCs w:val="18"/>
              </w:rPr>
              <w:t>OLOGY COMPREHENSIVE CLINICAL PRACTICE GUIDELINES FOR MEDICAL CARE OF PATIENTS WITH OBESITY. Endocr Pract. 2016;22 Suppl 3:1-203. doi:10.4158/EP161365.GL</w:t>
            </w:r>
          </w:p>
          <w:p w:rsidR="009C6A81" w:rsidRDefault="00ED5651">
            <w:pPr>
              <w:numPr>
                <w:ilvl w:val="0"/>
                <w:numId w:val="63"/>
              </w:numPr>
              <w:tabs>
                <w:tab w:val="left" w:pos="142"/>
              </w:tabs>
              <w:spacing w:line="276" w:lineRule="auto"/>
              <w:rPr>
                <w:sz w:val="18"/>
                <w:szCs w:val="18"/>
              </w:rPr>
            </w:pPr>
            <w:r>
              <w:rPr>
                <w:sz w:val="18"/>
                <w:szCs w:val="18"/>
              </w:rPr>
              <w:t>Yumuk V, Tsigos C, Fried M, et al. European Guidelines for Obesity Management in Adults [published correction appears in Obes Facts. 2016;9(1):64. doi: 10.1159/000444869]. Obes Facts. 2015;8(6):402-424. doi:10.1159/000442721</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69" w:name="_3utoxif" w:colFirst="0" w:colLast="0"/>
      <w:bookmarkEnd w:id="69"/>
      <w:r>
        <w:t xml:space="preserve">Good practice statement 13. </w:t>
      </w:r>
      <w:r>
        <w:t>In addition to prescribing aerobic physical activity, healthcare professionals should prescribe strength training at least 2 times per week to achieve additional physical and mental health benefits for individuals with overweight or obesity.</w:t>
      </w:r>
    </w:p>
    <w:p w:rsidR="009C6A81" w:rsidRDefault="009C6A81"/>
    <w:p w:rsidR="009C6A81" w:rsidRDefault="00ED5651">
      <w:pPr>
        <w:ind w:hanging="990"/>
      </w:pPr>
      <w:r>
        <w:t>Table. Summar</w:t>
      </w:r>
      <w:r>
        <w:t>y of criteria for the formulation of good practice statements.</w:t>
      </w:r>
    </w:p>
    <w:p w:rsidR="009C6A81" w:rsidRDefault="009C6A81">
      <w:pPr>
        <w:jc w:val="left"/>
        <w:rPr>
          <w:sz w:val="24"/>
          <w:szCs w:val="24"/>
        </w:rPr>
      </w:pPr>
    </w:p>
    <w:tbl>
      <w:tblPr>
        <w:tblStyle w:val="affffb"/>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lastRenderedPageBreak/>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98"/>
              </w:numPr>
              <w:jc w:val="left"/>
              <w:rPr>
                <w:sz w:val="20"/>
                <w:szCs w:val="20"/>
              </w:rPr>
            </w:pPr>
            <w:r>
              <w:rPr>
                <w:b/>
                <w:sz w:val="20"/>
                <w:szCs w:val="20"/>
              </w:rPr>
              <w:t>Yes</w:t>
            </w:r>
          </w:p>
          <w:p w:rsidR="009C6A81" w:rsidRDefault="00ED5651">
            <w:pPr>
              <w:numPr>
                <w:ilvl w:val="0"/>
                <w:numId w:val="98"/>
              </w:numPr>
              <w:jc w:val="left"/>
              <w:rPr>
                <w:color w:val="AEAAAA"/>
                <w:sz w:val="20"/>
                <w:szCs w:val="20"/>
              </w:rPr>
            </w:pPr>
            <w:r>
              <w:rPr>
                <w:color w:val="AEAAAA"/>
                <w:sz w:val="20"/>
                <w:szCs w:val="20"/>
              </w:rPr>
              <w:t>Probably yes</w:t>
            </w:r>
          </w:p>
          <w:p w:rsidR="009C6A81" w:rsidRDefault="00ED5651">
            <w:pPr>
              <w:numPr>
                <w:ilvl w:val="0"/>
                <w:numId w:val="98"/>
              </w:numPr>
              <w:jc w:val="left"/>
              <w:rPr>
                <w:color w:val="AEAAAA"/>
                <w:sz w:val="20"/>
                <w:szCs w:val="20"/>
              </w:rPr>
            </w:pPr>
            <w:r>
              <w:rPr>
                <w:color w:val="AEAAAA"/>
                <w:sz w:val="20"/>
                <w:szCs w:val="20"/>
              </w:rPr>
              <w:t>Probably not</w:t>
            </w:r>
          </w:p>
          <w:p w:rsidR="009C6A81" w:rsidRDefault="00ED5651">
            <w:pPr>
              <w:numPr>
                <w:ilvl w:val="0"/>
                <w:numId w:val="98"/>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98"/>
              </w:numPr>
              <w:jc w:val="left"/>
              <w:rPr>
                <w:sz w:val="20"/>
                <w:szCs w:val="20"/>
              </w:rPr>
            </w:pPr>
            <w:r>
              <w:rPr>
                <w:b/>
                <w:sz w:val="20"/>
                <w:szCs w:val="20"/>
              </w:rPr>
              <w:t>Yes</w:t>
            </w:r>
          </w:p>
          <w:p w:rsidR="009C6A81" w:rsidRDefault="00ED5651">
            <w:pPr>
              <w:numPr>
                <w:ilvl w:val="0"/>
                <w:numId w:val="98"/>
              </w:numPr>
              <w:jc w:val="left"/>
              <w:rPr>
                <w:color w:val="AEAAAA"/>
                <w:sz w:val="20"/>
                <w:szCs w:val="20"/>
              </w:rPr>
            </w:pPr>
            <w:r>
              <w:rPr>
                <w:color w:val="AEAAAA"/>
                <w:sz w:val="20"/>
                <w:szCs w:val="20"/>
              </w:rPr>
              <w:t>Probably yes</w:t>
            </w:r>
          </w:p>
          <w:p w:rsidR="009C6A81" w:rsidRDefault="00ED5651">
            <w:pPr>
              <w:numPr>
                <w:ilvl w:val="0"/>
                <w:numId w:val="98"/>
              </w:numPr>
              <w:jc w:val="left"/>
              <w:rPr>
                <w:color w:val="AEAAAA"/>
                <w:sz w:val="20"/>
                <w:szCs w:val="20"/>
              </w:rPr>
            </w:pPr>
            <w:r>
              <w:rPr>
                <w:color w:val="AEAAAA"/>
                <w:sz w:val="20"/>
                <w:szCs w:val="20"/>
              </w:rPr>
              <w:t>Probably not</w:t>
            </w:r>
          </w:p>
          <w:p w:rsidR="009C6A81" w:rsidRDefault="00ED5651">
            <w:pPr>
              <w:numPr>
                <w:ilvl w:val="0"/>
                <w:numId w:val="98"/>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111"/>
              </w:numPr>
              <w:rPr>
                <w:sz w:val="20"/>
                <w:szCs w:val="20"/>
              </w:rPr>
            </w:pPr>
            <w:r>
              <w:rPr>
                <w:b/>
                <w:sz w:val="20"/>
                <w:szCs w:val="20"/>
              </w:rPr>
              <w:t>Population</w:t>
            </w:r>
            <w:r>
              <w:rPr>
                <w:sz w:val="20"/>
                <w:szCs w:val="20"/>
              </w:rPr>
              <w:t>: people living with overweight or obesity.</w:t>
            </w:r>
          </w:p>
          <w:p w:rsidR="009C6A81" w:rsidRDefault="00ED5651">
            <w:pPr>
              <w:numPr>
                <w:ilvl w:val="0"/>
                <w:numId w:val="111"/>
              </w:numPr>
              <w:rPr>
                <w:sz w:val="20"/>
                <w:szCs w:val="20"/>
              </w:rPr>
            </w:pPr>
            <w:r>
              <w:rPr>
                <w:b/>
                <w:sz w:val="20"/>
                <w:szCs w:val="20"/>
              </w:rPr>
              <w:t>Intervention</w:t>
            </w:r>
            <w:r>
              <w:rPr>
                <w:sz w:val="20"/>
                <w:szCs w:val="20"/>
              </w:rPr>
              <w:t>: perform strength training at least 2 or more times per week.</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98"/>
              </w:numPr>
              <w:jc w:val="left"/>
              <w:rPr>
                <w:sz w:val="20"/>
                <w:szCs w:val="20"/>
              </w:rPr>
            </w:pPr>
            <w:r>
              <w:rPr>
                <w:b/>
                <w:sz w:val="20"/>
                <w:szCs w:val="20"/>
              </w:rPr>
              <w:t>Yes</w:t>
            </w:r>
          </w:p>
          <w:p w:rsidR="009C6A81" w:rsidRDefault="00ED5651">
            <w:pPr>
              <w:numPr>
                <w:ilvl w:val="0"/>
                <w:numId w:val="98"/>
              </w:numPr>
              <w:jc w:val="left"/>
              <w:rPr>
                <w:color w:val="AEAAAA"/>
                <w:sz w:val="20"/>
                <w:szCs w:val="20"/>
              </w:rPr>
            </w:pPr>
            <w:r>
              <w:rPr>
                <w:color w:val="AEAAAA"/>
                <w:sz w:val="20"/>
                <w:szCs w:val="20"/>
              </w:rPr>
              <w:t>Probably yes</w:t>
            </w:r>
          </w:p>
          <w:p w:rsidR="009C6A81" w:rsidRDefault="00ED5651">
            <w:pPr>
              <w:numPr>
                <w:ilvl w:val="0"/>
                <w:numId w:val="98"/>
              </w:numPr>
              <w:jc w:val="left"/>
              <w:rPr>
                <w:color w:val="AEAAAA"/>
                <w:sz w:val="20"/>
                <w:szCs w:val="20"/>
              </w:rPr>
            </w:pPr>
            <w:r>
              <w:rPr>
                <w:color w:val="AEAAAA"/>
                <w:sz w:val="20"/>
                <w:szCs w:val="20"/>
              </w:rPr>
              <w:t>Probably not</w:t>
            </w:r>
          </w:p>
          <w:p w:rsidR="009C6A81" w:rsidRDefault="00ED5651">
            <w:pPr>
              <w:numPr>
                <w:ilvl w:val="0"/>
                <w:numId w:val="98"/>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Since the basis of the management plan for overweight or obesity are behavioral interventions (nutrition and physical activity), it is necessary to determine the type and amount of exercise to be indicated depending on the objectives to be achieved. </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2. I</w:t>
            </w:r>
            <w:r>
              <w:rPr>
                <w:b/>
                <w:sz w:val="20"/>
                <w:szCs w:val="20"/>
              </w:rPr>
              <w:t xml:space="preserve">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73"/>
              </w:numPr>
              <w:jc w:val="left"/>
              <w:rPr>
                <w:sz w:val="20"/>
                <w:szCs w:val="20"/>
              </w:rPr>
            </w:pPr>
            <w:r>
              <w:rPr>
                <w:b/>
                <w:sz w:val="20"/>
                <w:szCs w:val="20"/>
              </w:rPr>
              <w:t>Yes</w:t>
            </w:r>
          </w:p>
          <w:p w:rsidR="009C6A81" w:rsidRDefault="00ED5651">
            <w:pPr>
              <w:numPr>
                <w:ilvl w:val="0"/>
                <w:numId w:val="73"/>
              </w:numPr>
              <w:jc w:val="left"/>
              <w:rPr>
                <w:color w:val="AEAAAA"/>
                <w:sz w:val="20"/>
                <w:szCs w:val="20"/>
              </w:rPr>
            </w:pPr>
            <w:r>
              <w:rPr>
                <w:color w:val="AEAAAA"/>
                <w:sz w:val="20"/>
                <w:szCs w:val="20"/>
              </w:rPr>
              <w:t>Probably yes</w:t>
            </w:r>
          </w:p>
          <w:p w:rsidR="009C6A81" w:rsidRDefault="00ED5651">
            <w:pPr>
              <w:numPr>
                <w:ilvl w:val="0"/>
                <w:numId w:val="73"/>
              </w:numPr>
              <w:jc w:val="left"/>
              <w:rPr>
                <w:color w:val="AEAAAA"/>
                <w:sz w:val="20"/>
                <w:szCs w:val="20"/>
              </w:rPr>
            </w:pPr>
            <w:r>
              <w:rPr>
                <w:color w:val="AEAAAA"/>
                <w:sz w:val="20"/>
                <w:szCs w:val="20"/>
              </w:rPr>
              <w:t>Probably no</w:t>
            </w:r>
            <w:r>
              <w:rPr>
                <w:color w:val="AEAAAA"/>
                <w:sz w:val="20"/>
                <w:szCs w:val="20"/>
              </w:rPr>
              <w:t>t</w:t>
            </w:r>
          </w:p>
          <w:p w:rsidR="009C6A81" w:rsidRDefault="00ED5651">
            <w:pPr>
              <w:numPr>
                <w:ilvl w:val="0"/>
                <w:numId w:val="73"/>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102"/>
              </w:numPr>
              <w:jc w:val="left"/>
              <w:rPr>
                <w:sz w:val="20"/>
                <w:szCs w:val="20"/>
              </w:rPr>
            </w:pPr>
            <w:r>
              <w:rPr>
                <w:color w:val="AEAAAA"/>
                <w:sz w:val="20"/>
                <w:szCs w:val="20"/>
              </w:rPr>
              <w:t>Importance of the problem.</w:t>
            </w:r>
          </w:p>
          <w:p w:rsidR="009C6A81" w:rsidRDefault="00ED5651">
            <w:pPr>
              <w:numPr>
                <w:ilvl w:val="0"/>
                <w:numId w:val="102"/>
              </w:numPr>
              <w:jc w:val="left"/>
              <w:rPr>
                <w:color w:val="AEAAAA"/>
                <w:sz w:val="20"/>
                <w:szCs w:val="20"/>
              </w:rPr>
            </w:pPr>
            <w:r>
              <w:rPr>
                <w:color w:val="AEAAAA"/>
                <w:sz w:val="20"/>
                <w:szCs w:val="20"/>
              </w:rPr>
              <w:t>Certainty of evidence.</w:t>
            </w:r>
          </w:p>
          <w:p w:rsidR="009C6A81" w:rsidRDefault="00ED5651">
            <w:pPr>
              <w:numPr>
                <w:ilvl w:val="0"/>
                <w:numId w:val="102"/>
              </w:numPr>
              <w:jc w:val="left"/>
              <w:rPr>
                <w:sz w:val="20"/>
                <w:szCs w:val="20"/>
              </w:rPr>
            </w:pPr>
            <w:r>
              <w:rPr>
                <w:sz w:val="20"/>
                <w:szCs w:val="20"/>
              </w:rPr>
              <w:t>Values</w:t>
            </w:r>
            <w:r>
              <w:rPr>
                <w:color w:val="AEAAAA"/>
                <w:sz w:val="20"/>
                <w:szCs w:val="20"/>
              </w:rPr>
              <w:t>.</w:t>
            </w:r>
          </w:p>
          <w:p w:rsidR="009C6A81" w:rsidRDefault="00ED5651">
            <w:pPr>
              <w:numPr>
                <w:ilvl w:val="0"/>
                <w:numId w:val="102"/>
              </w:numPr>
              <w:jc w:val="left"/>
              <w:rPr>
                <w:sz w:val="20"/>
                <w:szCs w:val="20"/>
              </w:rPr>
            </w:pPr>
            <w:r>
              <w:rPr>
                <w:sz w:val="20"/>
                <w:szCs w:val="20"/>
              </w:rPr>
              <w:t>Magnitude of resource requirements.</w:t>
            </w:r>
          </w:p>
          <w:p w:rsidR="009C6A81" w:rsidRDefault="00ED5651">
            <w:pPr>
              <w:numPr>
                <w:ilvl w:val="0"/>
                <w:numId w:val="102"/>
              </w:numPr>
              <w:jc w:val="left"/>
              <w:rPr>
                <w:color w:val="AEAAAA"/>
                <w:sz w:val="20"/>
                <w:szCs w:val="20"/>
              </w:rPr>
            </w:pPr>
            <w:r>
              <w:rPr>
                <w:color w:val="AEAAAA"/>
                <w:sz w:val="20"/>
                <w:szCs w:val="20"/>
              </w:rPr>
              <w:t>Certainty of evidence or resource use.</w:t>
            </w:r>
          </w:p>
          <w:p w:rsidR="009C6A81" w:rsidRDefault="00ED5651">
            <w:pPr>
              <w:numPr>
                <w:ilvl w:val="0"/>
                <w:numId w:val="102"/>
              </w:numPr>
              <w:jc w:val="left"/>
              <w:rPr>
                <w:sz w:val="20"/>
                <w:szCs w:val="20"/>
              </w:rPr>
            </w:pPr>
            <w:r>
              <w:rPr>
                <w:sz w:val="20"/>
                <w:szCs w:val="20"/>
              </w:rPr>
              <w:t>Cost-effectiveness.</w:t>
            </w:r>
          </w:p>
          <w:p w:rsidR="009C6A81" w:rsidRDefault="00ED5651">
            <w:pPr>
              <w:numPr>
                <w:ilvl w:val="0"/>
                <w:numId w:val="102"/>
              </w:numPr>
              <w:jc w:val="left"/>
              <w:rPr>
                <w:sz w:val="20"/>
                <w:szCs w:val="20"/>
              </w:rPr>
            </w:pPr>
            <w:r>
              <w:rPr>
                <w:sz w:val="20"/>
                <w:szCs w:val="20"/>
              </w:rPr>
              <w:t>Equity.</w:t>
            </w:r>
          </w:p>
          <w:p w:rsidR="009C6A81" w:rsidRDefault="00ED5651">
            <w:pPr>
              <w:numPr>
                <w:ilvl w:val="0"/>
                <w:numId w:val="102"/>
              </w:numPr>
              <w:jc w:val="left"/>
              <w:rPr>
                <w:sz w:val="20"/>
                <w:szCs w:val="20"/>
              </w:rPr>
            </w:pPr>
            <w:r>
              <w:rPr>
                <w:sz w:val="20"/>
                <w:szCs w:val="20"/>
              </w:rPr>
              <w:t>Acceptability.</w:t>
            </w:r>
          </w:p>
          <w:p w:rsidR="009C6A81" w:rsidRDefault="00ED5651">
            <w:pPr>
              <w:numPr>
                <w:ilvl w:val="0"/>
                <w:numId w:val="102"/>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panel's experience, prescribing strength exercise according to WHO recommendations would likely result in a great benefit.</w:t>
            </w:r>
          </w:p>
          <w:p w:rsidR="009C6A81" w:rsidRDefault="009C6A81">
            <w:pPr>
              <w:rPr>
                <w:sz w:val="20"/>
                <w:szCs w:val="20"/>
              </w:rPr>
            </w:pPr>
          </w:p>
          <w:p w:rsidR="009C6A81" w:rsidRDefault="00ED5651">
            <w:pPr>
              <w:rPr>
                <w:sz w:val="20"/>
                <w:szCs w:val="20"/>
              </w:rPr>
            </w:pPr>
            <w:r>
              <w:rPr>
                <w:sz w:val="20"/>
                <w:szCs w:val="20"/>
              </w:rPr>
              <w:t>This statement is deemed to satisfy the following EtD criteria:</w:t>
            </w:r>
          </w:p>
          <w:p w:rsidR="009C6A81" w:rsidRDefault="00ED5651">
            <w:pPr>
              <w:numPr>
                <w:ilvl w:val="0"/>
                <w:numId w:val="37"/>
              </w:numPr>
              <w:rPr>
                <w:sz w:val="20"/>
                <w:szCs w:val="20"/>
              </w:rPr>
            </w:pPr>
            <w:r>
              <w:rPr>
                <w:b/>
                <w:sz w:val="20"/>
                <w:szCs w:val="20"/>
              </w:rPr>
              <w:t>Values:</w:t>
            </w:r>
            <w:r>
              <w:rPr>
                <w:sz w:val="20"/>
                <w:szCs w:val="20"/>
              </w:rPr>
              <w:t xml:space="preserve"> probably a</w:t>
            </w:r>
            <w:r>
              <w:rPr>
                <w:sz w:val="20"/>
                <w:szCs w:val="20"/>
              </w:rPr>
              <w:t>ll people living with overweight or obesity would assign a high value on the additional physical and mental health benefits resulting from strength training.</w:t>
            </w:r>
          </w:p>
          <w:p w:rsidR="009C6A81" w:rsidRDefault="00ED5651">
            <w:pPr>
              <w:numPr>
                <w:ilvl w:val="0"/>
                <w:numId w:val="37"/>
              </w:numPr>
              <w:rPr>
                <w:sz w:val="20"/>
                <w:szCs w:val="20"/>
              </w:rPr>
            </w:pPr>
            <w:r>
              <w:rPr>
                <w:b/>
                <w:sz w:val="20"/>
                <w:szCs w:val="20"/>
              </w:rPr>
              <w:t>Magnitude of resource requirements:</w:t>
            </w:r>
            <w:r>
              <w:rPr>
                <w:sz w:val="20"/>
                <w:szCs w:val="20"/>
              </w:rPr>
              <w:t xml:space="preserve"> performing strength training may require moderate costs, depen</w:t>
            </w:r>
            <w:r>
              <w:rPr>
                <w:sz w:val="20"/>
                <w:szCs w:val="20"/>
              </w:rPr>
              <w:t>ding on whether supervision with additional space and equipment is required.</w:t>
            </w:r>
          </w:p>
          <w:p w:rsidR="009C6A81" w:rsidRDefault="00ED5651">
            <w:pPr>
              <w:numPr>
                <w:ilvl w:val="0"/>
                <w:numId w:val="37"/>
              </w:numPr>
              <w:rPr>
                <w:sz w:val="20"/>
                <w:szCs w:val="20"/>
              </w:rPr>
            </w:pPr>
            <w:r>
              <w:rPr>
                <w:b/>
                <w:sz w:val="20"/>
                <w:szCs w:val="20"/>
              </w:rPr>
              <w:t>Cost-effectiveness:</w:t>
            </w:r>
            <w:r>
              <w:rPr>
                <w:sz w:val="20"/>
                <w:szCs w:val="20"/>
              </w:rPr>
              <w:t xml:space="preserve"> While the indication for strength exercise may require personnel and equipment/infrastructure, the benefits of exercise when complemented with other therapies </w:t>
            </w:r>
            <w:r>
              <w:rPr>
                <w:sz w:val="20"/>
                <w:szCs w:val="20"/>
              </w:rPr>
              <w:t xml:space="preserve">would improve physical and mental </w:t>
            </w:r>
            <w:r>
              <w:rPr>
                <w:sz w:val="20"/>
                <w:szCs w:val="20"/>
              </w:rPr>
              <w:lastRenderedPageBreak/>
              <w:t>health and prevent long-term complications.</w:t>
            </w:r>
          </w:p>
          <w:p w:rsidR="009C6A81" w:rsidRDefault="00ED5651">
            <w:pPr>
              <w:numPr>
                <w:ilvl w:val="0"/>
                <w:numId w:val="37"/>
              </w:numPr>
              <w:rPr>
                <w:sz w:val="20"/>
                <w:szCs w:val="20"/>
              </w:rPr>
            </w:pPr>
            <w:r>
              <w:rPr>
                <w:b/>
                <w:sz w:val="20"/>
                <w:szCs w:val="20"/>
              </w:rPr>
              <w:t>Equity</w:t>
            </w:r>
            <w:r>
              <w:rPr>
                <w:sz w:val="20"/>
                <w:szCs w:val="20"/>
              </w:rPr>
              <w:t>: the impact on equity could vary in some groups, but in general, its implementation could increase the opportunity of access to exercise in vulnerable groups (according to</w:t>
            </w:r>
            <w:r>
              <w:rPr>
                <w:sz w:val="20"/>
                <w:szCs w:val="20"/>
              </w:rPr>
              <w:t xml:space="preserve"> socioeconomic level, educational level or geographic location).</w:t>
            </w:r>
          </w:p>
          <w:p w:rsidR="009C6A81" w:rsidRDefault="00ED5651">
            <w:pPr>
              <w:numPr>
                <w:ilvl w:val="0"/>
                <w:numId w:val="37"/>
              </w:numPr>
              <w:rPr>
                <w:sz w:val="20"/>
                <w:szCs w:val="20"/>
              </w:rPr>
            </w:pPr>
            <w:r>
              <w:rPr>
                <w:b/>
                <w:sz w:val="20"/>
                <w:szCs w:val="20"/>
              </w:rPr>
              <w:t>Acceptability:</w:t>
            </w:r>
            <w:r>
              <w:rPr>
                <w:sz w:val="20"/>
                <w:szCs w:val="20"/>
              </w:rPr>
              <w:t xml:space="preserve"> It would probably be acceptable by the key actors involved, requiring adaptations according to the motivations and preferences of people living with overweight or obesity (1).</w:t>
            </w:r>
          </w:p>
          <w:p w:rsidR="009C6A81" w:rsidRDefault="00ED5651">
            <w:pPr>
              <w:numPr>
                <w:ilvl w:val="0"/>
                <w:numId w:val="37"/>
              </w:numPr>
              <w:rPr>
                <w:sz w:val="20"/>
                <w:szCs w:val="20"/>
              </w:rPr>
            </w:pPr>
            <w:r>
              <w:rPr>
                <w:b/>
                <w:sz w:val="20"/>
                <w:szCs w:val="20"/>
              </w:rPr>
              <w:t>Factibility:</w:t>
            </w:r>
            <w:r>
              <w:rPr>
                <w:sz w:val="20"/>
                <w:szCs w:val="20"/>
              </w:rPr>
              <w:t xml:space="preserve"> </w:t>
            </w:r>
            <w:r>
              <w:rPr>
                <w:b/>
                <w:sz w:val="20"/>
                <w:szCs w:val="20"/>
              </w:rPr>
              <w:t xml:space="preserve"> </w:t>
            </w:r>
            <w:r>
              <w:rPr>
                <w:sz w:val="20"/>
                <w:szCs w:val="20"/>
              </w:rPr>
              <w:t>It would probably be feasible to indicate strength training according to WHO recommendations. Factors affecting implementation should be considered, such as the capabilities and preferences of individuals (1), as well as access to supervision</w:t>
            </w:r>
            <w:r>
              <w:rPr>
                <w:sz w:val="20"/>
                <w:szCs w:val="20"/>
              </w:rPr>
              <w:t xml:space="preserve"> and/or necessary equipment.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98"/>
              </w:numPr>
              <w:jc w:val="left"/>
              <w:rPr>
                <w:sz w:val="20"/>
                <w:szCs w:val="20"/>
              </w:rPr>
            </w:pPr>
            <w:r>
              <w:rPr>
                <w:b/>
                <w:sz w:val="20"/>
                <w:szCs w:val="20"/>
              </w:rPr>
              <w:t>Yes</w:t>
            </w:r>
          </w:p>
          <w:p w:rsidR="009C6A81" w:rsidRDefault="00ED5651">
            <w:pPr>
              <w:numPr>
                <w:ilvl w:val="0"/>
                <w:numId w:val="98"/>
              </w:numPr>
              <w:jc w:val="left"/>
              <w:rPr>
                <w:color w:val="AEAAAA"/>
                <w:sz w:val="20"/>
                <w:szCs w:val="20"/>
              </w:rPr>
            </w:pPr>
            <w:r>
              <w:rPr>
                <w:color w:val="AEAAAA"/>
                <w:sz w:val="20"/>
                <w:szCs w:val="20"/>
              </w:rPr>
              <w:t>Probably yes</w:t>
            </w:r>
          </w:p>
          <w:p w:rsidR="009C6A81" w:rsidRDefault="00ED5651">
            <w:pPr>
              <w:numPr>
                <w:ilvl w:val="0"/>
                <w:numId w:val="98"/>
              </w:numPr>
              <w:jc w:val="left"/>
              <w:rPr>
                <w:color w:val="AEAAAA"/>
                <w:sz w:val="20"/>
                <w:szCs w:val="20"/>
              </w:rPr>
            </w:pPr>
            <w:r>
              <w:rPr>
                <w:color w:val="AEAAAA"/>
                <w:sz w:val="20"/>
                <w:szCs w:val="20"/>
              </w:rPr>
              <w:t>Probably not</w:t>
            </w:r>
          </w:p>
          <w:p w:rsidR="009C6A81" w:rsidRDefault="00ED5651">
            <w:pPr>
              <w:numPr>
                <w:ilvl w:val="0"/>
                <w:numId w:val="98"/>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The effects of performing strength training in addition to physical activity according to WHO recommendations bring benefits to people living with or without obesity. There is no reason to think that not indicating strength tr</w:t>
            </w:r>
            <w:r>
              <w:rPr>
                <w:sz w:val="20"/>
                <w:szCs w:val="20"/>
              </w:rPr>
              <w:t>aining, on the contrary, may generate harm versus indicating it.  This is why collecting, summarizing and formally discussing the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98"/>
              </w:numPr>
              <w:jc w:val="left"/>
              <w:rPr>
                <w:sz w:val="20"/>
                <w:szCs w:val="20"/>
              </w:rPr>
            </w:pPr>
            <w:r>
              <w:rPr>
                <w:b/>
                <w:sz w:val="20"/>
                <w:szCs w:val="20"/>
              </w:rPr>
              <w:t>Yes</w:t>
            </w:r>
          </w:p>
          <w:p w:rsidR="009C6A81" w:rsidRDefault="00ED5651">
            <w:pPr>
              <w:numPr>
                <w:ilvl w:val="0"/>
                <w:numId w:val="98"/>
              </w:numPr>
              <w:jc w:val="left"/>
              <w:rPr>
                <w:color w:val="AEAAAA"/>
                <w:sz w:val="20"/>
                <w:szCs w:val="20"/>
              </w:rPr>
            </w:pPr>
            <w:r>
              <w:rPr>
                <w:color w:val="AEAAAA"/>
                <w:sz w:val="20"/>
                <w:szCs w:val="20"/>
              </w:rPr>
              <w:t>Probably yes</w:t>
            </w:r>
          </w:p>
          <w:p w:rsidR="009C6A81" w:rsidRDefault="00ED5651">
            <w:pPr>
              <w:numPr>
                <w:ilvl w:val="0"/>
                <w:numId w:val="98"/>
              </w:numPr>
              <w:jc w:val="left"/>
              <w:rPr>
                <w:color w:val="AEAAAA"/>
                <w:sz w:val="20"/>
                <w:szCs w:val="20"/>
              </w:rPr>
            </w:pPr>
            <w:r>
              <w:rPr>
                <w:color w:val="AEAAAA"/>
                <w:sz w:val="20"/>
                <w:szCs w:val="20"/>
              </w:rPr>
              <w:t>Probably not</w:t>
            </w:r>
          </w:p>
          <w:p w:rsidR="009C6A81" w:rsidRDefault="00ED5651">
            <w:pPr>
              <w:numPr>
                <w:ilvl w:val="0"/>
                <w:numId w:val="98"/>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Indirect evidence from the WHO guidelines on physical activity and sedentary behavior (1), and Canadian, American and European clin</w:t>
            </w:r>
            <w:r>
              <w:rPr>
                <w:sz w:val="20"/>
                <w:szCs w:val="20"/>
              </w:rPr>
              <w:t>ical practice guidelines (2-4) was identified to support this good practice statement. In them, it was found that: complementing aerobic physical activity, performing strength exercises involving the major muscle groups would bring health benefits.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w:t>
            </w:r>
            <w:r>
              <w:rPr>
                <w:b/>
                <w:sz w:val="20"/>
                <w:szCs w:val="20"/>
              </w:rPr>
              <w:t xml:space="preserve"> declaration is clear and actionable.</w:t>
            </w:r>
          </w:p>
        </w:tc>
        <w:tc>
          <w:tcPr>
            <w:tcW w:w="2520" w:type="dxa"/>
            <w:tcMar>
              <w:top w:w="150" w:type="dxa"/>
              <w:left w:w="150" w:type="dxa"/>
              <w:bottom w:w="150" w:type="dxa"/>
              <w:right w:w="150" w:type="dxa"/>
            </w:tcMar>
          </w:tcPr>
          <w:p w:rsidR="009C6A81" w:rsidRDefault="00ED5651">
            <w:pPr>
              <w:numPr>
                <w:ilvl w:val="0"/>
                <w:numId w:val="98"/>
              </w:numPr>
              <w:jc w:val="left"/>
              <w:rPr>
                <w:sz w:val="20"/>
                <w:szCs w:val="20"/>
              </w:rPr>
            </w:pPr>
            <w:r>
              <w:rPr>
                <w:b/>
                <w:sz w:val="20"/>
                <w:szCs w:val="20"/>
              </w:rPr>
              <w:t>Yes</w:t>
            </w:r>
          </w:p>
          <w:p w:rsidR="009C6A81" w:rsidRDefault="00ED5651">
            <w:pPr>
              <w:numPr>
                <w:ilvl w:val="0"/>
                <w:numId w:val="98"/>
              </w:numPr>
              <w:jc w:val="left"/>
              <w:rPr>
                <w:color w:val="AEAAAA"/>
                <w:sz w:val="20"/>
                <w:szCs w:val="20"/>
              </w:rPr>
            </w:pPr>
            <w:r>
              <w:rPr>
                <w:color w:val="AEAAAA"/>
                <w:sz w:val="20"/>
                <w:szCs w:val="20"/>
              </w:rPr>
              <w:t>Probably yes</w:t>
            </w:r>
          </w:p>
          <w:p w:rsidR="009C6A81" w:rsidRDefault="00ED5651">
            <w:pPr>
              <w:numPr>
                <w:ilvl w:val="0"/>
                <w:numId w:val="98"/>
              </w:numPr>
              <w:jc w:val="left"/>
              <w:rPr>
                <w:color w:val="AEAAAA"/>
                <w:sz w:val="20"/>
                <w:szCs w:val="20"/>
              </w:rPr>
            </w:pPr>
            <w:r>
              <w:rPr>
                <w:color w:val="AEAAAA"/>
                <w:sz w:val="20"/>
                <w:szCs w:val="20"/>
              </w:rPr>
              <w:t>Probably not</w:t>
            </w:r>
          </w:p>
          <w:p w:rsidR="009C6A81" w:rsidRDefault="00ED5651">
            <w:pPr>
              <w:numPr>
                <w:ilvl w:val="0"/>
                <w:numId w:val="98"/>
              </w:numPr>
              <w:jc w:val="left"/>
              <w:rPr>
                <w:color w:val="AEAAAA"/>
                <w:sz w:val="20"/>
                <w:szCs w:val="20"/>
              </w:rPr>
            </w:pPr>
            <w:r>
              <w:rPr>
                <w:color w:val="AEAAAA"/>
                <w:sz w:val="20"/>
                <w:szCs w:val="20"/>
              </w:rPr>
              <w:lastRenderedPageBreak/>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lastRenderedPageBreak/>
              <w:t xml:space="preserve">This statement suggests a clear course of action: prescribe strength training at least 2 to more times per week, adding additional </w:t>
            </w:r>
            <w:r>
              <w:rPr>
                <w:sz w:val="20"/>
                <w:szCs w:val="20"/>
              </w:rPr>
              <w:lastRenderedPageBreak/>
              <w:t>comments for implementation (i.e., that strength training can be performed up to 6 times per week, consider activities of dai</w:t>
            </w:r>
            <w:r>
              <w:rPr>
                <w:sz w:val="20"/>
                <w:szCs w:val="20"/>
              </w:rPr>
              <w:t>ly living that involve strength and that are appropriate to treatment goals).</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78"/>
              </w:numPr>
              <w:tabs>
                <w:tab w:val="left" w:pos="142"/>
              </w:tabs>
              <w:spacing w:line="276" w:lineRule="auto"/>
              <w:rPr>
                <w:sz w:val="18"/>
                <w:szCs w:val="18"/>
              </w:rPr>
            </w:pPr>
            <w:r>
              <w:rPr>
                <w:sz w:val="18"/>
                <w:szCs w:val="18"/>
              </w:rPr>
              <w:lastRenderedPageBreak/>
              <w:t xml:space="preserve">WHO guidelines on physical activity and sedentary behaviour. Geneva: World Health Organization; 2020. Available from: </w:t>
            </w:r>
            <w:hyperlink r:id="rId47">
              <w:r>
                <w:rPr>
                  <w:color w:val="1155CC"/>
                  <w:sz w:val="18"/>
                  <w:szCs w:val="18"/>
                  <w:u w:val="single"/>
                </w:rPr>
                <w:t>https://www.who.int/publications/i/item/9789240015128</w:t>
              </w:r>
            </w:hyperlink>
            <w:r>
              <w:rPr>
                <w:sz w:val="18"/>
                <w:szCs w:val="18"/>
              </w:rPr>
              <w:t xml:space="preserve"> </w:t>
            </w:r>
          </w:p>
          <w:p w:rsidR="009C6A81" w:rsidRDefault="00ED5651">
            <w:pPr>
              <w:numPr>
                <w:ilvl w:val="0"/>
                <w:numId w:val="78"/>
              </w:numPr>
              <w:tabs>
                <w:tab w:val="left" w:pos="142"/>
              </w:tabs>
              <w:spacing w:line="276" w:lineRule="auto"/>
              <w:rPr>
                <w:sz w:val="18"/>
                <w:szCs w:val="18"/>
              </w:rPr>
            </w:pPr>
            <w:r>
              <w:rPr>
                <w:sz w:val="18"/>
                <w:szCs w:val="18"/>
              </w:rPr>
              <w:t>Sean Wharton, David C.W. Lau, Michael Vallis, Arya M. Sharma, Laurent Biertho, Denise Campbell-Scherer, Kristi Adamo, Angela Alber</w:t>
            </w:r>
            <w:r>
              <w:rPr>
                <w:sz w:val="18"/>
                <w:szCs w:val="18"/>
              </w:rPr>
              <w:t>ga, Rhonda Bell, Normand Boulé, Elaine Boyling, Jennifer Brown, Betty Calam, Carol Clarke, Lindsay Crowshoe, Dennis Divalentino, Mary Forhan, Yoni Freedhoff, Michel Gagner, Stephen Glazer, Cindy Grand, Michael Green, Margaret Hahn, Raed Hawa, Rita Henderso</w:t>
            </w:r>
            <w:r>
              <w:rPr>
                <w:sz w:val="18"/>
                <w:szCs w:val="18"/>
              </w:rPr>
              <w:t>n, Dennis Hong, Pam Hung, Ian Janssen, Kristen Jacklin, Carlene Johnson-Stoklossa, Amy Kemp, Sara Kirk, Jennifer Kuk, Marie-France Langlois, Scott Lear, Ashley McInnes, David Macklin, Leen Naji, Priya Manjoo, Marie-Philippe Morin, Kara Nerenberg, Ian Patto</w:t>
            </w:r>
            <w:r>
              <w:rPr>
                <w:sz w:val="18"/>
                <w:szCs w:val="18"/>
              </w:rPr>
              <w:t>n, Sue Pedersen, Leticia Pereira, Helena Piccinini-Vallis, Megha Poddar, Paul Poirier, Denis Prud’homme, Ximena Ramos Salas, Christian Rueda-Clausen, Shelly Russell-Mayhew, Judy Shiau, Diana Sherifali, John Sievenpiper, Sanjeev Sockalingam, Valerie Taylor,</w:t>
            </w:r>
            <w:r>
              <w:rPr>
                <w:sz w:val="18"/>
                <w:szCs w:val="18"/>
              </w:rPr>
              <w:t xml:space="preserve"> Ellen Toth, Laurie Twells, Richard Tytus, Shahebina Walji, Leah Walker, Sonja Wicklum. Obesity in adults: a clinical practice guideline. CMAJ Aug 2020, 192 (31) E875-E891; DOI: 10.1503/cmaj.191707.</w:t>
            </w:r>
          </w:p>
          <w:p w:rsidR="009C6A81" w:rsidRDefault="00ED5651">
            <w:pPr>
              <w:numPr>
                <w:ilvl w:val="0"/>
                <w:numId w:val="78"/>
              </w:numPr>
              <w:tabs>
                <w:tab w:val="left" w:pos="142"/>
              </w:tabs>
              <w:spacing w:line="276" w:lineRule="auto"/>
              <w:rPr>
                <w:sz w:val="18"/>
                <w:szCs w:val="18"/>
              </w:rPr>
            </w:pPr>
            <w:r>
              <w:rPr>
                <w:sz w:val="18"/>
                <w:szCs w:val="18"/>
              </w:rPr>
              <w:t>Garvey WT, Mechanick JI, Brett EM, et al. AMERICAN ASSOCI</w:t>
            </w:r>
            <w:r>
              <w:rPr>
                <w:sz w:val="18"/>
                <w:szCs w:val="18"/>
              </w:rPr>
              <w:t>ATION OF CLINICAL ENDOCRINOLOGISTS AND AMERICAN COLLEGE OF ENDOCRINOLOGY COMPREHENSIVE CLINICAL PRACTICE GUIDELINES FOR MEDICAL CARE OF PATIENTS WITH OBESITY. Endocr Pract. 2016;22 Suppl 3:1-203. doi:10.4158/EP161365.GL</w:t>
            </w:r>
          </w:p>
          <w:p w:rsidR="009C6A81" w:rsidRDefault="00ED5651">
            <w:pPr>
              <w:numPr>
                <w:ilvl w:val="0"/>
                <w:numId w:val="78"/>
              </w:numPr>
              <w:tabs>
                <w:tab w:val="left" w:pos="142"/>
              </w:tabs>
              <w:spacing w:line="276" w:lineRule="auto"/>
              <w:rPr>
                <w:sz w:val="18"/>
                <w:szCs w:val="18"/>
              </w:rPr>
            </w:pPr>
            <w:r>
              <w:rPr>
                <w:sz w:val="18"/>
                <w:szCs w:val="18"/>
              </w:rPr>
              <w:t>Yumuk V, Tsigos C, Fried M, et al. E</w:t>
            </w:r>
            <w:r>
              <w:rPr>
                <w:sz w:val="18"/>
                <w:szCs w:val="18"/>
              </w:rPr>
              <w:t>uropean Guidelines for Obesity Management in Adults [published correction appears in Obes Facts. 2016;9(1):64. doi: 10.1159/000444869]. Obes Facts. 2015;8(6):402-424. doi:10.1159/000442721</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70" w:name="_29yz7q8" w:colFirst="0" w:colLast="0"/>
      <w:bookmarkEnd w:id="70"/>
      <w:r>
        <w:t xml:space="preserve">Good practice statement 14. Healthcare professionals should consider elements of motivational interviewing to build a collaborative relationship with their patients with overweight or obesity. This approach helps patients explore readiness and reasons for </w:t>
      </w:r>
      <w:r>
        <w:t>change, increase self-esteem, and enhance self-efficacy.</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c"/>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4"/>
              </w:numPr>
              <w:jc w:val="left"/>
              <w:rPr>
                <w:sz w:val="20"/>
                <w:szCs w:val="20"/>
              </w:rPr>
            </w:pPr>
            <w:r>
              <w:rPr>
                <w:b/>
                <w:sz w:val="20"/>
                <w:szCs w:val="20"/>
              </w:rPr>
              <w:t>Yes</w:t>
            </w:r>
          </w:p>
          <w:p w:rsidR="009C6A81" w:rsidRDefault="00ED5651">
            <w:pPr>
              <w:numPr>
                <w:ilvl w:val="0"/>
                <w:numId w:val="74"/>
              </w:numPr>
              <w:jc w:val="left"/>
              <w:rPr>
                <w:color w:val="AEAAAA"/>
                <w:sz w:val="20"/>
                <w:szCs w:val="20"/>
              </w:rPr>
            </w:pPr>
            <w:r>
              <w:rPr>
                <w:color w:val="AEAAAA"/>
                <w:sz w:val="20"/>
                <w:szCs w:val="20"/>
              </w:rPr>
              <w:t>Probably yes</w:t>
            </w:r>
          </w:p>
          <w:p w:rsidR="009C6A81" w:rsidRDefault="00ED5651">
            <w:pPr>
              <w:numPr>
                <w:ilvl w:val="0"/>
                <w:numId w:val="74"/>
              </w:numPr>
              <w:jc w:val="left"/>
              <w:rPr>
                <w:color w:val="AEAAAA"/>
                <w:sz w:val="20"/>
                <w:szCs w:val="20"/>
              </w:rPr>
            </w:pPr>
            <w:r>
              <w:rPr>
                <w:color w:val="AEAAAA"/>
                <w:sz w:val="20"/>
                <w:szCs w:val="20"/>
              </w:rPr>
              <w:t>Probably not</w:t>
            </w:r>
          </w:p>
          <w:p w:rsidR="009C6A81" w:rsidRDefault="00ED5651">
            <w:pPr>
              <w:numPr>
                <w:ilvl w:val="0"/>
                <w:numId w:val="74"/>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w:t>
            </w:r>
            <w:r>
              <w:rPr>
                <w:b/>
                <w:sz w:val="20"/>
                <w:szCs w:val="20"/>
              </w:rPr>
              <w:t>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4"/>
              </w:numPr>
              <w:jc w:val="left"/>
              <w:rPr>
                <w:sz w:val="20"/>
                <w:szCs w:val="20"/>
              </w:rPr>
            </w:pPr>
            <w:r>
              <w:rPr>
                <w:b/>
                <w:sz w:val="20"/>
                <w:szCs w:val="20"/>
              </w:rPr>
              <w:t>Yes</w:t>
            </w:r>
          </w:p>
          <w:p w:rsidR="009C6A81" w:rsidRDefault="00ED5651">
            <w:pPr>
              <w:numPr>
                <w:ilvl w:val="0"/>
                <w:numId w:val="74"/>
              </w:numPr>
              <w:jc w:val="left"/>
              <w:rPr>
                <w:color w:val="AEAAAA"/>
                <w:sz w:val="20"/>
                <w:szCs w:val="20"/>
              </w:rPr>
            </w:pPr>
            <w:r>
              <w:rPr>
                <w:color w:val="AEAAAA"/>
                <w:sz w:val="20"/>
                <w:szCs w:val="20"/>
              </w:rPr>
              <w:t>Probably yes</w:t>
            </w:r>
          </w:p>
          <w:p w:rsidR="009C6A81" w:rsidRDefault="00ED5651">
            <w:pPr>
              <w:numPr>
                <w:ilvl w:val="0"/>
                <w:numId w:val="74"/>
              </w:numPr>
              <w:jc w:val="left"/>
              <w:rPr>
                <w:color w:val="AEAAAA"/>
                <w:sz w:val="20"/>
                <w:szCs w:val="20"/>
              </w:rPr>
            </w:pPr>
            <w:r>
              <w:rPr>
                <w:color w:val="AEAAAA"/>
                <w:sz w:val="20"/>
                <w:szCs w:val="20"/>
              </w:rPr>
              <w:t>Probably not</w:t>
            </w:r>
          </w:p>
          <w:p w:rsidR="009C6A81" w:rsidRDefault="00ED5651">
            <w:pPr>
              <w:numPr>
                <w:ilvl w:val="0"/>
                <w:numId w:val="74"/>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24"/>
              </w:numPr>
              <w:rPr>
                <w:sz w:val="20"/>
                <w:szCs w:val="20"/>
              </w:rPr>
            </w:pPr>
            <w:r>
              <w:rPr>
                <w:b/>
                <w:sz w:val="20"/>
                <w:szCs w:val="20"/>
              </w:rPr>
              <w:t>Population</w:t>
            </w:r>
            <w:r>
              <w:rPr>
                <w:sz w:val="20"/>
                <w:szCs w:val="20"/>
              </w:rPr>
              <w:t>: people living with overweight or obesity.</w:t>
            </w:r>
          </w:p>
          <w:p w:rsidR="009C6A81" w:rsidRDefault="00ED5651">
            <w:pPr>
              <w:numPr>
                <w:ilvl w:val="0"/>
                <w:numId w:val="24"/>
              </w:numPr>
              <w:rPr>
                <w:sz w:val="20"/>
                <w:szCs w:val="20"/>
              </w:rPr>
            </w:pPr>
            <w:r>
              <w:rPr>
                <w:b/>
                <w:sz w:val="20"/>
                <w:szCs w:val="20"/>
              </w:rPr>
              <w:t>Intervention</w:t>
            </w:r>
            <w:r>
              <w:rPr>
                <w:sz w:val="20"/>
                <w:szCs w:val="20"/>
              </w:rPr>
              <w:t xml:space="preserve">: Motivational interviewing to build a collaborative relationship with the health care </w:t>
            </w:r>
            <w:r>
              <w:rPr>
                <w:sz w:val="20"/>
                <w:szCs w:val="20"/>
              </w:rPr>
              <w:lastRenderedPageBreak/>
              <w:t xml:space="preserve">professionals, increase self-efficacy, self-care and motivation.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lastRenderedPageBreak/>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4"/>
              </w:numPr>
              <w:jc w:val="left"/>
              <w:rPr>
                <w:sz w:val="20"/>
                <w:szCs w:val="20"/>
              </w:rPr>
            </w:pPr>
            <w:r>
              <w:rPr>
                <w:b/>
                <w:sz w:val="20"/>
                <w:szCs w:val="20"/>
              </w:rPr>
              <w:t>Yes</w:t>
            </w:r>
          </w:p>
          <w:p w:rsidR="009C6A81" w:rsidRDefault="00ED5651">
            <w:pPr>
              <w:numPr>
                <w:ilvl w:val="0"/>
                <w:numId w:val="74"/>
              </w:numPr>
              <w:jc w:val="left"/>
              <w:rPr>
                <w:color w:val="AEAAAA"/>
                <w:sz w:val="20"/>
                <w:szCs w:val="20"/>
              </w:rPr>
            </w:pPr>
            <w:r>
              <w:rPr>
                <w:color w:val="AEAAAA"/>
                <w:sz w:val="20"/>
                <w:szCs w:val="20"/>
              </w:rPr>
              <w:t>Probably yes</w:t>
            </w:r>
          </w:p>
          <w:p w:rsidR="009C6A81" w:rsidRDefault="00ED5651">
            <w:pPr>
              <w:numPr>
                <w:ilvl w:val="0"/>
                <w:numId w:val="74"/>
              </w:numPr>
              <w:jc w:val="left"/>
              <w:rPr>
                <w:color w:val="AEAAAA"/>
                <w:sz w:val="20"/>
                <w:szCs w:val="20"/>
              </w:rPr>
            </w:pPr>
            <w:r>
              <w:rPr>
                <w:color w:val="AEAAAA"/>
                <w:sz w:val="20"/>
                <w:szCs w:val="20"/>
              </w:rPr>
              <w:t>Probably not</w:t>
            </w:r>
          </w:p>
          <w:p w:rsidR="009C6A81" w:rsidRDefault="00ED5651">
            <w:pPr>
              <w:numPr>
                <w:ilvl w:val="0"/>
                <w:numId w:val="74"/>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Obesity is a complex disease that requires a multidisciplinary treatment focused on achieving the best health status for each case. As a chronic d</w:t>
            </w:r>
            <w:r>
              <w:rPr>
                <w:sz w:val="20"/>
                <w:szCs w:val="20"/>
              </w:rPr>
              <w:t>isease, it requires long-term control and management, depending to a great extent on self-efficacy, self-care and motivation.</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49"/>
              </w:numPr>
              <w:jc w:val="left"/>
              <w:rPr>
                <w:sz w:val="20"/>
                <w:szCs w:val="20"/>
              </w:rPr>
            </w:pPr>
            <w:r>
              <w:rPr>
                <w:b/>
                <w:sz w:val="20"/>
                <w:szCs w:val="20"/>
              </w:rPr>
              <w:t>Yes</w:t>
            </w:r>
          </w:p>
          <w:p w:rsidR="009C6A81" w:rsidRDefault="00ED5651">
            <w:pPr>
              <w:numPr>
                <w:ilvl w:val="0"/>
                <w:numId w:val="49"/>
              </w:numPr>
              <w:jc w:val="left"/>
              <w:rPr>
                <w:color w:val="AEAAAA"/>
                <w:sz w:val="20"/>
                <w:szCs w:val="20"/>
              </w:rPr>
            </w:pPr>
            <w:r>
              <w:rPr>
                <w:color w:val="AEAAAA"/>
                <w:sz w:val="20"/>
                <w:szCs w:val="20"/>
              </w:rPr>
              <w:t>Probably yes</w:t>
            </w:r>
          </w:p>
          <w:p w:rsidR="009C6A81" w:rsidRDefault="00ED5651">
            <w:pPr>
              <w:numPr>
                <w:ilvl w:val="0"/>
                <w:numId w:val="49"/>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49"/>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121"/>
              </w:numPr>
              <w:jc w:val="left"/>
              <w:rPr>
                <w:sz w:val="20"/>
                <w:szCs w:val="20"/>
              </w:rPr>
            </w:pPr>
            <w:r>
              <w:rPr>
                <w:color w:val="AEAAAA"/>
                <w:sz w:val="20"/>
                <w:szCs w:val="20"/>
              </w:rPr>
              <w:t>Importance of the problem.</w:t>
            </w:r>
          </w:p>
          <w:p w:rsidR="009C6A81" w:rsidRDefault="00ED5651">
            <w:pPr>
              <w:numPr>
                <w:ilvl w:val="0"/>
                <w:numId w:val="121"/>
              </w:numPr>
              <w:jc w:val="left"/>
              <w:rPr>
                <w:color w:val="AEAAAA"/>
                <w:sz w:val="20"/>
                <w:szCs w:val="20"/>
              </w:rPr>
            </w:pPr>
            <w:r>
              <w:rPr>
                <w:color w:val="AEAAAA"/>
                <w:sz w:val="20"/>
                <w:szCs w:val="20"/>
              </w:rPr>
              <w:t>Certainty of evidence.</w:t>
            </w:r>
          </w:p>
          <w:p w:rsidR="009C6A81" w:rsidRDefault="00ED5651">
            <w:pPr>
              <w:numPr>
                <w:ilvl w:val="0"/>
                <w:numId w:val="121"/>
              </w:numPr>
              <w:jc w:val="left"/>
              <w:rPr>
                <w:sz w:val="20"/>
                <w:szCs w:val="20"/>
              </w:rPr>
            </w:pPr>
            <w:r>
              <w:rPr>
                <w:sz w:val="20"/>
                <w:szCs w:val="20"/>
              </w:rPr>
              <w:t>Values.</w:t>
            </w:r>
          </w:p>
          <w:p w:rsidR="009C6A81" w:rsidRDefault="00ED5651">
            <w:pPr>
              <w:numPr>
                <w:ilvl w:val="0"/>
                <w:numId w:val="121"/>
              </w:numPr>
              <w:jc w:val="left"/>
              <w:rPr>
                <w:sz w:val="20"/>
                <w:szCs w:val="20"/>
              </w:rPr>
            </w:pPr>
            <w:r>
              <w:rPr>
                <w:sz w:val="20"/>
                <w:szCs w:val="20"/>
              </w:rPr>
              <w:t>Magnitude of resource requirements.</w:t>
            </w:r>
          </w:p>
          <w:p w:rsidR="009C6A81" w:rsidRDefault="00ED5651">
            <w:pPr>
              <w:numPr>
                <w:ilvl w:val="0"/>
                <w:numId w:val="121"/>
              </w:numPr>
              <w:jc w:val="left"/>
              <w:rPr>
                <w:color w:val="AEAAAA"/>
                <w:sz w:val="20"/>
                <w:szCs w:val="20"/>
              </w:rPr>
            </w:pPr>
            <w:r>
              <w:rPr>
                <w:color w:val="AEAAAA"/>
                <w:sz w:val="20"/>
                <w:szCs w:val="20"/>
              </w:rPr>
              <w:t>Certainty of evidence or resource use.</w:t>
            </w:r>
          </w:p>
          <w:p w:rsidR="009C6A81" w:rsidRDefault="00ED5651">
            <w:pPr>
              <w:numPr>
                <w:ilvl w:val="0"/>
                <w:numId w:val="121"/>
              </w:numPr>
              <w:jc w:val="left"/>
              <w:rPr>
                <w:sz w:val="20"/>
                <w:szCs w:val="20"/>
              </w:rPr>
            </w:pPr>
            <w:r>
              <w:rPr>
                <w:sz w:val="20"/>
                <w:szCs w:val="20"/>
              </w:rPr>
              <w:t>Cost-effectiveness.</w:t>
            </w:r>
          </w:p>
          <w:p w:rsidR="009C6A81" w:rsidRDefault="00ED5651">
            <w:pPr>
              <w:numPr>
                <w:ilvl w:val="0"/>
                <w:numId w:val="121"/>
              </w:numPr>
              <w:jc w:val="left"/>
              <w:rPr>
                <w:sz w:val="20"/>
                <w:szCs w:val="20"/>
              </w:rPr>
            </w:pPr>
            <w:r>
              <w:rPr>
                <w:sz w:val="20"/>
                <w:szCs w:val="20"/>
              </w:rPr>
              <w:t>Equity.</w:t>
            </w:r>
          </w:p>
          <w:p w:rsidR="009C6A81" w:rsidRDefault="00ED5651">
            <w:pPr>
              <w:numPr>
                <w:ilvl w:val="0"/>
                <w:numId w:val="121"/>
              </w:numPr>
              <w:jc w:val="left"/>
              <w:rPr>
                <w:sz w:val="20"/>
                <w:szCs w:val="20"/>
              </w:rPr>
            </w:pPr>
            <w:r>
              <w:rPr>
                <w:sz w:val="20"/>
                <w:szCs w:val="20"/>
              </w:rPr>
              <w:t>Acceptability.</w:t>
            </w:r>
          </w:p>
          <w:p w:rsidR="009C6A81" w:rsidRDefault="00ED5651">
            <w:pPr>
              <w:numPr>
                <w:ilvl w:val="0"/>
                <w:numId w:val="121"/>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panel's experience, using elements of motivational interviewing could have an impact on the evolution of people living with obesity. The most appropriate way to learn the reasons for change is to have an in</w:t>
            </w:r>
            <w:r>
              <w:rPr>
                <w:sz w:val="20"/>
                <w:szCs w:val="20"/>
              </w:rPr>
              <w:t>terview that strengthens communication, closeness and trust between the clinician and the patient. So building a collaborative relationship is likely to lead to great benefit.</w:t>
            </w:r>
          </w:p>
          <w:p w:rsidR="009C6A81" w:rsidRDefault="00ED5651">
            <w:pPr>
              <w:rPr>
                <w:sz w:val="20"/>
                <w:szCs w:val="20"/>
              </w:rPr>
            </w:pPr>
            <w:r>
              <w:rPr>
                <w:sz w:val="20"/>
                <w:szCs w:val="20"/>
              </w:rPr>
              <w:t xml:space="preserve"> </w:t>
            </w:r>
          </w:p>
          <w:p w:rsidR="009C6A81" w:rsidRDefault="00ED5651">
            <w:pPr>
              <w:rPr>
                <w:sz w:val="20"/>
                <w:szCs w:val="20"/>
              </w:rPr>
            </w:pPr>
            <w:r>
              <w:rPr>
                <w:sz w:val="20"/>
                <w:szCs w:val="20"/>
              </w:rPr>
              <w:t>This statement is deemed to satisfy the following EtD criteria:</w:t>
            </w:r>
          </w:p>
          <w:p w:rsidR="009C6A81" w:rsidRDefault="00ED5651">
            <w:pPr>
              <w:numPr>
                <w:ilvl w:val="0"/>
                <w:numId w:val="67"/>
              </w:numPr>
              <w:rPr>
                <w:sz w:val="20"/>
                <w:szCs w:val="20"/>
              </w:rPr>
            </w:pPr>
            <w:r>
              <w:rPr>
                <w:b/>
                <w:sz w:val="20"/>
                <w:szCs w:val="20"/>
              </w:rPr>
              <w:t>Values:</w:t>
            </w:r>
            <w:r>
              <w:rPr>
                <w:sz w:val="20"/>
                <w:szCs w:val="20"/>
              </w:rPr>
              <w:t xml:space="preserve"> people</w:t>
            </w:r>
            <w:r>
              <w:rPr>
                <w:sz w:val="20"/>
                <w:szCs w:val="20"/>
              </w:rPr>
              <w:t xml:space="preserve"> living with overweight or obesity are likely to attribute high value to the changes in self-efficacy, self-care, and motivation that result from using motivational interviewing. </w:t>
            </w:r>
          </w:p>
          <w:p w:rsidR="009C6A81" w:rsidRDefault="00ED5651">
            <w:pPr>
              <w:numPr>
                <w:ilvl w:val="0"/>
                <w:numId w:val="67"/>
              </w:numPr>
              <w:rPr>
                <w:sz w:val="20"/>
                <w:szCs w:val="20"/>
              </w:rPr>
            </w:pPr>
            <w:r>
              <w:rPr>
                <w:b/>
                <w:sz w:val="20"/>
                <w:szCs w:val="20"/>
              </w:rPr>
              <w:t>Magnitude of resource requirements:</w:t>
            </w:r>
            <w:r>
              <w:rPr>
                <w:sz w:val="20"/>
                <w:szCs w:val="20"/>
              </w:rPr>
              <w:t xml:space="preserve"> Using motivational interviewing has mini</w:t>
            </w:r>
            <w:r>
              <w:rPr>
                <w:sz w:val="20"/>
                <w:szCs w:val="20"/>
              </w:rPr>
              <w:t xml:space="preserve">mal associated costs (training may be required for health professionals).  </w:t>
            </w:r>
          </w:p>
          <w:p w:rsidR="009C6A81" w:rsidRDefault="00ED5651">
            <w:pPr>
              <w:numPr>
                <w:ilvl w:val="0"/>
                <w:numId w:val="67"/>
              </w:numPr>
              <w:rPr>
                <w:sz w:val="20"/>
                <w:szCs w:val="20"/>
              </w:rPr>
            </w:pPr>
            <w:r>
              <w:rPr>
                <w:b/>
                <w:sz w:val="20"/>
                <w:szCs w:val="20"/>
              </w:rPr>
              <w:t>Cost-effectiveness:</w:t>
            </w:r>
            <w:r>
              <w:rPr>
                <w:sz w:val="20"/>
                <w:szCs w:val="20"/>
              </w:rPr>
              <w:t xml:space="preserve"> While the use of motivational interviewing may have an associated indirect cost, it allows for better long-term treatment outcomes.</w:t>
            </w:r>
          </w:p>
          <w:p w:rsidR="009C6A81" w:rsidRDefault="00ED5651">
            <w:pPr>
              <w:numPr>
                <w:ilvl w:val="0"/>
                <w:numId w:val="67"/>
              </w:numPr>
              <w:rPr>
                <w:sz w:val="20"/>
                <w:szCs w:val="20"/>
              </w:rPr>
            </w:pPr>
            <w:r>
              <w:rPr>
                <w:b/>
                <w:sz w:val="20"/>
                <w:szCs w:val="20"/>
              </w:rPr>
              <w:t>Equity:</w:t>
            </w:r>
            <w:r>
              <w:rPr>
                <w:sz w:val="20"/>
                <w:szCs w:val="20"/>
              </w:rPr>
              <w:t xml:space="preserve"> It would increase he</w:t>
            </w:r>
            <w:r>
              <w:rPr>
                <w:sz w:val="20"/>
                <w:szCs w:val="20"/>
              </w:rPr>
              <w:t>alth equity by enabling people from disadvantaged groups to build a collaborative relationship to address barriers and increase motivation to achieve relevant therapeutic goals (1).</w:t>
            </w:r>
          </w:p>
          <w:p w:rsidR="009C6A81" w:rsidRDefault="00ED5651">
            <w:pPr>
              <w:numPr>
                <w:ilvl w:val="0"/>
                <w:numId w:val="67"/>
              </w:numPr>
              <w:rPr>
                <w:sz w:val="20"/>
                <w:szCs w:val="20"/>
              </w:rPr>
            </w:pPr>
            <w:r>
              <w:rPr>
                <w:b/>
                <w:sz w:val="20"/>
                <w:szCs w:val="20"/>
              </w:rPr>
              <w:t>Acceptability:</w:t>
            </w:r>
            <w:r>
              <w:rPr>
                <w:sz w:val="20"/>
                <w:szCs w:val="20"/>
              </w:rPr>
              <w:t xml:space="preserve"> It would be acceptable to patients, and probably </w:t>
            </w:r>
            <w:r>
              <w:rPr>
                <w:sz w:val="20"/>
                <w:szCs w:val="20"/>
              </w:rPr>
              <w:lastRenderedPageBreak/>
              <w:t>acceptable</w:t>
            </w:r>
            <w:r>
              <w:rPr>
                <w:sz w:val="20"/>
                <w:szCs w:val="20"/>
              </w:rPr>
              <w:t xml:space="preserve"> to clinicians, who would have to implement motivational interviewing tools that are not currently part of standard care.</w:t>
            </w:r>
          </w:p>
          <w:p w:rsidR="009C6A81" w:rsidRDefault="00ED5651">
            <w:pPr>
              <w:numPr>
                <w:ilvl w:val="0"/>
                <w:numId w:val="67"/>
              </w:numPr>
              <w:rPr>
                <w:sz w:val="20"/>
                <w:szCs w:val="20"/>
              </w:rPr>
            </w:pPr>
            <w:r>
              <w:rPr>
                <w:b/>
                <w:sz w:val="20"/>
                <w:szCs w:val="20"/>
              </w:rPr>
              <w:t>Factibility:</w:t>
            </w:r>
            <w:r>
              <w:rPr>
                <w:sz w:val="20"/>
                <w:szCs w:val="20"/>
              </w:rPr>
              <w:t xml:space="preserve"> It would probably be feasible to implement motivational interviewing to establish a collaborative relationship. Factors a</w:t>
            </w:r>
            <w:r>
              <w:rPr>
                <w:sz w:val="20"/>
                <w:szCs w:val="20"/>
              </w:rPr>
              <w:t>ffecting implementation should be considered, mainly barriers such as the training of health professionals and facilitators such as its use in the management of other chronic diseases.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74"/>
              </w:numPr>
              <w:jc w:val="left"/>
              <w:rPr>
                <w:sz w:val="20"/>
                <w:szCs w:val="20"/>
              </w:rPr>
            </w:pPr>
            <w:r>
              <w:rPr>
                <w:b/>
                <w:sz w:val="20"/>
                <w:szCs w:val="20"/>
              </w:rPr>
              <w:t>Yes</w:t>
            </w:r>
          </w:p>
          <w:p w:rsidR="009C6A81" w:rsidRDefault="00ED5651">
            <w:pPr>
              <w:numPr>
                <w:ilvl w:val="0"/>
                <w:numId w:val="74"/>
              </w:numPr>
              <w:jc w:val="left"/>
              <w:rPr>
                <w:color w:val="AEAAAA"/>
                <w:sz w:val="20"/>
                <w:szCs w:val="20"/>
              </w:rPr>
            </w:pPr>
            <w:r>
              <w:rPr>
                <w:color w:val="AEAAAA"/>
                <w:sz w:val="20"/>
                <w:szCs w:val="20"/>
              </w:rPr>
              <w:t>Probably yes</w:t>
            </w:r>
          </w:p>
          <w:p w:rsidR="009C6A81" w:rsidRDefault="00ED5651">
            <w:pPr>
              <w:numPr>
                <w:ilvl w:val="0"/>
                <w:numId w:val="74"/>
              </w:numPr>
              <w:jc w:val="left"/>
              <w:rPr>
                <w:color w:val="AEAAAA"/>
                <w:sz w:val="20"/>
                <w:szCs w:val="20"/>
              </w:rPr>
            </w:pPr>
            <w:r>
              <w:rPr>
                <w:color w:val="AEAAAA"/>
                <w:sz w:val="20"/>
                <w:szCs w:val="20"/>
              </w:rPr>
              <w:t>Probably not</w:t>
            </w:r>
          </w:p>
          <w:p w:rsidR="009C6A81" w:rsidRDefault="00ED5651">
            <w:pPr>
              <w:numPr>
                <w:ilvl w:val="0"/>
                <w:numId w:val="74"/>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Conducting m</w:t>
            </w:r>
            <w:r>
              <w:rPr>
                <w:sz w:val="20"/>
                <w:szCs w:val="20"/>
              </w:rPr>
              <w:t xml:space="preserve">otivational interviewing and establishing a collaborative relationship with the patient is similar to the approach to other chronic diseases that require behavioral changes. This is why collecting, summarizing and formally discussing evidence would not be </w:t>
            </w:r>
            <w:r>
              <w:rPr>
                <w:sz w:val="20"/>
                <w:szCs w:val="20"/>
              </w:rPr>
              <w:t>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74"/>
              </w:numPr>
              <w:jc w:val="left"/>
              <w:rPr>
                <w:sz w:val="20"/>
                <w:szCs w:val="20"/>
              </w:rPr>
            </w:pPr>
            <w:r>
              <w:rPr>
                <w:b/>
                <w:sz w:val="20"/>
                <w:szCs w:val="20"/>
              </w:rPr>
              <w:t>Yes</w:t>
            </w:r>
          </w:p>
          <w:p w:rsidR="009C6A81" w:rsidRDefault="00ED5651">
            <w:pPr>
              <w:numPr>
                <w:ilvl w:val="0"/>
                <w:numId w:val="74"/>
              </w:numPr>
              <w:jc w:val="left"/>
              <w:rPr>
                <w:color w:val="AEAAAA"/>
                <w:sz w:val="20"/>
                <w:szCs w:val="20"/>
              </w:rPr>
            </w:pPr>
            <w:r>
              <w:rPr>
                <w:color w:val="AEAAAA"/>
                <w:sz w:val="20"/>
                <w:szCs w:val="20"/>
              </w:rPr>
              <w:t>Probably yes</w:t>
            </w:r>
          </w:p>
          <w:p w:rsidR="009C6A81" w:rsidRDefault="00ED5651">
            <w:pPr>
              <w:numPr>
                <w:ilvl w:val="0"/>
                <w:numId w:val="74"/>
              </w:numPr>
              <w:jc w:val="left"/>
              <w:rPr>
                <w:color w:val="AEAAAA"/>
                <w:sz w:val="20"/>
                <w:szCs w:val="20"/>
              </w:rPr>
            </w:pPr>
            <w:r>
              <w:rPr>
                <w:color w:val="AEAAAA"/>
                <w:sz w:val="20"/>
                <w:szCs w:val="20"/>
              </w:rPr>
              <w:t>Probably not</w:t>
            </w:r>
          </w:p>
          <w:p w:rsidR="009C6A81" w:rsidRDefault="00ED5651">
            <w:pPr>
              <w:numPr>
                <w:ilvl w:val="0"/>
                <w:numId w:val="74"/>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Indirect evidence from the Canadian clinical practice guideline (1,2) was identified to support this good practice statement. It found that clinicians should provide messages throughout treatment that foster the development of confidence to overcome barrie</w:t>
            </w:r>
            <w:r>
              <w:rPr>
                <w:sz w:val="20"/>
                <w:szCs w:val="20"/>
              </w:rPr>
              <w:t>rs (self-efficacy) and intrinsic motivation (personal, meaningful reasons to change) to encourage people with obesity to set and achieve health goals that are realistic and attainable. Additionally, the US guidelines consider that motivational interviewing</w:t>
            </w:r>
            <w:r>
              <w:rPr>
                <w:sz w:val="20"/>
                <w:szCs w:val="20"/>
              </w:rPr>
              <w:t xml:space="preserve"> should be included in a “package” of behavioral interventions within the management of obesity (3).</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74"/>
              </w:numPr>
              <w:jc w:val="left"/>
              <w:rPr>
                <w:sz w:val="20"/>
                <w:szCs w:val="20"/>
              </w:rPr>
            </w:pPr>
            <w:r>
              <w:rPr>
                <w:b/>
                <w:sz w:val="20"/>
                <w:szCs w:val="20"/>
              </w:rPr>
              <w:t>Yes</w:t>
            </w:r>
          </w:p>
          <w:p w:rsidR="009C6A81" w:rsidRDefault="00ED5651">
            <w:pPr>
              <w:numPr>
                <w:ilvl w:val="0"/>
                <w:numId w:val="74"/>
              </w:numPr>
              <w:jc w:val="left"/>
              <w:rPr>
                <w:color w:val="AEAAAA"/>
                <w:sz w:val="20"/>
                <w:szCs w:val="20"/>
              </w:rPr>
            </w:pPr>
            <w:r>
              <w:rPr>
                <w:color w:val="AEAAAA"/>
                <w:sz w:val="20"/>
                <w:szCs w:val="20"/>
              </w:rPr>
              <w:t>Probably yes</w:t>
            </w:r>
          </w:p>
          <w:p w:rsidR="009C6A81" w:rsidRDefault="00ED5651">
            <w:pPr>
              <w:numPr>
                <w:ilvl w:val="0"/>
                <w:numId w:val="74"/>
              </w:numPr>
              <w:jc w:val="left"/>
              <w:rPr>
                <w:color w:val="AEAAAA"/>
                <w:sz w:val="20"/>
                <w:szCs w:val="20"/>
              </w:rPr>
            </w:pPr>
            <w:r>
              <w:rPr>
                <w:color w:val="AEAAAA"/>
                <w:sz w:val="20"/>
                <w:szCs w:val="20"/>
              </w:rPr>
              <w:t>Probably not</w:t>
            </w:r>
          </w:p>
          <w:p w:rsidR="009C6A81" w:rsidRDefault="00ED5651">
            <w:pPr>
              <w:numPr>
                <w:ilvl w:val="0"/>
                <w:numId w:val="74"/>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This statement suggests a clear course of action: consider using elements of motivational interviewing to achieve a collaborative relationship with people living with overweight or obesity, help them to find reasons for change, and increase self-esteem and</w:t>
            </w:r>
            <w:r>
              <w:rPr>
                <w:sz w:val="20"/>
                <w:szCs w:val="20"/>
              </w:rPr>
              <w:t xml:space="preserve"> self-efficacy.</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23"/>
              </w:numPr>
              <w:tabs>
                <w:tab w:val="left" w:pos="142"/>
              </w:tabs>
              <w:spacing w:line="276" w:lineRule="auto"/>
              <w:rPr>
                <w:sz w:val="18"/>
                <w:szCs w:val="18"/>
              </w:rPr>
            </w:pPr>
            <w:r>
              <w:rPr>
                <w:sz w:val="18"/>
                <w:szCs w:val="18"/>
              </w:rPr>
              <w:lastRenderedPageBreak/>
              <w:t xml:space="preserve">Campbell-Scherer D, Walji S, Kemp A, Piccinini-Vallis H, Vallis TM. Canadian Adult Obesity Clinical Practice Guidelines: Primary Care and Primary Healthcare in Obesity Management. Downloaded from: </w:t>
            </w:r>
            <w:hyperlink r:id="rId48">
              <w:r>
                <w:rPr>
                  <w:color w:val="1155CC"/>
                  <w:sz w:val="18"/>
                  <w:szCs w:val="18"/>
                  <w:u w:val="single"/>
                </w:rPr>
                <w:t>https://obesitycanada.ca/guidelines/primarycare</w:t>
              </w:r>
            </w:hyperlink>
            <w:r>
              <w:rPr>
                <w:sz w:val="18"/>
                <w:szCs w:val="18"/>
              </w:rPr>
              <w:t xml:space="preserve"> </w:t>
            </w:r>
          </w:p>
          <w:p w:rsidR="009C6A81" w:rsidRDefault="00ED5651">
            <w:pPr>
              <w:numPr>
                <w:ilvl w:val="0"/>
                <w:numId w:val="23"/>
              </w:numPr>
              <w:tabs>
                <w:tab w:val="left" w:pos="142"/>
              </w:tabs>
              <w:spacing w:line="276" w:lineRule="auto"/>
              <w:rPr>
                <w:sz w:val="18"/>
                <w:szCs w:val="18"/>
              </w:rPr>
            </w:pPr>
            <w:r>
              <w:rPr>
                <w:sz w:val="18"/>
                <w:szCs w:val="18"/>
              </w:rPr>
              <w:t>Sean Wharton, David C.W. Lau, Michael Vallis, Arya M. Sharma, Laurent Biertho, Denise Campbell-Scherer, Kristi Adamo, Angela Alberga, Rhonda B</w:t>
            </w:r>
            <w:r>
              <w:rPr>
                <w:sz w:val="18"/>
                <w:szCs w:val="18"/>
              </w:rPr>
              <w:t>ell, Normand Boulé, Elaine Boyling, Jennifer Brown, Betty Calam, Carol Clarke, Lindsay Crowshoe, Dennis Divalentino, Mary Forhan, Yoni Freedhoff, Michel Gagner, Stephen Glazer, Cindy Grand, Michael Green, Margaret Hahn, Raed Hawa, Rita Henderson, Dennis Ho</w:t>
            </w:r>
            <w:r>
              <w:rPr>
                <w:sz w:val="18"/>
                <w:szCs w:val="18"/>
              </w:rPr>
              <w:t>ng, Pam Hung, Ian Janssen, Kristen Jacklin, Carlene Johnson-Stoklossa, Amy Kemp, Sara Kirk, Jennifer Kuk, Marie-France Langlois, Scott Lear, Ashley McInnes, David Macklin, Leen Naji, Priya Manjoo, Marie-Philippe Morin, Kara Nerenberg, Ian Patton, Sue Peder</w:t>
            </w:r>
            <w:r>
              <w:rPr>
                <w:sz w:val="18"/>
                <w:szCs w:val="18"/>
              </w:rPr>
              <w:t>sen, Leticia Pereira, Helena Piccinini-Vallis, Megha Poddar, Paul Poirier, Denis Prud’homme, Ximena Ramos Salas, Christian Rueda-Clausen, Shelly Russell-Mayhew, Judy Shiau, Diana Sherifali, John Sievenpiper, Sanjeev Sockalingam, Valerie Taylor, Ellen Toth,</w:t>
            </w:r>
            <w:r>
              <w:rPr>
                <w:sz w:val="18"/>
                <w:szCs w:val="18"/>
              </w:rPr>
              <w:t xml:space="preserve"> Laurie Twells, Richard Tytus, Shahebina Walji, Leah Walker, Sonja Wicklum. Obesity in adults: a clinical practice guideline. CMAJ Aug 2020, 192 (31) E875-E891; DOI: 10.1503/cmaj.191707.</w:t>
            </w:r>
          </w:p>
          <w:p w:rsidR="009C6A81" w:rsidRDefault="00ED5651">
            <w:pPr>
              <w:numPr>
                <w:ilvl w:val="0"/>
                <w:numId w:val="23"/>
              </w:numPr>
              <w:tabs>
                <w:tab w:val="left" w:pos="142"/>
              </w:tabs>
              <w:spacing w:line="276" w:lineRule="auto"/>
              <w:rPr>
                <w:sz w:val="18"/>
                <w:szCs w:val="18"/>
              </w:rPr>
            </w:pPr>
            <w:r>
              <w:rPr>
                <w:sz w:val="18"/>
                <w:szCs w:val="18"/>
              </w:rPr>
              <w:t>Garvey WT, Mechanick JI, Brett EM, et al. AMERICAN ASSOCIATION OF CLI</w:t>
            </w:r>
            <w:r>
              <w:rPr>
                <w:sz w:val="18"/>
                <w:szCs w:val="18"/>
              </w:rPr>
              <w:t>NICAL ENDOCRINOLOGISTS AND AMERICAN COLLEGE OF ENDOCRINOLOGY COMPREHENSIVE CLINICAL PRACTICE GUIDELINES FOR MEDICAL CARE OF PATIENTS WITH OBESITY. Endocr Pract. 2016;22 Suppl 3:1-203. doi:10.4158/EP161365.GL</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71" w:name="_p49hy1" w:colFirst="0" w:colLast="0"/>
      <w:bookmarkEnd w:id="71"/>
      <w:r>
        <w:t>Good practice statement 15. Healthcare professionals should discuss with their patients therapeutic goals related to weight loss, management of comorbidities, well-being and quality of life, without conveying the notion of an "ideal" weight, and instead ta</w:t>
      </w:r>
      <w:r>
        <w:t>lking about a "best weight".</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d"/>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5"/>
              </w:numPr>
              <w:jc w:val="left"/>
              <w:rPr>
                <w:sz w:val="20"/>
                <w:szCs w:val="20"/>
              </w:rPr>
            </w:pPr>
            <w:r>
              <w:rPr>
                <w:b/>
                <w:sz w:val="20"/>
                <w:szCs w:val="20"/>
              </w:rPr>
              <w:t>Yes</w:t>
            </w:r>
          </w:p>
          <w:p w:rsidR="009C6A81" w:rsidRDefault="00ED5651">
            <w:pPr>
              <w:numPr>
                <w:ilvl w:val="0"/>
                <w:numId w:val="75"/>
              </w:numPr>
              <w:jc w:val="left"/>
              <w:rPr>
                <w:color w:val="AEAAAA"/>
                <w:sz w:val="20"/>
                <w:szCs w:val="20"/>
              </w:rPr>
            </w:pPr>
            <w:r>
              <w:rPr>
                <w:color w:val="AEAAAA"/>
                <w:sz w:val="20"/>
                <w:szCs w:val="20"/>
              </w:rPr>
              <w:t>Probably yes</w:t>
            </w:r>
          </w:p>
          <w:p w:rsidR="009C6A81" w:rsidRDefault="00ED5651">
            <w:pPr>
              <w:numPr>
                <w:ilvl w:val="0"/>
                <w:numId w:val="75"/>
              </w:numPr>
              <w:jc w:val="left"/>
              <w:rPr>
                <w:color w:val="AEAAAA"/>
                <w:sz w:val="20"/>
                <w:szCs w:val="20"/>
              </w:rPr>
            </w:pPr>
            <w:r>
              <w:rPr>
                <w:color w:val="AEAAAA"/>
                <w:sz w:val="20"/>
                <w:szCs w:val="20"/>
              </w:rPr>
              <w:t>Probably not</w:t>
            </w:r>
          </w:p>
          <w:p w:rsidR="009C6A81" w:rsidRDefault="00ED5651">
            <w:pPr>
              <w:numPr>
                <w:ilvl w:val="0"/>
                <w:numId w:val="75"/>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5"/>
              </w:numPr>
              <w:jc w:val="left"/>
              <w:rPr>
                <w:sz w:val="20"/>
                <w:szCs w:val="20"/>
              </w:rPr>
            </w:pPr>
            <w:r>
              <w:rPr>
                <w:b/>
                <w:sz w:val="20"/>
                <w:szCs w:val="20"/>
              </w:rPr>
              <w:t>Yes</w:t>
            </w:r>
          </w:p>
          <w:p w:rsidR="009C6A81" w:rsidRDefault="00ED5651">
            <w:pPr>
              <w:numPr>
                <w:ilvl w:val="0"/>
                <w:numId w:val="75"/>
              </w:numPr>
              <w:jc w:val="left"/>
              <w:rPr>
                <w:color w:val="AEAAAA"/>
                <w:sz w:val="20"/>
                <w:szCs w:val="20"/>
              </w:rPr>
            </w:pPr>
            <w:r>
              <w:rPr>
                <w:color w:val="AEAAAA"/>
                <w:sz w:val="20"/>
                <w:szCs w:val="20"/>
              </w:rPr>
              <w:t>Probably yes</w:t>
            </w:r>
          </w:p>
          <w:p w:rsidR="009C6A81" w:rsidRDefault="00ED5651">
            <w:pPr>
              <w:numPr>
                <w:ilvl w:val="0"/>
                <w:numId w:val="75"/>
              </w:numPr>
              <w:jc w:val="left"/>
              <w:rPr>
                <w:color w:val="AEAAAA"/>
                <w:sz w:val="20"/>
                <w:szCs w:val="20"/>
              </w:rPr>
            </w:pPr>
            <w:r>
              <w:rPr>
                <w:color w:val="AEAAAA"/>
                <w:sz w:val="20"/>
                <w:szCs w:val="20"/>
              </w:rPr>
              <w:t>Probably not</w:t>
            </w:r>
          </w:p>
          <w:p w:rsidR="009C6A81" w:rsidRDefault="00ED5651">
            <w:pPr>
              <w:numPr>
                <w:ilvl w:val="0"/>
                <w:numId w:val="75"/>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39"/>
              </w:numPr>
              <w:rPr>
                <w:sz w:val="20"/>
                <w:szCs w:val="20"/>
              </w:rPr>
            </w:pPr>
            <w:r>
              <w:rPr>
                <w:b/>
                <w:sz w:val="20"/>
                <w:szCs w:val="20"/>
              </w:rPr>
              <w:t>Population</w:t>
            </w:r>
            <w:r>
              <w:rPr>
                <w:sz w:val="20"/>
                <w:szCs w:val="20"/>
              </w:rPr>
              <w:t>: people living with overweight or obesity.</w:t>
            </w:r>
          </w:p>
          <w:p w:rsidR="009C6A81" w:rsidRDefault="00ED5651">
            <w:pPr>
              <w:numPr>
                <w:ilvl w:val="0"/>
                <w:numId w:val="39"/>
              </w:numPr>
              <w:rPr>
                <w:sz w:val="20"/>
                <w:szCs w:val="20"/>
              </w:rPr>
            </w:pPr>
            <w:r>
              <w:rPr>
                <w:b/>
                <w:sz w:val="20"/>
                <w:szCs w:val="20"/>
              </w:rPr>
              <w:t>Intervention</w:t>
            </w:r>
            <w:r>
              <w:rPr>
                <w:sz w:val="20"/>
                <w:szCs w:val="20"/>
              </w:rPr>
              <w:t>: discussion of therapeutic goals for weight loss, control of morbidities and quality of life with health professionals.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 xml:space="preserve">1. The message is really necessary in regard to </w:t>
            </w:r>
            <w:r>
              <w:rPr>
                <w:b/>
                <w:sz w:val="20"/>
                <w:szCs w:val="20"/>
              </w:rPr>
              <w:lastRenderedPageBreak/>
              <w:t>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5"/>
              </w:numPr>
              <w:jc w:val="left"/>
              <w:rPr>
                <w:sz w:val="20"/>
                <w:szCs w:val="20"/>
              </w:rPr>
            </w:pPr>
            <w:r>
              <w:rPr>
                <w:b/>
                <w:sz w:val="20"/>
                <w:szCs w:val="20"/>
              </w:rPr>
              <w:lastRenderedPageBreak/>
              <w:t>Yes</w:t>
            </w:r>
          </w:p>
          <w:p w:rsidR="009C6A81" w:rsidRDefault="00ED5651">
            <w:pPr>
              <w:numPr>
                <w:ilvl w:val="0"/>
                <w:numId w:val="75"/>
              </w:numPr>
              <w:jc w:val="left"/>
              <w:rPr>
                <w:color w:val="AEAAAA"/>
                <w:sz w:val="20"/>
                <w:szCs w:val="20"/>
              </w:rPr>
            </w:pPr>
            <w:r>
              <w:rPr>
                <w:color w:val="AEAAAA"/>
                <w:sz w:val="20"/>
                <w:szCs w:val="20"/>
              </w:rPr>
              <w:t>Probably yes</w:t>
            </w:r>
          </w:p>
          <w:p w:rsidR="009C6A81" w:rsidRDefault="00ED5651">
            <w:pPr>
              <w:numPr>
                <w:ilvl w:val="0"/>
                <w:numId w:val="75"/>
              </w:numPr>
              <w:jc w:val="left"/>
              <w:rPr>
                <w:color w:val="AEAAAA"/>
                <w:sz w:val="20"/>
                <w:szCs w:val="20"/>
              </w:rPr>
            </w:pPr>
            <w:r>
              <w:rPr>
                <w:color w:val="AEAAAA"/>
                <w:sz w:val="20"/>
                <w:szCs w:val="20"/>
              </w:rPr>
              <w:t>Probably not</w:t>
            </w:r>
          </w:p>
          <w:p w:rsidR="009C6A81" w:rsidRDefault="00ED5651">
            <w:pPr>
              <w:numPr>
                <w:ilvl w:val="0"/>
                <w:numId w:val="75"/>
              </w:numPr>
              <w:jc w:val="left"/>
              <w:rPr>
                <w:color w:val="AEAAAA"/>
                <w:sz w:val="20"/>
                <w:szCs w:val="20"/>
              </w:rPr>
            </w:pPr>
            <w:r>
              <w:rPr>
                <w:color w:val="AEAAAA"/>
                <w:sz w:val="20"/>
                <w:szCs w:val="20"/>
              </w:rPr>
              <w:lastRenderedPageBreak/>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lastRenderedPageBreak/>
              <w:t xml:space="preserve">Obesity is a complex chronic disease that requires a collaborative relationship between health care providers and patients. It is </w:t>
            </w:r>
            <w:r>
              <w:rPr>
                <w:sz w:val="20"/>
                <w:szCs w:val="20"/>
              </w:rPr>
              <w:lastRenderedPageBreak/>
              <w:t>necessary to discuss therapeutic goals that go beyond weight for long-term management.</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lastRenderedPageBreak/>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11"/>
              </w:numPr>
              <w:jc w:val="left"/>
              <w:rPr>
                <w:sz w:val="20"/>
                <w:szCs w:val="20"/>
              </w:rPr>
            </w:pPr>
            <w:r>
              <w:rPr>
                <w:b/>
                <w:sz w:val="20"/>
                <w:szCs w:val="20"/>
              </w:rPr>
              <w:t>Yes</w:t>
            </w:r>
          </w:p>
          <w:p w:rsidR="009C6A81" w:rsidRDefault="00ED5651">
            <w:pPr>
              <w:numPr>
                <w:ilvl w:val="0"/>
                <w:numId w:val="11"/>
              </w:numPr>
              <w:jc w:val="left"/>
              <w:rPr>
                <w:color w:val="AEAAAA"/>
                <w:sz w:val="20"/>
                <w:szCs w:val="20"/>
              </w:rPr>
            </w:pPr>
            <w:r>
              <w:rPr>
                <w:color w:val="AEAAAA"/>
                <w:sz w:val="20"/>
                <w:szCs w:val="20"/>
              </w:rPr>
              <w:t>Probably yes</w:t>
            </w:r>
          </w:p>
          <w:p w:rsidR="009C6A81" w:rsidRDefault="00ED5651">
            <w:pPr>
              <w:numPr>
                <w:ilvl w:val="0"/>
                <w:numId w:val="11"/>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11"/>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52"/>
              </w:numPr>
              <w:jc w:val="left"/>
              <w:rPr>
                <w:sz w:val="20"/>
                <w:szCs w:val="20"/>
              </w:rPr>
            </w:pPr>
            <w:r>
              <w:rPr>
                <w:color w:val="AEAAAA"/>
                <w:sz w:val="20"/>
                <w:szCs w:val="20"/>
              </w:rPr>
              <w:t>Importance of the problem.</w:t>
            </w:r>
          </w:p>
          <w:p w:rsidR="009C6A81" w:rsidRDefault="00ED5651">
            <w:pPr>
              <w:numPr>
                <w:ilvl w:val="0"/>
                <w:numId w:val="52"/>
              </w:numPr>
              <w:jc w:val="left"/>
              <w:rPr>
                <w:color w:val="AEAAAA"/>
                <w:sz w:val="20"/>
                <w:szCs w:val="20"/>
              </w:rPr>
            </w:pPr>
            <w:r>
              <w:rPr>
                <w:color w:val="AEAAAA"/>
                <w:sz w:val="20"/>
                <w:szCs w:val="20"/>
              </w:rPr>
              <w:t>Certainty of evidence.</w:t>
            </w:r>
          </w:p>
          <w:p w:rsidR="009C6A81" w:rsidRDefault="00ED5651">
            <w:pPr>
              <w:numPr>
                <w:ilvl w:val="0"/>
                <w:numId w:val="52"/>
              </w:numPr>
              <w:jc w:val="left"/>
              <w:rPr>
                <w:sz w:val="20"/>
                <w:szCs w:val="20"/>
              </w:rPr>
            </w:pPr>
            <w:r>
              <w:rPr>
                <w:sz w:val="20"/>
                <w:szCs w:val="20"/>
              </w:rPr>
              <w:t>Values.</w:t>
            </w:r>
          </w:p>
          <w:p w:rsidR="009C6A81" w:rsidRDefault="00ED5651">
            <w:pPr>
              <w:numPr>
                <w:ilvl w:val="0"/>
                <w:numId w:val="52"/>
              </w:numPr>
              <w:jc w:val="left"/>
              <w:rPr>
                <w:sz w:val="20"/>
                <w:szCs w:val="20"/>
              </w:rPr>
            </w:pPr>
            <w:r>
              <w:rPr>
                <w:sz w:val="20"/>
                <w:szCs w:val="20"/>
              </w:rPr>
              <w:t>Magnitude of resource requirements.</w:t>
            </w:r>
          </w:p>
          <w:p w:rsidR="009C6A81" w:rsidRDefault="00ED5651">
            <w:pPr>
              <w:numPr>
                <w:ilvl w:val="0"/>
                <w:numId w:val="52"/>
              </w:numPr>
              <w:jc w:val="left"/>
              <w:rPr>
                <w:color w:val="AEAAAA"/>
                <w:sz w:val="20"/>
                <w:szCs w:val="20"/>
              </w:rPr>
            </w:pPr>
            <w:r>
              <w:rPr>
                <w:color w:val="AEAAAA"/>
                <w:sz w:val="20"/>
                <w:szCs w:val="20"/>
              </w:rPr>
              <w:t>Certainty of evidence or resource use.</w:t>
            </w:r>
          </w:p>
          <w:p w:rsidR="009C6A81" w:rsidRDefault="00ED5651">
            <w:pPr>
              <w:numPr>
                <w:ilvl w:val="0"/>
                <w:numId w:val="52"/>
              </w:numPr>
              <w:jc w:val="left"/>
              <w:rPr>
                <w:sz w:val="20"/>
                <w:szCs w:val="20"/>
              </w:rPr>
            </w:pPr>
            <w:r>
              <w:rPr>
                <w:sz w:val="20"/>
                <w:szCs w:val="20"/>
              </w:rPr>
              <w:t>Cost-effectiveness.</w:t>
            </w:r>
          </w:p>
          <w:p w:rsidR="009C6A81" w:rsidRDefault="00ED5651">
            <w:pPr>
              <w:numPr>
                <w:ilvl w:val="0"/>
                <w:numId w:val="52"/>
              </w:numPr>
              <w:jc w:val="left"/>
              <w:rPr>
                <w:sz w:val="20"/>
                <w:szCs w:val="20"/>
              </w:rPr>
            </w:pPr>
            <w:r>
              <w:rPr>
                <w:sz w:val="20"/>
                <w:szCs w:val="20"/>
              </w:rPr>
              <w:t>Equity.</w:t>
            </w:r>
          </w:p>
          <w:p w:rsidR="009C6A81" w:rsidRDefault="00ED5651">
            <w:pPr>
              <w:numPr>
                <w:ilvl w:val="0"/>
                <w:numId w:val="52"/>
              </w:numPr>
              <w:jc w:val="left"/>
              <w:rPr>
                <w:sz w:val="20"/>
                <w:szCs w:val="20"/>
              </w:rPr>
            </w:pPr>
            <w:r>
              <w:rPr>
                <w:sz w:val="20"/>
                <w:szCs w:val="20"/>
              </w:rPr>
              <w:t>Acceptability.</w:t>
            </w:r>
          </w:p>
          <w:p w:rsidR="009C6A81" w:rsidRDefault="00ED5651">
            <w:pPr>
              <w:numPr>
                <w:ilvl w:val="0"/>
                <w:numId w:val="52"/>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panel's experience, discussing therapeutic goals likely translates into great benefit.</w:t>
            </w:r>
          </w:p>
          <w:p w:rsidR="009C6A81" w:rsidRDefault="00ED5651">
            <w:pPr>
              <w:rPr>
                <w:sz w:val="20"/>
                <w:szCs w:val="20"/>
              </w:rPr>
            </w:pPr>
            <w:r>
              <w:rPr>
                <w:sz w:val="20"/>
                <w:szCs w:val="20"/>
              </w:rPr>
              <w:t xml:space="preserve"> </w:t>
            </w:r>
          </w:p>
          <w:p w:rsidR="009C6A81" w:rsidRDefault="00ED5651">
            <w:pPr>
              <w:rPr>
                <w:sz w:val="20"/>
                <w:szCs w:val="20"/>
              </w:rPr>
            </w:pPr>
            <w:r>
              <w:rPr>
                <w:sz w:val="20"/>
                <w:szCs w:val="20"/>
              </w:rPr>
              <w:t>This statement is deemed to satisfy the following EtD criteria:</w:t>
            </w:r>
          </w:p>
          <w:p w:rsidR="009C6A81" w:rsidRDefault="00ED5651">
            <w:pPr>
              <w:numPr>
                <w:ilvl w:val="0"/>
                <w:numId w:val="9"/>
              </w:numPr>
              <w:rPr>
                <w:sz w:val="20"/>
                <w:szCs w:val="20"/>
              </w:rPr>
            </w:pPr>
            <w:r>
              <w:rPr>
                <w:b/>
                <w:sz w:val="20"/>
                <w:szCs w:val="20"/>
              </w:rPr>
              <w:t xml:space="preserve">Values: </w:t>
            </w:r>
            <w:r>
              <w:rPr>
                <w:sz w:val="20"/>
                <w:szCs w:val="20"/>
              </w:rPr>
              <w:t>Probably all or almost all people living with</w:t>
            </w:r>
            <w:r>
              <w:rPr>
                <w:sz w:val="20"/>
                <w:szCs w:val="20"/>
              </w:rPr>
              <w:t xml:space="preserve"> obesity would place a high value on improvement in health and quality of life, beyond changes in weight, as a result of discussing goals with their health care professional.</w:t>
            </w:r>
          </w:p>
          <w:p w:rsidR="009C6A81" w:rsidRDefault="00ED5651">
            <w:pPr>
              <w:numPr>
                <w:ilvl w:val="0"/>
                <w:numId w:val="9"/>
              </w:numPr>
              <w:rPr>
                <w:sz w:val="20"/>
                <w:szCs w:val="20"/>
              </w:rPr>
            </w:pPr>
            <w:r>
              <w:rPr>
                <w:b/>
                <w:sz w:val="20"/>
                <w:szCs w:val="20"/>
              </w:rPr>
              <w:t>Magnitude of resource requirements:</w:t>
            </w:r>
            <w:r>
              <w:rPr>
                <w:sz w:val="20"/>
                <w:szCs w:val="20"/>
              </w:rPr>
              <w:t xml:space="preserve"> The implementation of an instance of discussi</w:t>
            </w:r>
            <w:r>
              <w:rPr>
                <w:sz w:val="20"/>
                <w:szCs w:val="20"/>
              </w:rPr>
              <w:t>on on therapeutic goals does not require the use of equipment or supplies. It may require minimal training costs for professionals and extra consultation time.</w:t>
            </w:r>
          </w:p>
          <w:p w:rsidR="009C6A81" w:rsidRDefault="00ED5651">
            <w:pPr>
              <w:numPr>
                <w:ilvl w:val="0"/>
                <w:numId w:val="9"/>
              </w:numPr>
              <w:rPr>
                <w:sz w:val="20"/>
                <w:szCs w:val="20"/>
              </w:rPr>
            </w:pPr>
            <w:r>
              <w:rPr>
                <w:b/>
                <w:sz w:val="20"/>
                <w:szCs w:val="20"/>
              </w:rPr>
              <w:t>Cost-effectiveness:</w:t>
            </w:r>
            <w:r>
              <w:rPr>
                <w:sz w:val="20"/>
                <w:szCs w:val="20"/>
              </w:rPr>
              <w:t xml:space="preserve">  While discussing therapeutic goals with patients may require a slight incre</w:t>
            </w:r>
            <w:r>
              <w:rPr>
                <w:sz w:val="20"/>
                <w:szCs w:val="20"/>
              </w:rPr>
              <w:t>ase in costs, in the long term it would increase adherence to treatment and enable individuals to achieve relevant, person-centered health, comorbidity management and quality of life goals.</w:t>
            </w:r>
          </w:p>
          <w:p w:rsidR="009C6A81" w:rsidRDefault="00ED5651">
            <w:pPr>
              <w:numPr>
                <w:ilvl w:val="0"/>
                <w:numId w:val="9"/>
              </w:numPr>
              <w:rPr>
                <w:sz w:val="20"/>
                <w:szCs w:val="20"/>
              </w:rPr>
            </w:pPr>
            <w:r>
              <w:rPr>
                <w:b/>
                <w:sz w:val="20"/>
                <w:szCs w:val="20"/>
              </w:rPr>
              <w:t>Equity</w:t>
            </w:r>
            <w:r>
              <w:rPr>
                <w:sz w:val="20"/>
                <w:szCs w:val="20"/>
              </w:rPr>
              <w:t>: The discussion of therapeutic goals could favor health equ</w:t>
            </w:r>
            <w:r>
              <w:rPr>
                <w:sz w:val="20"/>
                <w:szCs w:val="20"/>
              </w:rPr>
              <w:t xml:space="preserve">ity, since people with a lower educational level could have different treatment expectations compared to a person with a higher educational level. </w:t>
            </w:r>
          </w:p>
          <w:p w:rsidR="009C6A81" w:rsidRDefault="00ED5651">
            <w:pPr>
              <w:numPr>
                <w:ilvl w:val="0"/>
                <w:numId w:val="9"/>
              </w:numPr>
              <w:rPr>
                <w:sz w:val="20"/>
                <w:szCs w:val="20"/>
              </w:rPr>
            </w:pPr>
            <w:r>
              <w:rPr>
                <w:b/>
                <w:sz w:val="20"/>
                <w:szCs w:val="20"/>
              </w:rPr>
              <w:t xml:space="preserve">Acceptability: </w:t>
            </w:r>
            <w:r>
              <w:rPr>
                <w:sz w:val="20"/>
                <w:szCs w:val="20"/>
              </w:rPr>
              <w:t>It would be acceptable to key stakeholders, mainly patients, who would positively perceive ha</w:t>
            </w:r>
            <w:r>
              <w:rPr>
                <w:sz w:val="20"/>
                <w:szCs w:val="20"/>
              </w:rPr>
              <w:t>ving therapeutic goals discussed with their healthcare professional.</w:t>
            </w:r>
          </w:p>
          <w:p w:rsidR="009C6A81" w:rsidRDefault="00ED5651">
            <w:pPr>
              <w:numPr>
                <w:ilvl w:val="0"/>
                <w:numId w:val="9"/>
              </w:numPr>
              <w:rPr>
                <w:sz w:val="20"/>
                <w:szCs w:val="20"/>
              </w:rPr>
            </w:pPr>
            <w:r>
              <w:rPr>
                <w:b/>
                <w:sz w:val="20"/>
                <w:szCs w:val="20"/>
              </w:rPr>
              <w:t>Factibilidad:</w:t>
            </w:r>
            <w:r>
              <w:rPr>
                <w:sz w:val="20"/>
                <w:szCs w:val="20"/>
              </w:rPr>
              <w:t xml:space="preserve"> It would probably be feasible to discuss therapeutic goals. Factors affecting implementation such as the timeliness of access to treatments </w:t>
            </w:r>
            <w:r>
              <w:rPr>
                <w:sz w:val="20"/>
                <w:szCs w:val="20"/>
              </w:rPr>
              <w:lastRenderedPageBreak/>
              <w:t>required to achieve these goals s</w:t>
            </w:r>
            <w:r>
              <w:rPr>
                <w:sz w:val="20"/>
                <w:szCs w:val="20"/>
              </w:rPr>
              <w:t>hould be considered.</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75"/>
              </w:numPr>
              <w:jc w:val="left"/>
              <w:rPr>
                <w:sz w:val="20"/>
                <w:szCs w:val="20"/>
              </w:rPr>
            </w:pPr>
            <w:r>
              <w:rPr>
                <w:b/>
                <w:sz w:val="20"/>
                <w:szCs w:val="20"/>
              </w:rPr>
              <w:t>Yes</w:t>
            </w:r>
          </w:p>
          <w:p w:rsidR="009C6A81" w:rsidRDefault="00ED5651">
            <w:pPr>
              <w:numPr>
                <w:ilvl w:val="0"/>
                <w:numId w:val="75"/>
              </w:numPr>
              <w:jc w:val="left"/>
              <w:rPr>
                <w:color w:val="AEAAAA"/>
                <w:sz w:val="20"/>
                <w:szCs w:val="20"/>
              </w:rPr>
            </w:pPr>
            <w:r>
              <w:rPr>
                <w:color w:val="AEAAAA"/>
                <w:sz w:val="20"/>
                <w:szCs w:val="20"/>
              </w:rPr>
              <w:t>Probably yes</w:t>
            </w:r>
          </w:p>
          <w:p w:rsidR="009C6A81" w:rsidRDefault="00ED5651">
            <w:pPr>
              <w:numPr>
                <w:ilvl w:val="0"/>
                <w:numId w:val="75"/>
              </w:numPr>
              <w:jc w:val="left"/>
              <w:rPr>
                <w:color w:val="AEAAAA"/>
                <w:sz w:val="20"/>
                <w:szCs w:val="20"/>
              </w:rPr>
            </w:pPr>
            <w:r>
              <w:rPr>
                <w:color w:val="AEAAAA"/>
                <w:sz w:val="20"/>
                <w:szCs w:val="20"/>
              </w:rPr>
              <w:t>Probably not</w:t>
            </w:r>
          </w:p>
          <w:p w:rsidR="009C6A81" w:rsidRDefault="00ED5651">
            <w:pPr>
              <w:numPr>
                <w:ilvl w:val="0"/>
                <w:numId w:val="75"/>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There is consensus that achieving a decrease in body weight should not be the only therapeutic goal in people living with overweight or obesity (1). The discussion of therapeutic goals would be similar to the approach to other chronic heal</w:t>
            </w:r>
            <w:r>
              <w:rPr>
                <w:sz w:val="20"/>
                <w:szCs w:val="20"/>
              </w:rPr>
              <w:t>th conditions. There is no reason to suspect that not discussing therapeutic goals has greater benefits than discussing them. Thus, collecting, summarizing, and formally discussing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75"/>
              </w:numPr>
              <w:jc w:val="left"/>
              <w:rPr>
                <w:sz w:val="20"/>
                <w:szCs w:val="20"/>
              </w:rPr>
            </w:pPr>
            <w:r>
              <w:rPr>
                <w:b/>
                <w:sz w:val="20"/>
                <w:szCs w:val="20"/>
              </w:rPr>
              <w:t>Yes</w:t>
            </w:r>
          </w:p>
          <w:p w:rsidR="009C6A81" w:rsidRDefault="00ED5651">
            <w:pPr>
              <w:numPr>
                <w:ilvl w:val="0"/>
                <w:numId w:val="75"/>
              </w:numPr>
              <w:jc w:val="left"/>
              <w:rPr>
                <w:color w:val="AEAAAA"/>
                <w:sz w:val="20"/>
                <w:szCs w:val="20"/>
              </w:rPr>
            </w:pPr>
            <w:r>
              <w:rPr>
                <w:color w:val="AEAAAA"/>
                <w:sz w:val="20"/>
                <w:szCs w:val="20"/>
              </w:rPr>
              <w:t>Probably yes</w:t>
            </w:r>
          </w:p>
          <w:p w:rsidR="009C6A81" w:rsidRDefault="00ED5651">
            <w:pPr>
              <w:numPr>
                <w:ilvl w:val="0"/>
                <w:numId w:val="75"/>
              </w:numPr>
              <w:jc w:val="left"/>
              <w:rPr>
                <w:color w:val="AEAAAA"/>
                <w:sz w:val="20"/>
                <w:szCs w:val="20"/>
              </w:rPr>
            </w:pPr>
            <w:r>
              <w:rPr>
                <w:color w:val="AEAAAA"/>
                <w:sz w:val="20"/>
                <w:szCs w:val="20"/>
              </w:rPr>
              <w:t>Probably not</w:t>
            </w:r>
          </w:p>
          <w:p w:rsidR="009C6A81" w:rsidRDefault="00ED5651">
            <w:pPr>
              <w:numPr>
                <w:ilvl w:val="0"/>
                <w:numId w:val="75"/>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The Canadian clinical practice guideline (2-3) was identified as indirect evidence to support this good practice statement. It desc</w:t>
            </w:r>
            <w:r>
              <w:rPr>
                <w:sz w:val="20"/>
                <w:szCs w:val="20"/>
              </w:rPr>
              <w:t xml:space="preserve">ribes that talking and discussing therapeutic goals improves the level of patient satisfaction with treatment, helps to set more realistic goals, with less probability of treatment abandonment, maintain body weight in the long term, helping to prevent the </w:t>
            </w:r>
            <w:r>
              <w:rPr>
                <w:sz w:val="20"/>
                <w:szCs w:val="20"/>
              </w:rPr>
              <w:t>occurrence of the “false hope syndrome”. Additionally, the European guidelines (1) emphasize that clinically significant benefits can be achieved with a slight change in body weight, so broader goals such as management of comorbidities and improvement in q</w:t>
            </w:r>
            <w:r>
              <w:rPr>
                <w:sz w:val="20"/>
                <w:szCs w:val="20"/>
              </w:rPr>
              <w:t>uality of life should be considered.</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75"/>
              </w:numPr>
              <w:jc w:val="left"/>
              <w:rPr>
                <w:sz w:val="20"/>
                <w:szCs w:val="20"/>
              </w:rPr>
            </w:pPr>
            <w:r>
              <w:rPr>
                <w:b/>
                <w:sz w:val="20"/>
                <w:szCs w:val="20"/>
              </w:rPr>
              <w:t>Yes</w:t>
            </w:r>
          </w:p>
          <w:p w:rsidR="009C6A81" w:rsidRDefault="00ED5651">
            <w:pPr>
              <w:numPr>
                <w:ilvl w:val="0"/>
                <w:numId w:val="75"/>
              </w:numPr>
              <w:jc w:val="left"/>
              <w:rPr>
                <w:color w:val="AEAAAA"/>
                <w:sz w:val="20"/>
                <w:szCs w:val="20"/>
              </w:rPr>
            </w:pPr>
            <w:r>
              <w:rPr>
                <w:color w:val="AEAAAA"/>
                <w:sz w:val="20"/>
                <w:szCs w:val="20"/>
              </w:rPr>
              <w:t>Probably yes</w:t>
            </w:r>
          </w:p>
          <w:p w:rsidR="009C6A81" w:rsidRDefault="00ED5651">
            <w:pPr>
              <w:numPr>
                <w:ilvl w:val="0"/>
                <w:numId w:val="75"/>
              </w:numPr>
              <w:jc w:val="left"/>
              <w:rPr>
                <w:color w:val="AEAAAA"/>
                <w:sz w:val="20"/>
                <w:szCs w:val="20"/>
              </w:rPr>
            </w:pPr>
            <w:r>
              <w:rPr>
                <w:color w:val="AEAAAA"/>
                <w:sz w:val="20"/>
                <w:szCs w:val="20"/>
              </w:rPr>
              <w:t>Probably not</w:t>
            </w:r>
          </w:p>
          <w:p w:rsidR="009C6A81" w:rsidRDefault="00ED5651">
            <w:pPr>
              <w:numPr>
                <w:ilvl w:val="0"/>
                <w:numId w:val="75"/>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This statement sets out a clear course of action: healthcare professionals should discuss with their patients the therapeutic goals of weigh</w:t>
            </w:r>
            <w:r>
              <w:rPr>
                <w:sz w:val="20"/>
                <w:szCs w:val="20"/>
              </w:rPr>
              <w:t>t loss, control of comorbidities, and quality of life.</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55"/>
              </w:numPr>
              <w:tabs>
                <w:tab w:val="left" w:pos="142"/>
              </w:tabs>
              <w:spacing w:line="276" w:lineRule="auto"/>
              <w:rPr>
                <w:sz w:val="18"/>
                <w:szCs w:val="18"/>
              </w:rPr>
            </w:pPr>
            <w:r>
              <w:rPr>
                <w:sz w:val="18"/>
                <w:szCs w:val="18"/>
              </w:rPr>
              <w:t xml:space="preserve">Yumuk V, Tsigos C, Fried M, et al. European Guidelines for Obesity Management in Adults [published correction appears in Obes Facts. 2016;9(1):64. doi: 10.1159/000444869]. Obes Facts. 2015;8(6):402-424. doi:10.1159/000442721 </w:t>
            </w:r>
          </w:p>
          <w:p w:rsidR="009C6A81" w:rsidRDefault="00ED5651">
            <w:pPr>
              <w:numPr>
                <w:ilvl w:val="0"/>
                <w:numId w:val="55"/>
              </w:numPr>
              <w:tabs>
                <w:tab w:val="left" w:pos="142"/>
              </w:tabs>
              <w:spacing w:line="276" w:lineRule="auto"/>
              <w:rPr>
                <w:sz w:val="18"/>
                <w:szCs w:val="18"/>
              </w:rPr>
            </w:pPr>
            <w:r>
              <w:rPr>
                <w:sz w:val="18"/>
                <w:szCs w:val="18"/>
              </w:rPr>
              <w:t>Vallis TM, Macklin D, Russell-</w:t>
            </w:r>
            <w:r>
              <w:rPr>
                <w:sz w:val="18"/>
                <w:szCs w:val="18"/>
              </w:rPr>
              <w:t xml:space="preserve">Mayhew S. Canadian Adult Obesity Clinical Practice Guidelines: Effective Psychological and Behavioural Interventions in Obesity Management. Available from: </w:t>
            </w:r>
            <w:hyperlink r:id="rId49">
              <w:r>
                <w:rPr>
                  <w:color w:val="1155CC"/>
                  <w:sz w:val="18"/>
                  <w:szCs w:val="18"/>
                  <w:u w:val="single"/>
                </w:rPr>
                <w:t>https://obesitycanada.ca/guidelin</w:t>
              </w:r>
              <w:r>
                <w:rPr>
                  <w:color w:val="1155CC"/>
                  <w:sz w:val="18"/>
                  <w:szCs w:val="18"/>
                  <w:u w:val="single"/>
                </w:rPr>
                <w:t>es/behavioural</w:t>
              </w:r>
            </w:hyperlink>
            <w:r>
              <w:rPr>
                <w:sz w:val="18"/>
                <w:szCs w:val="18"/>
              </w:rPr>
              <w:t xml:space="preserve"> </w:t>
            </w:r>
          </w:p>
          <w:p w:rsidR="009C6A81" w:rsidRDefault="00ED5651">
            <w:pPr>
              <w:numPr>
                <w:ilvl w:val="0"/>
                <w:numId w:val="55"/>
              </w:numPr>
              <w:tabs>
                <w:tab w:val="left" w:pos="142"/>
              </w:tabs>
              <w:spacing w:line="276" w:lineRule="auto"/>
              <w:rPr>
                <w:sz w:val="18"/>
                <w:szCs w:val="18"/>
              </w:rPr>
            </w:pPr>
            <w:r>
              <w:rPr>
                <w:sz w:val="18"/>
                <w:szCs w:val="18"/>
              </w:rPr>
              <w:t xml:space="preserve">Pedersen SD, Manjoo P, Wharton S. Canadian Adult Obesity Clinical Practice Guidelines: Pharmacotherapy for Obesity Management. Available from: </w:t>
            </w:r>
            <w:hyperlink r:id="rId50">
              <w:r>
                <w:rPr>
                  <w:color w:val="1155CC"/>
                  <w:sz w:val="18"/>
                  <w:szCs w:val="18"/>
                  <w:u w:val="single"/>
                </w:rPr>
                <w:t>https://obesitycanada.ca/g</w:t>
              </w:r>
              <w:r>
                <w:rPr>
                  <w:color w:val="1155CC"/>
                  <w:sz w:val="18"/>
                  <w:szCs w:val="18"/>
                  <w:u w:val="single"/>
                </w:rPr>
                <w:t>uidelines/pharmacotherapy</w:t>
              </w:r>
            </w:hyperlink>
            <w:r>
              <w:rPr>
                <w:sz w:val="18"/>
                <w:szCs w:val="18"/>
              </w:rPr>
              <w:t xml:space="preserve"> </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72" w:name="_393x0lu" w:colFirst="0" w:colLast="0"/>
      <w:bookmarkEnd w:id="72"/>
      <w:r>
        <w:lastRenderedPageBreak/>
        <w:t>Good practice statement 16. Healthcare professionals prescribing pharmacotherapy for overweight and obesity should consider it as an adjunct treatment to behavioral interventions involving medical-nutrition therapy and physical activity, stress management,</w:t>
      </w:r>
      <w:r>
        <w:t xml:space="preserve"> etc. and it should never be prescribed as a standalone treatment.</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e"/>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6"/>
              </w:numPr>
              <w:jc w:val="left"/>
              <w:rPr>
                <w:sz w:val="20"/>
                <w:szCs w:val="20"/>
              </w:rPr>
            </w:pPr>
            <w:r>
              <w:rPr>
                <w:b/>
                <w:sz w:val="20"/>
                <w:szCs w:val="20"/>
              </w:rPr>
              <w:t>Yes</w:t>
            </w:r>
          </w:p>
          <w:p w:rsidR="009C6A81" w:rsidRDefault="00ED5651">
            <w:pPr>
              <w:numPr>
                <w:ilvl w:val="0"/>
                <w:numId w:val="76"/>
              </w:numPr>
              <w:jc w:val="left"/>
              <w:rPr>
                <w:color w:val="AEAAAA"/>
                <w:sz w:val="20"/>
                <w:szCs w:val="20"/>
              </w:rPr>
            </w:pPr>
            <w:r>
              <w:rPr>
                <w:color w:val="AEAAAA"/>
                <w:sz w:val="20"/>
                <w:szCs w:val="20"/>
              </w:rPr>
              <w:t>Probably yes</w:t>
            </w:r>
          </w:p>
          <w:p w:rsidR="009C6A81" w:rsidRDefault="00ED5651">
            <w:pPr>
              <w:numPr>
                <w:ilvl w:val="0"/>
                <w:numId w:val="76"/>
              </w:numPr>
              <w:jc w:val="left"/>
              <w:rPr>
                <w:color w:val="AEAAAA"/>
                <w:sz w:val="20"/>
                <w:szCs w:val="20"/>
              </w:rPr>
            </w:pPr>
            <w:r>
              <w:rPr>
                <w:color w:val="AEAAAA"/>
                <w:sz w:val="20"/>
                <w:szCs w:val="20"/>
              </w:rPr>
              <w:t>Probably not</w:t>
            </w:r>
          </w:p>
          <w:p w:rsidR="009C6A81" w:rsidRDefault="00ED5651">
            <w:pPr>
              <w:numPr>
                <w:ilvl w:val="0"/>
                <w:numId w:val="76"/>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w:t>
            </w:r>
            <w:r>
              <w:rPr>
                <w:b/>
                <w:sz w:val="20"/>
                <w:szCs w:val="20"/>
              </w:rPr>
              <w:t>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6"/>
              </w:numPr>
              <w:jc w:val="left"/>
              <w:rPr>
                <w:sz w:val="20"/>
                <w:szCs w:val="20"/>
              </w:rPr>
            </w:pPr>
            <w:r>
              <w:rPr>
                <w:b/>
                <w:sz w:val="20"/>
                <w:szCs w:val="20"/>
              </w:rPr>
              <w:t>Yes</w:t>
            </w:r>
          </w:p>
          <w:p w:rsidR="009C6A81" w:rsidRDefault="00ED5651">
            <w:pPr>
              <w:numPr>
                <w:ilvl w:val="0"/>
                <w:numId w:val="76"/>
              </w:numPr>
              <w:jc w:val="left"/>
              <w:rPr>
                <w:color w:val="AEAAAA"/>
                <w:sz w:val="20"/>
                <w:szCs w:val="20"/>
              </w:rPr>
            </w:pPr>
            <w:r>
              <w:rPr>
                <w:color w:val="AEAAAA"/>
                <w:sz w:val="20"/>
                <w:szCs w:val="20"/>
              </w:rPr>
              <w:t>Probably yes</w:t>
            </w:r>
          </w:p>
          <w:p w:rsidR="009C6A81" w:rsidRDefault="00ED5651">
            <w:pPr>
              <w:numPr>
                <w:ilvl w:val="0"/>
                <w:numId w:val="76"/>
              </w:numPr>
              <w:jc w:val="left"/>
              <w:rPr>
                <w:color w:val="AEAAAA"/>
                <w:sz w:val="20"/>
                <w:szCs w:val="20"/>
              </w:rPr>
            </w:pPr>
            <w:r>
              <w:rPr>
                <w:color w:val="AEAAAA"/>
                <w:sz w:val="20"/>
                <w:szCs w:val="20"/>
              </w:rPr>
              <w:t>Probably not</w:t>
            </w:r>
          </w:p>
          <w:p w:rsidR="009C6A81" w:rsidRDefault="00ED5651">
            <w:pPr>
              <w:numPr>
                <w:ilvl w:val="0"/>
                <w:numId w:val="76"/>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19"/>
              </w:numPr>
              <w:rPr>
                <w:sz w:val="20"/>
                <w:szCs w:val="20"/>
              </w:rPr>
            </w:pPr>
            <w:r>
              <w:rPr>
                <w:b/>
                <w:sz w:val="20"/>
                <w:szCs w:val="20"/>
              </w:rPr>
              <w:t>Population</w:t>
            </w:r>
            <w:r>
              <w:rPr>
                <w:sz w:val="20"/>
                <w:szCs w:val="20"/>
              </w:rPr>
              <w:t>: people living with overweight or obesity.</w:t>
            </w:r>
          </w:p>
          <w:p w:rsidR="009C6A81" w:rsidRDefault="00ED5651">
            <w:pPr>
              <w:numPr>
                <w:ilvl w:val="0"/>
                <w:numId w:val="19"/>
              </w:numPr>
              <w:rPr>
                <w:sz w:val="20"/>
                <w:szCs w:val="20"/>
              </w:rPr>
            </w:pPr>
            <w:r>
              <w:rPr>
                <w:b/>
                <w:sz w:val="20"/>
                <w:szCs w:val="20"/>
              </w:rPr>
              <w:t>Intervention</w:t>
            </w:r>
            <w:r>
              <w:rPr>
                <w:sz w:val="20"/>
                <w:szCs w:val="20"/>
              </w:rPr>
              <w:t xml:space="preserve">: pharmacotherapy as an adjunctive treatment to lifestyle changes in the management of obesity.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76"/>
              </w:numPr>
              <w:jc w:val="left"/>
              <w:rPr>
                <w:sz w:val="20"/>
                <w:szCs w:val="20"/>
              </w:rPr>
            </w:pPr>
            <w:r>
              <w:rPr>
                <w:b/>
                <w:sz w:val="20"/>
                <w:szCs w:val="20"/>
              </w:rPr>
              <w:t>Yes</w:t>
            </w:r>
          </w:p>
          <w:p w:rsidR="009C6A81" w:rsidRDefault="00ED5651">
            <w:pPr>
              <w:numPr>
                <w:ilvl w:val="0"/>
                <w:numId w:val="76"/>
              </w:numPr>
              <w:jc w:val="left"/>
              <w:rPr>
                <w:color w:val="AEAAAA"/>
                <w:sz w:val="20"/>
                <w:szCs w:val="20"/>
              </w:rPr>
            </w:pPr>
            <w:r>
              <w:rPr>
                <w:color w:val="AEAAAA"/>
                <w:sz w:val="20"/>
                <w:szCs w:val="20"/>
              </w:rPr>
              <w:t>Probably yes</w:t>
            </w:r>
          </w:p>
          <w:p w:rsidR="009C6A81" w:rsidRDefault="00ED5651">
            <w:pPr>
              <w:numPr>
                <w:ilvl w:val="0"/>
                <w:numId w:val="76"/>
              </w:numPr>
              <w:jc w:val="left"/>
              <w:rPr>
                <w:color w:val="AEAAAA"/>
                <w:sz w:val="20"/>
                <w:szCs w:val="20"/>
              </w:rPr>
            </w:pPr>
            <w:r>
              <w:rPr>
                <w:color w:val="AEAAAA"/>
                <w:sz w:val="20"/>
                <w:szCs w:val="20"/>
              </w:rPr>
              <w:t>Probably not</w:t>
            </w:r>
          </w:p>
          <w:p w:rsidR="009C6A81" w:rsidRDefault="00ED5651">
            <w:pPr>
              <w:numPr>
                <w:ilvl w:val="0"/>
                <w:numId w:val="76"/>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Obesity is a complex chronic disease whose treatment requires a multimodal strategy to achieve the objectives proposed for each particular case. A</w:t>
            </w:r>
            <w:r>
              <w:rPr>
                <w:sz w:val="20"/>
                <w:szCs w:val="20"/>
              </w:rPr>
              <w:t xml:space="preserve">s with other chronic diseases, pharmacotherapy can complement behavioral treatment (changes in diet and physical activity), but it is not sufficient on its own to achieve the expected results or to maintain them in the long term. </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89"/>
              </w:numPr>
              <w:jc w:val="left"/>
              <w:rPr>
                <w:sz w:val="20"/>
                <w:szCs w:val="20"/>
              </w:rPr>
            </w:pPr>
            <w:r>
              <w:rPr>
                <w:b/>
                <w:sz w:val="20"/>
                <w:szCs w:val="20"/>
              </w:rPr>
              <w:t>Yes</w:t>
            </w:r>
          </w:p>
          <w:p w:rsidR="009C6A81" w:rsidRDefault="00ED5651">
            <w:pPr>
              <w:numPr>
                <w:ilvl w:val="0"/>
                <w:numId w:val="89"/>
              </w:numPr>
              <w:jc w:val="left"/>
              <w:rPr>
                <w:color w:val="AEAAAA"/>
                <w:sz w:val="20"/>
                <w:szCs w:val="20"/>
              </w:rPr>
            </w:pPr>
            <w:r>
              <w:rPr>
                <w:color w:val="AEAAAA"/>
                <w:sz w:val="20"/>
                <w:szCs w:val="20"/>
              </w:rPr>
              <w:t>Probably yes</w:t>
            </w:r>
          </w:p>
          <w:p w:rsidR="009C6A81" w:rsidRDefault="00ED5651">
            <w:pPr>
              <w:numPr>
                <w:ilvl w:val="0"/>
                <w:numId w:val="89"/>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89"/>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1"/>
              </w:numPr>
              <w:jc w:val="left"/>
              <w:rPr>
                <w:sz w:val="20"/>
                <w:szCs w:val="20"/>
              </w:rPr>
            </w:pPr>
            <w:r>
              <w:rPr>
                <w:color w:val="AEAAAA"/>
                <w:sz w:val="20"/>
                <w:szCs w:val="20"/>
              </w:rPr>
              <w:t>Importance of the problem.</w:t>
            </w:r>
          </w:p>
          <w:p w:rsidR="009C6A81" w:rsidRDefault="00ED5651">
            <w:pPr>
              <w:numPr>
                <w:ilvl w:val="0"/>
                <w:numId w:val="1"/>
              </w:numPr>
              <w:jc w:val="left"/>
              <w:rPr>
                <w:color w:val="AEAAAA"/>
                <w:sz w:val="20"/>
                <w:szCs w:val="20"/>
              </w:rPr>
            </w:pPr>
            <w:r>
              <w:rPr>
                <w:color w:val="AEAAAA"/>
                <w:sz w:val="20"/>
                <w:szCs w:val="20"/>
              </w:rPr>
              <w:t>Certainty of evidence.</w:t>
            </w:r>
          </w:p>
          <w:p w:rsidR="009C6A81" w:rsidRDefault="00ED5651">
            <w:pPr>
              <w:numPr>
                <w:ilvl w:val="0"/>
                <w:numId w:val="1"/>
              </w:numPr>
              <w:jc w:val="left"/>
              <w:rPr>
                <w:sz w:val="20"/>
                <w:szCs w:val="20"/>
              </w:rPr>
            </w:pPr>
            <w:r>
              <w:rPr>
                <w:sz w:val="20"/>
                <w:szCs w:val="20"/>
              </w:rPr>
              <w:t>Values.</w:t>
            </w:r>
          </w:p>
          <w:p w:rsidR="009C6A81" w:rsidRDefault="00ED5651">
            <w:pPr>
              <w:numPr>
                <w:ilvl w:val="0"/>
                <w:numId w:val="1"/>
              </w:numPr>
              <w:jc w:val="left"/>
              <w:rPr>
                <w:sz w:val="20"/>
                <w:szCs w:val="20"/>
              </w:rPr>
            </w:pPr>
            <w:r>
              <w:rPr>
                <w:sz w:val="20"/>
                <w:szCs w:val="20"/>
              </w:rPr>
              <w:lastRenderedPageBreak/>
              <w:t>Magnitude of resource requirements.</w:t>
            </w:r>
          </w:p>
          <w:p w:rsidR="009C6A81" w:rsidRDefault="00ED5651">
            <w:pPr>
              <w:numPr>
                <w:ilvl w:val="0"/>
                <w:numId w:val="1"/>
              </w:numPr>
              <w:jc w:val="left"/>
              <w:rPr>
                <w:color w:val="AEAAAA"/>
                <w:sz w:val="20"/>
                <w:szCs w:val="20"/>
              </w:rPr>
            </w:pPr>
            <w:r>
              <w:rPr>
                <w:color w:val="AEAAAA"/>
                <w:sz w:val="20"/>
                <w:szCs w:val="20"/>
              </w:rPr>
              <w:t>Certainty of evidence or resource use.</w:t>
            </w:r>
          </w:p>
          <w:p w:rsidR="009C6A81" w:rsidRDefault="00ED5651">
            <w:pPr>
              <w:numPr>
                <w:ilvl w:val="0"/>
                <w:numId w:val="1"/>
              </w:numPr>
              <w:jc w:val="left"/>
              <w:rPr>
                <w:sz w:val="20"/>
                <w:szCs w:val="20"/>
              </w:rPr>
            </w:pPr>
            <w:r>
              <w:rPr>
                <w:sz w:val="20"/>
                <w:szCs w:val="20"/>
              </w:rPr>
              <w:t>Cost-effectiveness.</w:t>
            </w:r>
          </w:p>
          <w:p w:rsidR="009C6A81" w:rsidRDefault="00ED5651">
            <w:pPr>
              <w:numPr>
                <w:ilvl w:val="0"/>
                <w:numId w:val="1"/>
              </w:numPr>
              <w:jc w:val="left"/>
              <w:rPr>
                <w:sz w:val="20"/>
                <w:szCs w:val="20"/>
              </w:rPr>
            </w:pPr>
            <w:r>
              <w:rPr>
                <w:sz w:val="20"/>
                <w:szCs w:val="20"/>
              </w:rPr>
              <w:t>Equity.</w:t>
            </w:r>
          </w:p>
          <w:p w:rsidR="009C6A81" w:rsidRDefault="00ED5651">
            <w:pPr>
              <w:numPr>
                <w:ilvl w:val="0"/>
                <w:numId w:val="1"/>
              </w:numPr>
              <w:jc w:val="left"/>
              <w:rPr>
                <w:sz w:val="20"/>
                <w:szCs w:val="20"/>
              </w:rPr>
            </w:pPr>
            <w:r>
              <w:rPr>
                <w:sz w:val="20"/>
                <w:szCs w:val="20"/>
              </w:rPr>
              <w:t>Acceptability.</w:t>
            </w:r>
          </w:p>
          <w:p w:rsidR="009C6A81" w:rsidRDefault="00ED5651">
            <w:pPr>
              <w:numPr>
                <w:ilvl w:val="0"/>
                <w:numId w:val="1"/>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jc w:val="left"/>
              <w:rPr>
                <w:sz w:val="20"/>
                <w:szCs w:val="20"/>
              </w:rPr>
            </w:pPr>
            <w:r>
              <w:rPr>
                <w:sz w:val="20"/>
                <w:szCs w:val="20"/>
              </w:rPr>
              <w:lastRenderedPageBreak/>
              <w:t>Based on the indirect evidence identified and the panel's experience, considering pharmacotherapy as adjuvant and never prescribing it alone is likely to translate into great benefit.</w:t>
            </w:r>
          </w:p>
          <w:p w:rsidR="009C6A81" w:rsidRDefault="00ED5651">
            <w:pPr>
              <w:jc w:val="left"/>
              <w:rPr>
                <w:sz w:val="20"/>
                <w:szCs w:val="20"/>
              </w:rPr>
            </w:pPr>
            <w:r>
              <w:rPr>
                <w:sz w:val="20"/>
                <w:szCs w:val="20"/>
              </w:rPr>
              <w:t xml:space="preserve"> </w:t>
            </w:r>
          </w:p>
          <w:p w:rsidR="009C6A81" w:rsidRDefault="00ED5651">
            <w:pPr>
              <w:jc w:val="left"/>
              <w:rPr>
                <w:sz w:val="20"/>
                <w:szCs w:val="20"/>
              </w:rPr>
            </w:pPr>
            <w:r>
              <w:rPr>
                <w:sz w:val="20"/>
                <w:szCs w:val="20"/>
              </w:rPr>
              <w:t>This statement is deemed to satisfy the following EtD criteria:</w:t>
            </w:r>
          </w:p>
          <w:p w:rsidR="009C6A81" w:rsidRDefault="00ED5651">
            <w:pPr>
              <w:numPr>
                <w:ilvl w:val="0"/>
                <w:numId w:val="87"/>
              </w:numPr>
              <w:rPr>
                <w:sz w:val="20"/>
                <w:szCs w:val="20"/>
              </w:rPr>
            </w:pPr>
            <w:r>
              <w:rPr>
                <w:b/>
                <w:sz w:val="20"/>
                <w:szCs w:val="20"/>
              </w:rPr>
              <w:t>Values</w:t>
            </w:r>
            <w:r>
              <w:rPr>
                <w:b/>
                <w:sz w:val="20"/>
                <w:szCs w:val="20"/>
              </w:rPr>
              <w:t xml:space="preserve">: </w:t>
            </w:r>
            <w:r>
              <w:rPr>
                <w:sz w:val="20"/>
                <w:szCs w:val="20"/>
              </w:rPr>
              <w:t xml:space="preserve">Probably all or almost all people living with obesity would place a high value on the improvement in health and quality of life as a result of using </w:t>
            </w:r>
            <w:r>
              <w:rPr>
                <w:sz w:val="20"/>
                <w:szCs w:val="20"/>
              </w:rPr>
              <w:lastRenderedPageBreak/>
              <w:t xml:space="preserve">pharmacotherapy as an adjuvant and never alone. </w:t>
            </w:r>
          </w:p>
          <w:p w:rsidR="009C6A81" w:rsidRDefault="00ED5651">
            <w:pPr>
              <w:numPr>
                <w:ilvl w:val="0"/>
                <w:numId w:val="87"/>
              </w:numPr>
              <w:rPr>
                <w:sz w:val="20"/>
                <w:szCs w:val="20"/>
              </w:rPr>
            </w:pPr>
            <w:r>
              <w:rPr>
                <w:b/>
                <w:sz w:val="20"/>
                <w:szCs w:val="20"/>
              </w:rPr>
              <w:t>Magnitude of resource requirements:</w:t>
            </w:r>
            <w:r>
              <w:rPr>
                <w:sz w:val="20"/>
                <w:szCs w:val="20"/>
              </w:rPr>
              <w:t xml:space="preserve"> The use of drugs com</w:t>
            </w:r>
            <w:r>
              <w:rPr>
                <w:sz w:val="20"/>
                <w:szCs w:val="20"/>
              </w:rPr>
              <w:t>plementing the treatment of obesity requires a cost that could be of moderate to high magnitude, considering that this therapy is often indicated on a permanent basis.</w:t>
            </w:r>
          </w:p>
          <w:p w:rsidR="009C6A81" w:rsidRDefault="00ED5651">
            <w:pPr>
              <w:numPr>
                <w:ilvl w:val="0"/>
                <w:numId w:val="87"/>
              </w:numPr>
              <w:rPr>
                <w:sz w:val="20"/>
                <w:szCs w:val="20"/>
              </w:rPr>
            </w:pPr>
            <w:r>
              <w:rPr>
                <w:b/>
                <w:sz w:val="20"/>
                <w:szCs w:val="20"/>
              </w:rPr>
              <w:t>Cost-effectiveness:</w:t>
            </w:r>
            <w:r>
              <w:rPr>
                <w:sz w:val="20"/>
                <w:szCs w:val="20"/>
              </w:rPr>
              <w:t xml:space="preserve"> Although the use of drugs to complement the treatment of obesity mea</w:t>
            </w:r>
            <w:r>
              <w:rPr>
                <w:sz w:val="20"/>
                <w:szCs w:val="20"/>
              </w:rPr>
              <w:t>ns an additional economic cost, the benefits obtained in achieving favorable results and maintaining them over time avoids wasting resources on people who abandon their treatment due to lack of motivation and reduces the costs associated with complications</w:t>
            </w:r>
            <w:r>
              <w:rPr>
                <w:sz w:val="20"/>
                <w:szCs w:val="20"/>
              </w:rPr>
              <w:t xml:space="preserve"> due to inadequate management of the disease.</w:t>
            </w:r>
          </w:p>
          <w:p w:rsidR="009C6A81" w:rsidRDefault="00ED5651">
            <w:pPr>
              <w:numPr>
                <w:ilvl w:val="0"/>
                <w:numId w:val="87"/>
              </w:numPr>
              <w:rPr>
                <w:sz w:val="20"/>
                <w:szCs w:val="20"/>
              </w:rPr>
            </w:pPr>
            <w:r>
              <w:rPr>
                <w:b/>
                <w:sz w:val="20"/>
                <w:szCs w:val="20"/>
              </w:rPr>
              <w:t>Equity</w:t>
            </w:r>
            <w:r>
              <w:rPr>
                <w:sz w:val="20"/>
                <w:szCs w:val="20"/>
              </w:rPr>
              <w:t>: Complementing obesity treatment with pharmacological therapies could accentuate inequality in some groups due to the extra cost associated with medications. On the other hand, disadvantaged groups (e.g.</w:t>
            </w:r>
            <w:r>
              <w:rPr>
                <w:sz w:val="20"/>
                <w:szCs w:val="20"/>
              </w:rPr>
              <w:t xml:space="preserve">, because of low educational and socioeconomic status or rurality) may face barriers to achieving behavioral changes through lifestyle interventions and may benefit from the addition of pharmacological therapy. </w:t>
            </w:r>
          </w:p>
          <w:p w:rsidR="009C6A81" w:rsidRDefault="00ED5651">
            <w:pPr>
              <w:numPr>
                <w:ilvl w:val="0"/>
                <w:numId w:val="87"/>
              </w:numPr>
              <w:rPr>
                <w:sz w:val="20"/>
                <w:szCs w:val="20"/>
              </w:rPr>
            </w:pPr>
            <w:r>
              <w:rPr>
                <w:b/>
                <w:sz w:val="20"/>
                <w:szCs w:val="20"/>
              </w:rPr>
              <w:t xml:space="preserve">Acceptability: </w:t>
            </w:r>
            <w:r>
              <w:rPr>
                <w:sz w:val="20"/>
                <w:szCs w:val="20"/>
              </w:rPr>
              <w:t>It would be acceptable to key</w:t>
            </w:r>
            <w:r>
              <w:rPr>
                <w:sz w:val="20"/>
                <w:szCs w:val="20"/>
              </w:rPr>
              <w:t xml:space="preserve"> actors. Most patients would positively perceive having a pharmacological complement to achieve greater health benefits. However, some of them might consider that pharmacotherapy would be sufficient on its own and not as an adjunct.</w:t>
            </w:r>
          </w:p>
          <w:p w:rsidR="009C6A81" w:rsidRDefault="00ED5651">
            <w:pPr>
              <w:numPr>
                <w:ilvl w:val="0"/>
                <w:numId w:val="87"/>
              </w:numPr>
              <w:rPr>
                <w:sz w:val="20"/>
                <w:szCs w:val="20"/>
              </w:rPr>
            </w:pPr>
            <w:r>
              <w:rPr>
                <w:b/>
                <w:sz w:val="20"/>
                <w:szCs w:val="20"/>
              </w:rPr>
              <w:t>Factibility:</w:t>
            </w:r>
            <w:r>
              <w:rPr>
                <w:sz w:val="20"/>
                <w:szCs w:val="20"/>
              </w:rPr>
              <w:t xml:space="preserve">  It would </w:t>
            </w:r>
            <w:r>
              <w:rPr>
                <w:sz w:val="20"/>
                <w:szCs w:val="20"/>
              </w:rPr>
              <w:t xml:space="preserve">probably be feasible to prescribe pharmacological therapy as an adjuvant. Factors affecting implementation such as the cost of medications and people's </w:t>
            </w:r>
            <w:r>
              <w:rPr>
                <w:sz w:val="20"/>
                <w:szCs w:val="20"/>
              </w:rPr>
              <w:lastRenderedPageBreak/>
              <w:t>perceptions should be considered in order to maintain the goals of comprehensive treatment.</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76"/>
              </w:numPr>
              <w:jc w:val="left"/>
              <w:rPr>
                <w:sz w:val="20"/>
                <w:szCs w:val="20"/>
              </w:rPr>
            </w:pPr>
            <w:r>
              <w:rPr>
                <w:b/>
                <w:sz w:val="20"/>
                <w:szCs w:val="20"/>
              </w:rPr>
              <w:t>Yes</w:t>
            </w:r>
          </w:p>
          <w:p w:rsidR="009C6A81" w:rsidRDefault="00ED5651">
            <w:pPr>
              <w:numPr>
                <w:ilvl w:val="0"/>
                <w:numId w:val="76"/>
              </w:numPr>
              <w:jc w:val="left"/>
              <w:rPr>
                <w:color w:val="AEAAAA"/>
                <w:sz w:val="20"/>
                <w:szCs w:val="20"/>
              </w:rPr>
            </w:pPr>
            <w:r>
              <w:rPr>
                <w:color w:val="AEAAAA"/>
                <w:sz w:val="20"/>
                <w:szCs w:val="20"/>
              </w:rPr>
              <w:t>Probably yes</w:t>
            </w:r>
          </w:p>
          <w:p w:rsidR="009C6A81" w:rsidRDefault="00ED5651">
            <w:pPr>
              <w:numPr>
                <w:ilvl w:val="0"/>
                <w:numId w:val="76"/>
              </w:numPr>
              <w:jc w:val="left"/>
              <w:rPr>
                <w:color w:val="AEAAAA"/>
                <w:sz w:val="20"/>
                <w:szCs w:val="20"/>
              </w:rPr>
            </w:pPr>
            <w:r>
              <w:rPr>
                <w:color w:val="AEAAAA"/>
                <w:sz w:val="20"/>
                <w:szCs w:val="20"/>
              </w:rPr>
              <w:t>Probably not</w:t>
            </w:r>
          </w:p>
          <w:p w:rsidR="009C6A81" w:rsidRDefault="00ED5651">
            <w:pPr>
              <w:numPr>
                <w:ilvl w:val="0"/>
                <w:numId w:val="76"/>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Internationa</w:t>
            </w:r>
            <w:r>
              <w:rPr>
                <w:sz w:val="20"/>
                <w:szCs w:val="20"/>
              </w:rPr>
              <w:t>l consensus recognizes that behavioral (or lifestyle) interventions are the mainstay of treatment for overweight or obesity. As in other chronic diseases, indicating pharmacological therapy in isolation could end up causing harm. This practice is assumed t</w:t>
            </w:r>
            <w:r>
              <w:rPr>
                <w:sz w:val="20"/>
                <w:szCs w:val="20"/>
              </w:rPr>
              <w:t>o be necessary out of logic and common sense, which is why collecting, summarizing and formally discussing the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76"/>
              </w:numPr>
              <w:jc w:val="left"/>
              <w:rPr>
                <w:sz w:val="20"/>
                <w:szCs w:val="20"/>
              </w:rPr>
            </w:pPr>
            <w:r>
              <w:rPr>
                <w:b/>
                <w:sz w:val="20"/>
                <w:szCs w:val="20"/>
              </w:rPr>
              <w:t>Yes</w:t>
            </w:r>
          </w:p>
          <w:p w:rsidR="009C6A81" w:rsidRDefault="00ED5651">
            <w:pPr>
              <w:numPr>
                <w:ilvl w:val="0"/>
                <w:numId w:val="76"/>
              </w:numPr>
              <w:jc w:val="left"/>
              <w:rPr>
                <w:color w:val="AEAAAA"/>
                <w:sz w:val="20"/>
                <w:szCs w:val="20"/>
              </w:rPr>
            </w:pPr>
            <w:r>
              <w:rPr>
                <w:color w:val="AEAAAA"/>
                <w:sz w:val="20"/>
                <w:szCs w:val="20"/>
              </w:rPr>
              <w:t>Probably yes</w:t>
            </w:r>
          </w:p>
          <w:p w:rsidR="009C6A81" w:rsidRDefault="00ED5651">
            <w:pPr>
              <w:numPr>
                <w:ilvl w:val="0"/>
                <w:numId w:val="76"/>
              </w:numPr>
              <w:jc w:val="left"/>
              <w:rPr>
                <w:color w:val="AEAAAA"/>
                <w:sz w:val="20"/>
                <w:szCs w:val="20"/>
              </w:rPr>
            </w:pPr>
            <w:r>
              <w:rPr>
                <w:color w:val="AEAAAA"/>
                <w:sz w:val="20"/>
                <w:szCs w:val="20"/>
              </w:rPr>
              <w:t>Probably not</w:t>
            </w:r>
          </w:p>
          <w:p w:rsidR="009C6A81" w:rsidRDefault="00ED5651">
            <w:pPr>
              <w:numPr>
                <w:ilvl w:val="0"/>
                <w:numId w:val="76"/>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 xml:space="preserve">Indirect evidence from Canadian (1) and European (2) clinical practice guidelines was identified to support this good practice statement. In them, it was found that pharmacotherapy can be used in people with BMI ≥ 30 kg/m2 or </w:t>
            </w:r>
            <w:r>
              <w:rPr>
                <w:sz w:val="20"/>
                <w:szCs w:val="20"/>
              </w:rPr>
              <w:t>BMI ≥ 27 kg/m2 with complications related to adipose tissue accumulation, as it brings benefits in weight control, prevent the development of type 2 diabetes, and improve complications or indicators associated with other complications such as type 2 diabet</w:t>
            </w:r>
            <w:r>
              <w:rPr>
                <w:sz w:val="20"/>
                <w:szCs w:val="20"/>
              </w:rPr>
              <w:t>es, obstructive sleep apnea, and liver disease associated with metabolic dysfunction. Additionally, the US guidelines (3) state that greater benefits would be obtained by using pharmacological therapy as an adjunct to lifestyle interventions versus lifesty</w:t>
            </w:r>
            <w:r>
              <w:rPr>
                <w:sz w:val="20"/>
                <w:szCs w:val="20"/>
              </w:rPr>
              <w:t>le changes alone.</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76"/>
              </w:numPr>
              <w:jc w:val="left"/>
              <w:rPr>
                <w:sz w:val="20"/>
                <w:szCs w:val="20"/>
              </w:rPr>
            </w:pPr>
            <w:r>
              <w:rPr>
                <w:b/>
                <w:sz w:val="20"/>
                <w:szCs w:val="20"/>
              </w:rPr>
              <w:t>Yes</w:t>
            </w:r>
          </w:p>
          <w:p w:rsidR="009C6A81" w:rsidRDefault="00ED5651">
            <w:pPr>
              <w:numPr>
                <w:ilvl w:val="0"/>
                <w:numId w:val="76"/>
              </w:numPr>
              <w:jc w:val="left"/>
              <w:rPr>
                <w:color w:val="AEAAAA"/>
                <w:sz w:val="20"/>
                <w:szCs w:val="20"/>
              </w:rPr>
            </w:pPr>
            <w:r>
              <w:rPr>
                <w:color w:val="AEAAAA"/>
                <w:sz w:val="20"/>
                <w:szCs w:val="20"/>
              </w:rPr>
              <w:t>Probably yes</w:t>
            </w:r>
          </w:p>
          <w:p w:rsidR="009C6A81" w:rsidRDefault="00ED5651">
            <w:pPr>
              <w:numPr>
                <w:ilvl w:val="0"/>
                <w:numId w:val="76"/>
              </w:numPr>
              <w:jc w:val="left"/>
              <w:rPr>
                <w:color w:val="AEAAAA"/>
                <w:sz w:val="20"/>
                <w:szCs w:val="20"/>
              </w:rPr>
            </w:pPr>
            <w:r>
              <w:rPr>
                <w:color w:val="AEAAAA"/>
                <w:sz w:val="20"/>
                <w:szCs w:val="20"/>
              </w:rPr>
              <w:t>Probably not</w:t>
            </w:r>
          </w:p>
          <w:p w:rsidR="009C6A81" w:rsidRDefault="00ED5651">
            <w:pPr>
              <w:numPr>
                <w:ilvl w:val="0"/>
                <w:numId w:val="76"/>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 xml:space="preserve">This statement sets out a clear course of action: that health professionals should prescribe pharmacological therapy as an adjunct to behavioral interventions </w:t>
            </w:r>
            <w:r>
              <w:rPr>
                <w:sz w:val="20"/>
                <w:szCs w:val="20"/>
              </w:rPr>
              <w:t>and never in isolation.</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83"/>
              </w:numPr>
              <w:tabs>
                <w:tab w:val="left" w:pos="142"/>
              </w:tabs>
              <w:spacing w:line="276" w:lineRule="auto"/>
              <w:rPr>
                <w:sz w:val="18"/>
                <w:szCs w:val="18"/>
              </w:rPr>
            </w:pPr>
            <w:r>
              <w:rPr>
                <w:sz w:val="18"/>
                <w:szCs w:val="18"/>
              </w:rPr>
              <w:t xml:space="preserve">Pedersen SD, Manjoo P, Wharton S. Canadian Adult Obesity Clinical Practice Guidelines: Pharmacotherapy for Obesity Management. Available from: </w:t>
            </w:r>
            <w:hyperlink r:id="rId51">
              <w:r>
                <w:rPr>
                  <w:color w:val="1155CC"/>
                  <w:sz w:val="18"/>
                  <w:szCs w:val="18"/>
                  <w:u w:val="single"/>
                </w:rPr>
                <w:t>https://obesitycanada.ca/guidelines/pharmacotherapy</w:t>
              </w:r>
            </w:hyperlink>
          </w:p>
          <w:p w:rsidR="009C6A81" w:rsidRDefault="00ED5651">
            <w:pPr>
              <w:numPr>
                <w:ilvl w:val="0"/>
                <w:numId w:val="83"/>
              </w:numPr>
              <w:tabs>
                <w:tab w:val="left" w:pos="142"/>
              </w:tabs>
              <w:spacing w:line="276" w:lineRule="auto"/>
              <w:rPr>
                <w:sz w:val="18"/>
                <w:szCs w:val="18"/>
              </w:rPr>
            </w:pPr>
            <w:r>
              <w:rPr>
                <w:sz w:val="18"/>
                <w:szCs w:val="18"/>
              </w:rPr>
              <w:t>Yumuk V, Tsigos C, Fried M, et al. European Guidelines for Obesity Management in Adults [published correction appears in Obes Facts. 2016;9(1):64. doi: 10.1159/000444869]. Obes Facts. 2015;8(6):402-424. d</w:t>
            </w:r>
            <w:r>
              <w:rPr>
                <w:sz w:val="18"/>
                <w:szCs w:val="18"/>
              </w:rPr>
              <w:t>oi:10.1159/000442721</w:t>
            </w:r>
          </w:p>
          <w:p w:rsidR="009C6A81" w:rsidRDefault="00ED5651">
            <w:pPr>
              <w:numPr>
                <w:ilvl w:val="0"/>
                <w:numId w:val="83"/>
              </w:numPr>
              <w:tabs>
                <w:tab w:val="left" w:pos="142"/>
              </w:tabs>
              <w:spacing w:line="276" w:lineRule="auto"/>
              <w:rPr>
                <w:sz w:val="18"/>
                <w:szCs w:val="18"/>
              </w:rPr>
            </w:pPr>
            <w:r>
              <w:rPr>
                <w:sz w:val="18"/>
                <w:szCs w:val="18"/>
              </w:rPr>
              <w:t xml:space="preserve">Garvey WT, Mechanick JI, Brett EM, et al. AMERICAN ASSOCIATION OF CLINICAL ENDOCRINOLOGISTS AND AMERICAN COLLEGE OF ENDOCRINOLOGY COMPREHENSIVE CLINICAL PRACTICE GUIDELINES FOR </w:t>
            </w:r>
            <w:r>
              <w:rPr>
                <w:sz w:val="18"/>
                <w:szCs w:val="18"/>
              </w:rPr>
              <w:lastRenderedPageBreak/>
              <w:t>MEDICAL CARE OF PATIENTS WITH OBESITY. Endocr Pract. 2016;</w:t>
            </w:r>
            <w:r>
              <w:rPr>
                <w:sz w:val="18"/>
                <w:szCs w:val="18"/>
              </w:rPr>
              <w:t>22 Suppl 3:1-203. doi:10.4158/EP161365.GL</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73" w:name="_1o97atn" w:colFirst="0" w:colLast="0"/>
      <w:bookmarkEnd w:id="73"/>
      <w:r>
        <w:t>Good practice statement 17. Healthcare professionals prescribing pharmacotherapy should consider it for patients who have overweight (BMI ≥ 27 kg/m²) with related adiposity-related comorbidities, or for patients with obesity (BMI ≥ 30 kg/m²), in conjunctio</w:t>
      </w:r>
      <w:r>
        <w:t>n with nutritional counseling, psychological support, and physical activity prescription.</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f"/>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22"/>
              </w:numPr>
              <w:jc w:val="left"/>
              <w:rPr>
                <w:sz w:val="20"/>
                <w:szCs w:val="20"/>
              </w:rPr>
            </w:pPr>
            <w:r>
              <w:rPr>
                <w:b/>
                <w:sz w:val="20"/>
                <w:szCs w:val="20"/>
              </w:rPr>
              <w:t>Yes</w:t>
            </w:r>
          </w:p>
          <w:p w:rsidR="009C6A81" w:rsidRDefault="00ED5651">
            <w:pPr>
              <w:numPr>
                <w:ilvl w:val="0"/>
                <w:numId w:val="22"/>
              </w:numPr>
              <w:jc w:val="left"/>
              <w:rPr>
                <w:color w:val="AEAAAA"/>
                <w:sz w:val="20"/>
                <w:szCs w:val="20"/>
              </w:rPr>
            </w:pPr>
            <w:r>
              <w:rPr>
                <w:color w:val="AEAAAA"/>
                <w:sz w:val="20"/>
                <w:szCs w:val="20"/>
              </w:rPr>
              <w:t>Probably yes</w:t>
            </w:r>
          </w:p>
          <w:p w:rsidR="009C6A81" w:rsidRDefault="00ED5651">
            <w:pPr>
              <w:numPr>
                <w:ilvl w:val="0"/>
                <w:numId w:val="22"/>
              </w:numPr>
              <w:jc w:val="left"/>
              <w:rPr>
                <w:color w:val="AEAAAA"/>
                <w:sz w:val="20"/>
                <w:szCs w:val="20"/>
              </w:rPr>
            </w:pPr>
            <w:r>
              <w:rPr>
                <w:color w:val="AEAAAA"/>
                <w:sz w:val="20"/>
                <w:szCs w:val="20"/>
              </w:rPr>
              <w:t>Probably not</w:t>
            </w:r>
          </w:p>
          <w:p w:rsidR="009C6A81" w:rsidRDefault="00ED5651">
            <w:pPr>
              <w:numPr>
                <w:ilvl w:val="0"/>
                <w:numId w:val="22"/>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w:t>
            </w:r>
            <w:r>
              <w:rPr>
                <w:b/>
                <w:sz w:val="20"/>
                <w:szCs w:val="20"/>
              </w:rPr>
              <w:t>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22"/>
              </w:numPr>
              <w:jc w:val="left"/>
              <w:rPr>
                <w:sz w:val="20"/>
                <w:szCs w:val="20"/>
              </w:rPr>
            </w:pPr>
            <w:r>
              <w:rPr>
                <w:b/>
                <w:sz w:val="20"/>
                <w:szCs w:val="20"/>
              </w:rPr>
              <w:t>Yes</w:t>
            </w:r>
          </w:p>
          <w:p w:rsidR="009C6A81" w:rsidRDefault="00ED5651">
            <w:pPr>
              <w:numPr>
                <w:ilvl w:val="0"/>
                <w:numId w:val="22"/>
              </w:numPr>
              <w:jc w:val="left"/>
              <w:rPr>
                <w:color w:val="AEAAAA"/>
                <w:sz w:val="20"/>
                <w:szCs w:val="20"/>
              </w:rPr>
            </w:pPr>
            <w:r>
              <w:rPr>
                <w:color w:val="AEAAAA"/>
                <w:sz w:val="20"/>
                <w:szCs w:val="20"/>
              </w:rPr>
              <w:t>Probably yes</w:t>
            </w:r>
          </w:p>
          <w:p w:rsidR="009C6A81" w:rsidRDefault="00ED5651">
            <w:pPr>
              <w:numPr>
                <w:ilvl w:val="0"/>
                <w:numId w:val="22"/>
              </w:numPr>
              <w:jc w:val="left"/>
              <w:rPr>
                <w:color w:val="AEAAAA"/>
                <w:sz w:val="20"/>
                <w:szCs w:val="20"/>
              </w:rPr>
            </w:pPr>
            <w:r>
              <w:rPr>
                <w:color w:val="AEAAAA"/>
                <w:sz w:val="20"/>
                <w:szCs w:val="20"/>
              </w:rPr>
              <w:t>Probably not</w:t>
            </w:r>
          </w:p>
          <w:p w:rsidR="009C6A81" w:rsidRDefault="00ED5651">
            <w:pPr>
              <w:numPr>
                <w:ilvl w:val="0"/>
                <w:numId w:val="22"/>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115"/>
              </w:numPr>
              <w:rPr>
                <w:sz w:val="20"/>
                <w:szCs w:val="20"/>
              </w:rPr>
            </w:pPr>
            <w:r>
              <w:rPr>
                <w:b/>
                <w:sz w:val="20"/>
                <w:szCs w:val="20"/>
              </w:rPr>
              <w:t>Population</w:t>
            </w:r>
            <w:r>
              <w:rPr>
                <w:sz w:val="20"/>
                <w:szCs w:val="20"/>
              </w:rPr>
              <w:t>: people living with overweight with an adiposopathy-related comorbidity and people living  with obesity.</w:t>
            </w:r>
          </w:p>
          <w:p w:rsidR="009C6A81" w:rsidRDefault="00ED5651">
            <w:pPr>
              <w:numPr>
                <w:ilvl w:val="0"/>
                <w:numId w:val="115"/>
              </w:numPr>
              <w:rPr>
                <w:sz w:val="20"/>
                <w:szCs w:val="20"/>
              </w:rPr>
            </w:pPr>
            <w:r>
              <w:rPr>
                <w:b/>
                <w:sz w:val="20"/>
                <w:szCs w:val="20"/>
              </w:rPr>
              <w:t>Intervention</w:t>
            </w:r>
            <w:r>
              <w:rPr>
                <w:sz w:val="20"/>
                <w:szCs w:val="20"/>
              </w:rPr>
              <w:t>: pharmacotherapy as a treatment in conjunction with nutritional care, psychological care and physical activity prescription.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22"/>
              </w:numPr>
              <w:jc w:val="left"/>
              <w:rPr>
                <w:sz w:val="20"/>
                <w:szCs w:val="20"/>
              </w:rPr>
            </w:pPr>
            <w:r>
              <w:rPr>
                <w:b/>
                <w:sz w:val="20"/>
                <w:szCs w:val="20"/>
              </w:rPr>
              <w:t>Yes</w:t>
            </w:r>
          </w:p>
          <w:p w:rsidR="009C6A81" w:rsidRDefault="00ED5651">
            <w:pPr>
              <w:numPr>
                <w:ilvl w:val="0"/>
                <w:numId w:val="22"/>
              </w:numPr>
              <w:jc w:val="left"/>
              <w:rPr>
                <w:color w:val="AEAAAA"/>
                <w:sz w:val="20"/>
                <w:szCs w:val="20"/>
              </w:rPr>
            </w:pPr>
            <w:r>
              <w:rPr>
                <w:color w:val="AEAAAA"/>
                <w:sz w:val="20"/>
                <w:szCs w:val="20"/>
              </w:rPr>
              <w:t>Probably yes</w:t>
            </w:r>
          </w:p>
          <w:p w:rsidR="009C6A81" w:rsidRDefault="00ED5651">
            <w:pPr>
              <w:numPr>
                <w:ilvl w:val="0"/>
                <w:numId w:val="22"/>
              </w:numPr>
              <w:jc w:val="left"/>
              <w:rPr>
                <w:color w:val="AEAAAA"/>
                <w:sz w:val="20"/>
                <w:szCs w:val="20"/>
              </w:rPr>
            </w:pPr>
            <w:r>
              <w:rPr>
                <w:color w:val="AEAAAA"/>
                <w:sz w:val="20"/>
                <w:szCs w:val="20"/>
              </w:rPr>
              <w:t>Probably not</w:t>
            </w:r>
          </w:p>
          <w:p w:rsidR="009C6A81" w:rsidRDefault="00ED5651">
            <w:pPr>
              <w:numPr>
                <w:ilvl w:val="0"/>
                <w:numId w:val="22"/>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Obesity is a complex chronic disease whose treatment requires a multimodal strategy to achieve the objectives proposed for each particular case. I</w:t>
            </w:r>
            <w:r>
              <w:rPr>
                <w:sz w:val="20"/>
                <w:szCs w:val="20"/>
              </w:rPr>
              <w:t>ts initial management should focus on behavioral change (eating habits and physical activity), however these may not be sufficient to achieve the expected results or maintain them in the long term, so additional therapies such as pharmacological therapy sh</w:t>
            </w:r>
            <w:r>
              <w:rPr>
                <w:sz w:val="20"/>
                <w:szCs w:val="20"/>
              </w:rPr>
              <w:t>ould be considered.</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t xml:space="preserve">2. Implementing the good practice statement results in a large net positive consequence (i.e. </w:t>
            </w:r>
            <w:r>
              <w:rPr>
                <w:b/>
                <w:sz w:val="20"/>
                <w:szCs w:val="20"/>
              </w:rPr>
              <w:lastRenderedPageBreak/>
              <w:t xml:space="preserve">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16"/>
              </w:numPr>
              <w:jc w:val="left"/>
              <w:rPr>
                <w:sz w:val="20"/>
                <w:szCs w:val="20"/>
              </w:rPr>
            </w:pPr>
            <w:r>
              <w:rPr>
                <w:b/>
                <w:sz w:val="20"/>
                <w:szCs w:val="20"/>
              </w:rPr>
              <w:lastRenderedPageBreak/>
              <w:t>Yes</w:t>
            </w:r>
          </w:p>
          <w:p w:rsidR="009C6A81" w:rsidRDefault="00ED5651">
            <w:pPr>
              <w:numPr>
                <w:ilvl w:val="0"/>
                <w:numId w:val="16"/>
              </w:numPr>
              <w:jc w:val="left"/>
              <w:rPr>
                <w:color w:val="AEAAAA"/>
                <w:sz w:val="20"/>
                <w:szCs w:val="20"/>
              </w:rPr>
            </w:pPr>
            <w:r>
              <w:rPr>
                <w:color w:val="AEAAAA"/>
                <w:sz w:val="20"/>
                <w:szCs w:val="20"/>
              </w:rPr>
              <w:t>Probably yes</w:t>
            </w:r>
          </w:p>
          <w:p w:rsidR="009C6A81" w:rsidRDefault="00ED5651">
            <w:pPr>
              <w:numPr>
                <w:ilvl w:val="0"/>
                <w:numId w:val="16"/>
              </w:numPr>
              <w:jc w:val="left"/>
              <w:rPr>
                <w:color w:val="AEAAAA"/>
                <w:sz w:val="20"/>
                <w:szCs w:val="20"/>
              </w:rPr>
            </w:pPr>
            <w:r>
              <w:rPr>
                <w:color w:val="AEAAAA"/>
                <w:sz w:val="20"/>
                <w:szCs w:val="20"/>
              </w:rPr>
              <w:t>Probably not</w:t>
            </w:r>
          </w:p>
          <w:p w:rsidR="009C6A81" w:rsidRDefault="00ED5651">
            <w:pPr>
              <w:numPr>
                <w:ilvl w:val="0"/>
                <w:numId w:val="16"/>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20"/>
              </w:numPr>
              <w:jc w:val="left"/>
              <w:rPr>
                <w:sz w:val="20"/>
                <w:szCs w:val="20"/>
              </w:rPr>
            </w:pPr>
            <w:r>
              <w:rPr>
                <w:color w:val="AEAAAA"/>
                <w:sz w:val="20"/>
                <w:szCs w:val="20"/>
              </w:rPr>
              <w:t>Importance of the problem.</w:t>
            </w:r>
          </w:p>
          <w:p w:rsidR="009C6A81" w:rsidRDefault="00ED5651">
            <w:pPr>
              <w:numPr>
                <w:ilvl w:val="0"/>
                <w:numId w:val="20"/>
              </w:numPr>
              <w:jc w:val="left"/>
              <w:rPr>
                <w:color w:val="AEAAAA"/>
                <w:sz w:val="20"/>
                <w:szCs w:val="20"/>
              </w:rPr>
            </w:pPr>
            <w:r>
              <w:rPr>
                <w:color w:val="AEAAAA"/>
                <w:sz w:val="20"/>
                <w:szCs w:val="20"/>
              </w:rPr>
              <w:t>Certainty of evidence.</w:t>
            </w:r>
          </w:p>
          <w:p w:rsidR="009C6A81" w:rsidRDefault="00ED5651">
            <w:pPr>
              <w:numPr>
                <w:ilvl w:val="0"/>
                <w:numId w:val="20"/>
              </w:numPr>
              <w:jc w:val="left"/>
              <w:rPr>
                <w:sz w:val="20"/>
                <w:szCs w:val="20"/>
              </w:rPr>
            </w:pPr>
            <w:r>
              <w:rPr>
                <w:sz w:val="20"/>
                <w:szCs w:val="20"/>
              </w:rPr>
              <w:t>Values.</w:t>
            </w:r>
          </w:p>
          <w:p w:rsidR="009C6A81" w:rsidRDefault="00ED5651">
            <w:pPr>
              <w:numPr>
                <w:ilvl w:val="0"/>
                <w:numId w:val="20"/>
              </w:numPr>
              <w:jc w:val="left"/>
              <w:rPr>
                <w:sz w:val="20"/>
                <w:szCs w:val="20"/>
              </w:rPr>
            </w:pPr>
            <w:r>
              <w:rPr>
                <w:sz w:val="20"/>
                <w:szCs w:val="20"/>
              </w:rPr>
              <w:t>Magnitude of resource requirements.</w:t>
            </w:r>
          </w:p>
          <w:p w:rsidR="009C6A81" w:rsidRDefault="00ED5651">
            <w:pPr>
              <w:numPr>
                <w:ilvl w:val="0"/>
                <w:numId w:val="20"/>
              </w:numPr>
              <w:jc w:val="left"/>
              <w:rPr>
                <w:color w:val="AEAAAA"/>
                <w:sz w:val="20"/>
                <w:szCs w:val="20"/>
              </w:rPr>
            </w:pPr>
            <w:r>
              <w:rPr>
                <w:color w:val="AEAAAA"/>
                <w:sz w:val="20"/>
                <w:szCs w:val="20"/>
              </w:rPr>
              <w:t>Certainty of evidence or resource use.</w:t>
            </w:r>
          </w:p>
          <w:p w:rsidR="009C6A81" w:rsidRDefault="00ED5651">
            <w:pPr>
              <w:numPr>
                <w:ilvl w:val="0"/>
                <w:numId w:val="20"/>
              </w:numPr>
              <w:jc w:val="left"/>
              <w:rPr>
                <w:sz w:val="20"/>
                <w:szCs w:val="20"/>
              </w:rPr>
            </w:pPr>
            <w:r>
              <w:rPr>
                <w:sz w:val="20"/>
                <w:szCs w:val="20"/>
              </w:rPr>
              <w:t>Cost-effectiveness.</w:t>
            </w:r>
          </w:p>
          <w:p w:rsidR="009C6A81" w:rsidRDefault="00ED5651">
            <w:pPr>
              <w:numPr>
                <w:ilvl w:val="0"/>
                <w:numId w:val="20"/>
              </w:numPr>
              <w:jc w:val="left"/>
              <w:rPr>
                <w:sz w:val="20"/>
                <w:szCs w:val="20"/>
              </w:rPr>
            </w:pPr>
            <w:r>
              <w:rPr>
                <w:sz w:val="20"/>
                <w:szCs w:val="20"/>
              </w:rPr>
              <w:t>Equity.</w:t>
            </w:r>
          </w:p>
          <w:p w:rsidR="009C6A81" w:rsidRDefault="00ED5651">
            <w:pPr>
              <w:numPr>
                <w:ilvl w:val="0"/>
                <w:numId w:val="20"/>
              </w:numPr>
              <w:jc w:val="left"/>
              <w:rPr>
                <w:sz w:val="20"/>
                <w:szCs w:val="20"/>
              </w:rPr>
            </w:pPr>
            <w:r>
              <w:rPr>
                <w:sz w:val="20"/>
                <w:szCs w:val="20"/>
              </w:rPr>
              <w:t>Acceptability.</w:t>
            </w:r>
          </w:p>
          <w:p w:rsidR="009C6A81" w:rsidRDefault="00ED5651">
            <w:pPr>
              <w:numPr>
                <w:ilvl w:val="0"/>
                <w:numId w:val="20"/>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jc w:val="left"/>
              <w:rPr>
                <w:sz w:val="20"/>
                <w:szCs w:val="20"/>
              </w:rPr>
            </w:pPr>
            <w:r>
              <w:rPr>
                <w:sz w:val="20"/>
                <w:szCs w:val="20"/>
              </w:rPr>
              <w:lastRenderedPageBreak/>
              <w:t xml:space="preserve">Based on the indirect evidence identified and the panel's experience, considering pharmacotherapy for people living with overweight (BMI ≥27 kg/m2) with some </w:t>
            </w:r>
            <w:r>
              <w:rPr>
                <w:sz w:val="20"/>
                <w:szCs w:val="20"/>
              </w:rPr>
              <w:lastRenderedPageBreak/>
              <w:t>comorbidity or those with obesity (BMI ≥30 kg/m2) likely translates into great benefit.</w:t>
            </w:r>
          </w:p>
          <w:p w:rsidR="009C6A81" w:rsidRDefault="00ED5651">
            <w:pPr>
              <w:jc w:val="left"/>
              <w:rPr>
                <w:sz w:val="20"/>
                <w:szCs w:val="20"/>
              </w:rPr>
            </w:pPr>
            <w:r>
              <w:rPr>
                <w:sz w:val="20"/>
                <w:szCs w:val="20"/>
              </w:rPr>
              <w:t xml:space="preserve"> </w:t>
            </w:r>
          </w:p>
          <w:p w:rsidR="009C6A81" w:rsidRDefault="00ED5651">
            <w:pPr>
              <w:jc w:val="left"/>
              <w:rPr>
                <w:sz w:val="20"/>
                <w:szCs w:val="20"/>
              </w:rPr>
            </w:pPr>
            <w:r>
              <w:rPr>
                <w:sz w:val="20"/>
                <w:szCs w:val="20"/>
              </w:rPr>
              <w:t>This statement is deemed to satisfy the following EtD criteria:</w:t>
            </w:r>
          </w:p>
          <w:p w:rsidR="009C6A81" w:rsidRDefault="00ED5651">
            <w:pPr>
              <w:numPr>
                <w:ilvl w:val="0"/>
                <w:numId w:val="13"/>
              </w:numPr>
              <w:rPr>
                <w:sz w:val="20"/>
                <w:szCs w:val="20"/>
              </w:rPr>
            </w:pPr>
            <w:r>
              <w:rPr>
                <w:b/>
                <w:sz w:val="20"/>
                <w:szCs w:val="20"/>
              </w:rPr>
              <w:t>Values:</w:t>
            </w:r>
            <w:r>
              <w:rPr>
                <w:sz w:val="20"/>
                <w:szCs w:val="20"/>
              </w:rPr>
              <w:t xml:space="preserve"> Probably all or almost all people living with obesity would place a high value on improvement in health and quality of life as a result of using pharmacotherapy in conjunction with nut</w:t>
            </w:r>
            <w:r>
              <w:rPr>
                <w:sz w:val="20"/>
                <w:szCs w:val="20"/>
              </w:rPr>
              <w:t>ritional and psychological care and prescription of physical activity. There is no reason to suspect variability in the values that people assign to the outcomes of pharmacotherapy for the treatment of overweight or obesity.</w:t>
            </w:r>
          </w:p>
          <w:p w:rsidR="009C6A81" w:rsidRDefault="00ED5651">
            <w:pPr>
              <w:numPr>
                <w:ilvl w:val="0"/>
                <w:numId w:val="13"/>
              </w:numPr>
              <w:rPr>
                <w:sz w:val="20"/>
                <w:szCs w:val="20"/>
              </w:rPr>
            </w:pPr>
            <w:r>
              <w:rPr>
                <w:b/>
                <w:sz w:val="20"/>
                <w:szCs w:val="20"/>
              </w:rPr>
              <w:t>Magnitude of resource requireme</w:t>
            </w:r>
            <w:r>
              <w:rPr>
                <w:b/>
                <w:sz w:val="20"/>
                <w:szCs w:val="20"/>
              </w:rPr>
              <w:t>nts:</w:t>
            </w:r>
            <w:r>
              <w:rPr>
                <w:sz w:val="20"/>
                <w:szCs w:val="20"/>
              </w:rPr>
              <w:t xml:space="preserve"> The use of pharmacotherapy as an adjuvant to the treatment of obesity requires a cost that could be of moderate to high magnitude, considering that this therapy is often indicated on a permanent basis.</w:t>
            </w:r>
          </w:p>
          <w:p w:rsidR="009C6A81" w:rsidRDefault="00ED5651">
            <w:pPr>
              <w:numPr>
                <w:ilvl w:val="0"/>
                <w:numId w:val="13"/>
              </w:numPr>
              <w:rPr>
                <w:sz w:val="20"/>
                <w:szCs w:val="20"/>
              </w:rPr>
            </w:pPr>
            <w:r>
              <w:rPr>
                <w:b/>
                <w:sz w:val="20"/>
                <w:szCs w:val="20"/>
              </w:rPr>
              <w:t>Cost-effectiveness:</w:t>
            </w:r>
            <w:r>
              <w:rPr>
                <w:sz w:val="20"/>
                <w:szCs w:val="20"/>
              </w:rPr>
              <w:t xml:space="preserve"> Although the use of pharmacot</w:t>
            </w:r>
            <w:r>
              <w:rPr>
                <w:sz w:val="20"/>
                <w:szCs w:val="20"/>
              </w:rPr>
              <w:t>herapy as complementary treatment for obesity means an additional economic cost, the benefits obtained in achieving favorable results and maintaining them over time avoids wasting resources on people who abandon their treatment due to lack of motivation an</w:t>
            </w:r>
            <w:r>
              <w:rPr>
                <w:sz w:val="20"/>
                <w:szCs w:val="20"/>
              </w:rPr>
              <w:t>d reduces the costs associated with complications due to inadequate management of the disease.</w:t>
            </w:r>
          </w:p>
          <w:p w:rsidR="009C6A81" w:rsidRDefault="00ED5651">
            <w:pPr>
              <w:numPr>
                <w:ilvl w:val="0"/>
                <w:numId w:val="13"/>
              </w:numPr>
              <w:rPr>
                <w:sz w:val="20"/>
                <w:szCs w:val="20"/>
              </w:rPr>
            </w:pPr>
            <w:r>
              <w:rPr>
                <w:b/>
                <w:sz w:val="20"/>
                <w:szCs w:val="20"/>
              </w:rPr>
              <w:t>Equity</w:t>
            </w:r>
            <w:r>
              <w:rPr>
                <w:sz w:val="20"/>
                <w:szCs w:val="20"/>
              </w:rPr>
              <w:t>: Complementing obesity treatment with pharmacological therapies could accentuate inequality in some groups due to the extra cost associated with medicatio</w:t>
            </w:r>
            <w:r>
              <w:rPr>
                <w:sz w:val="20"/>
                <w:szCs w:val="20"/>
              </w:rPr>
              <w:t xml:space="preserve">ns. On the other hand, disadvantaged groups (e.g., because of their low educational and socioeconomic level or rural location) may face barriers to achieving behavioral changes through nutritional, psychological and physical activity interventions </w:t>
            </w:r>
            <w:r>
              <w:rPr>
                <w:sz w:val="20"/>
                <w:szCs w:val="20"/>
              </w:rPr>
              <w:lastRenderedPageBreak/>
              <w:t xml:space="preserve">and may </w:t>
            </w:r>
            <w:r>
              <w:rPr>
                <w:sz w:val="20"/>
                <w:szCs w:val="20"/>
              </w:rPr>
              <w:t xml:space="preserve">benefit from the addition of pharmacological therapy. </w:t>
            </w:r>
          </w:p>
          <w:p w:rsidR="009C6A81" w:rsidRDefault="00ED5651">
            <w:pPr>
              <w:numPr>
                <w:ilvl w:val="0"/>
                <w:numId w:val="13"/>
              </w:numPr>
              <w:rPr>
                <w:sz w:val="20"/>
                <w:szCs w:val="20"/>
              </w:rPr>
            </w:pPr>
            <w:r>
              <w:rPr>
                <w:b/>
                <w:sz w:val="20"/>
                <w:szCs w:val="20"/>
              </w:rPr>
              <w:t xml:space="preserve">Acceptability: </w:t>
            </w:r>
            <w:r>
              <w:rPr>
                <w:sz w:val="20"/>
                <w:szCs w:val="20"/>
              </w:rPr>
              <w:t>It would be acceptable to key actors. Most patients would positively perceive having a pharmacological complement to achieve greater health benefits.</w:t>
            </w:r>
          </w:p>
          <w:p w:rsidR="009C6A81" w:rsidRDefault="00ED5651">
            <w:pPr>
              <w:numPr>
                <w:ilvl w:val="0"/>
                <w:numId w:val="13"/>
              </w:numPr>
              <w:rPr>
                <w:sz w:val="20"/>
                <w:szCs w:val="20"/>
              </w:rPr>
            </w:pPr>
            <w:r>
              <w:rPr>
                <w:b/>
                <w:sz w:val="20"/>
                <w:szCs w:val="20"/>
              </w:rPr>
              <w:t>Factibility:</w:t>
            </w:r>
            <w:r>
              <w:rPr>
                <w:sz w:val="20"/>
                <w:szCs w:val="20"/>
              </w:rPr>
              <w:t xml:space="preserve">  It would probably be f</w:t>
            </w:r>
            <w:r>
              <w:rPr>
                <w:sz w:val="20"/>
                <w:szCs w:val="20"/>
              </w:rPr>
              <w:t>easible to prescribe pharmacological therapy as an adjuvant. Factors affecting implementation such as the cost of medications and people's perceptions should be considered in order to maintain the goals of comprehensive treatment.</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22"/>
              </w:numPr>
              <w:jc w:val="left"/>
              <w:rPr>
                <w:sz w:val="20"/>
                <w:szCs w:val="20"/>
              </w:rPr>
            </w:pPr>
            <w:r>
              <w:rPr>
                <w:b/>
                <w:sz w:val="20"/>
                <w:szCs w:val="20"/>
              </w:rPr>
              <w:t>Yes</w:t>
            </w:r>
          </w:p>
          <w:p w:rsidR="009C6A81" w:rsidRDefault="00ED5651">
            <w:pPr>
              <w:numPr>
                <w:ilvl w:val="0"/>
                <w:numId w:val="22"/>
              </w:numPr>
              <w:jc w:val="left"/>
              <w:rPr>
                <w:color w:val="AEAAAA"/>
                <w:sz w:val="20"/>
                <w:szCs w:val="20"/>
              </w:rPr>
            </w:pPr>
            <w:r>
              <w:rPr>
                <w:color w:val="AEAAAA"/>
                <w:sz w:val="20"/>
                <w:szCs w:val="20"/>
              </w:rPr>
              <w:t>Probably yes</w:t>
            </w:r>
          </w:p>
          <w:p w:rsidR="009C6A81" w:rsidRDefault="00ED5651">
            <w:pPr>
              <w:numPr>
                <w:ilvl w:val="0"/>
                <w:numId w:val="22"/>
              </w:numPr>
              <w:jc w:val="left"/>
              <w:rPr>
                <w:color w:val="AEAAAA"/>
                <w:sz w:val="20"/>
                <w:szCs w:val="20"/>
              </w:rPr>
            </w:pPr>
            <w:r>
              <w:rPr>
                <w:color w:val="AEAAAA"/>
                <w:sz w:val="20"/>
                <w:szCs w:val="20"/>
              </w:rPr>
              <w:t>Probably not</w:t>
            </w:r>
          </w:p>
          <w:p w:rsidR="009C6A81" w:rsidRDefault="00ED5651">
            <w:pPr>
              <w:numPr>
                <w:ilvl w:val="0"/>
                <w:numId w:val="22"/>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Pharmacologi</w:t>
            </w:r>
            <w:r>
              <w:rPr>
                <w:sz w:val="20"/>
                <w:szCs w:val="20"/>
              </w:rPr>
              <w:t>c therapy has demonstrated benefits when given in conjunction with nutritional, psychological and physical activity interventions. There is no reason to think that not prescribing pharmacological therapy as an adjunct would be more beneficial than prescrib</w:t>
            </w:r>
            <w:r>
              <w:rPr>
                <w:sz w:val="20"/>
                <w:szCs w:val="20"/>
              </w:rPr>
              <w:t>ing it. This practice is assumed to be necessary out of logic and common sense, which is why collecting, summarizing and formally discussing the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22"/>
              </w:numPr>
              <w:jc w:val="left"/>
              <w:rPr>
                <w:sz w:val="20"/>
                <w:szCs w:val="20"/>
              </w:rPr>
            </w:pPr>
            <w:r>
              <w:rPr>
                <w:b/>
                <w:sz w:val="20"/>
                <w:szCs w:val="20"/>
              </w:rPr>
              <w:t>Yes</w:t>
            </w:r>
          </w:p>
          <w:p w:rsidR="009C6A81" w:rsidRDefault="00ED5651">
            <w:pPr>
              <w:numPr>
                <w:ilvl w:val="0"/>
                <w:numId w:val="22"/>
              </w:numPr>
              <w:jc w:val="left"/>
              <w:rPr>
                <w:color w:val="AEAAAA"/>
                <w:sz w:val="20"/>
                <w:szCs w:val="20"/>
              </w:rPr>
            </w:pPr>
            <w:r>
              <w:rPr>
                <w:color w:val="AEAAAA"/>
                <w:sz w:val="20"/>
                <w:szCs w:val="20"/>
              </w:rPr>
              <w:t>Probably yes</w:t>
            </w:r>
          </w:p>
          <w:p w:rsidR="009C6A81" w:rsidRDefault="00ED5651">
            <w:pPr>
              <w:numPr>
                <w:ilvl w:val="0"/>
                <w:numId w:val="22"/>
              </w:numPr>
              <w:jc w:val="left"/>
              <w:rPr>
                <w:color w:val="AEAAAA"/>
                <w:sz w:val="20"/>
                <w:szCs w:val="20"/>
              </w:rPr>
            </w:pPr>
            <w:r>
              <w:rPr>
                <w:color w:val="AEAAAA"/>
                <w:sz w:val="20"/>
                <w:szCs w:val="20"/>
              </w:rPr>
              <w:t>Probably not</w:t>
            </w:r>
          </w:p>
          <w:p w:rsidR="009C6A81" w:rsidRDefault="00ED5651">
            <w:pPr>
              <w:numPr>
                <w:ilvl w:val="0"/>
                <w:numId w:val="22"/>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Indirect evidence from Canadian (1) and European (2) clinical practice guidelines was identified to support this good practice stat</w:t>
            </w:r>
            <w:r>
              <w:rPr>
                <w:sz w:val="20"/>
                <w:szCs w:val="20"/>
              </w:rPr>
              <w:t>ement. In them, it was found that pharmacotherapy can be used in people with BMI ≥ 30 kg/m2 or BMI ≥ 27 kg/m2 with complications related to adipose tissue accumulation, as it brings benefits in weight control, prevent the development of type 2 diabetes, an</w:t>
            </w:r>
            <w:r>
              <w:rPr>
                <w:sz w:val="20"/>
                <w:szCs w:val="20"/>
              </w:rPr>
              <w:t xml:space="preserve">d improve complications or indicators associated with other complications such as type 2 diabetes, obstructive sleep apnea, and liver disease associated with metabolic dysfunction.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22"/>
              </w:numPr>
              <w:jc w:val="left"/>
              <w:rPr>
                <w:sz w:val="20"/>
                <w:szCs w:val="20"/>
              </w:rPr>
            </w:pPr>
            <w:r>
              <w:rPr>
                <w:b/>
                <w:sz w:val="20"/>
                <w:szCs w:val="20"/>
              </w:rPr>
              <w:t>Yes</w:t>
            </w:r>
          </w:p>
          <w:p w:rsidR="009C6A81" w:rsidRDefault="00ED5651">
            <w:pPr>
              <w:numPr>
                <w:ilvl w:val="0"/>
                <w:numId w:val="22"/>
              </w:numPr>
              <w:jc w:val="left"/>
              <w:rPr>
                <w:color w:val="AEAAAA"/>
                <w:sz w:val="20"/>
                <w:szCs w:val="20"/>
              </w:rPr>
            </w:pPr>
            <w:r>
              <w:rPr>
                <w:color w:val="AEAAAA"/>
                <w:sz w:val="20"/>
                <w:szCs w:val="20"/>
              </w:rPr>
              <w:t>Probably yes</w:t>
            </w:r>
          </w:p>
          <w:p w:rsidR="009C6A81" w:rsidRDefault="00ED5651">
            <w:pPr>
              <w:numPr>
                <w:ilvl w:val="0"/>
                <w:numId w:val="22"/>
              </w:numPr>
              <w:jc w:val="left"/>
              <w:rPr>
                <w:color w:val="AEAAAA"/>
                <w:sz w:val="20"/>
                <w:szCs w:val="20"/>
              </w:rPr>
            </w:pPr>
            <w:r>
              <w:rPr>
                <w:color w:val="AEAAAA"/>
                <w:sz w:val="20"/>
                <w:szCs w:val="20"/>
              </w:rPr>
              <w:t>Probably not</w:t>
            </w:r>
          </w:p>
          <w:p w:rsidR="009C6A81" w:rsidRDefault="00ED5651">
            <w:pPr>
              <w:numPr>
                <w:ilvl w:val="0"/>
                <w:numId w:val="22"/>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highlight w:val="yellow"/>
              </w:rPr>
            </w:pPr>
            <w:r>
              <w:rPr>
                <w:sz w:val="20"/>
                <w:szCs w:val="20"/>
              </w:rPr>
              <w:t>This statement sets out a clear course of action: health professionals should consider prescribing drug therapy in patients with obesity (BMI ≥30 kg/m2) or overweight (BMI ≥27 kg/m2) with some adiposopathy-related comorbidity in conjunction with nutri</w:t>
            </w:r>
            <w:r>
              <w:rPr>
                <w:sz w:val="20"/>
                <w:szCs w:val="20"/>
              </w:rPr>
              <w:t xml:space="preserve">tional </w:t>
            </w:r>
            <w:r>
              <w:rPr>
                <w:sz w:val="20"/>
                <w:szCs w:val="20"/>
              </w:rPr>
              <w:lastRenderedPageBreak/>
              <w:t>care, psychological care, and prescription of physical activity.</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48"/>
              </w:numPr>
              <w:tabs>
                <w:tab w:val="left" w:pos="142"/>
              </w:tabs>
              <w:spacing w:line="276" w:lineRule="auto"/>
              <w:rPr>
                <w:sz w:val="18"/>
                <w:szCs w:val="18"/>
              </w:rPr>
            </w:pPr>
            <w:r>
              <w:rPr>
                <w:sz w:val="18"/>
                <w:szCs w:val="18"/>
              </w:rPr>
              <w:lastRenderedPageBreak/>
              <w:t xml:space="preserve">Pedersen SD, Manjoo P, Wharton S. Canadian Adult Obesity Clinical Practice Guidelines: Pharmacotherapy for Obesity Management. Available from: </w:t>
            </w:r>
            <w:hyperlink r:id="rId52">
              <w:r>
                <w:rPr>
                  <w:color w:val="1155CC"/>
                  <w:sz w:val="18"/>
                  <w:szCs w:val="18"/>
                  <w:u w:val="single"/>
                </w:rPr>
                <w:t>https://obesitycanada.ca/guidelines/pharmacotherapy</w:t>
              </w:r>
            </w:hyperlink>
          </w:p>
          <w:p w:rsidR="009C6A81" w:rsidRDefault="00ED5651">
            <w:pPr>
              <w:numPr>
                <w:ilvl w:val="0"/>
                <w:numId w:val="48"/>
              </w:numPr>
              <w:tabs>
                <w:tab w:val="left" w:pos="142"/>
              </w:tabs>
              <w:spacing w:line="276" w:lineRule="auto"/>
              <w:rPr>
                <w:sz w:val="18"/>
                <w:szCs w:val="18"/>
              </w:rPr>
            </w:pPr>
            <w:r>
              <w:rPr>
                <w:sz w:val="18"/>
                <w:szCs w:val="18"/>
              </w:rPr>
              <w:t>Yumuk V, Tsigos C, Fried M, et al. European Guidelines for Obesity Management in Adults [published correction appears in Obes Facts. 20</w:t>
            </w:r>
            <w:r>
              <w:rPr>
                <w:sz w:val="18"/>
                <w:szCs w:val="18"/>
              </w:rPr>
              <w:t>16;9(1):64. doi: 10.1159/000444869]. Obes Facts. 2015;8(6):402-424. doi:10.1159/000442721</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74" w:name="_488uthg" w:colFirst="0" w:colLast="0"/>
      <w:bookmarkEnd w:id="74"/>
      <w:r>
        <w:t>Good practice statement 18. Healthcare professionals prescribing pharmacotherapy as an adjunct for the treatment of obesity should consider medications approved by</w:t>
      </w:r>
      <w:r>
        <w:t xml:space="preserve"> the Mexican national regulatory agency (COFEPRIS) and for long-term follow-up .</w:t>
      </w:r>
    </w:p>
    <w:p w:rsidR="009C6A81" w:rsidRDefault="009C6A81"/>
    <w:p w:rsidR="009C6A81" w:rsidRDefault="00ED5651">
      <w:pPr>
        <w:ind w:hanging="990"/>
      </w:pPr>
      <w:r>
        <w:t>Table. Summary of criteria for the formulation of good practice statements.</w:t>
      </w:r>
    </w:p>
    <w:p w:rsidR="009C6A81" w:rsidRDefault="009C6A81">
      <w:pPr>
        <w:jc w:val="left"/>
        <w:rPr>
          <w:sz w:val="24"/>
          <w:szCs w:val="24"/>
        </w:rPr>
      </w:pPr>
    </w:p>
    <w:tbl>
      <w:tblPr>
        <w:tblStyle w:val="afffff0"/>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3"/>
              </w:numPr>
              <w:jc w:val="left"/>
              <w:rPr>
                <w:sz w:val="20"/>
                <w:szCs w:val="20"/>
              </w:rPr>
            </w:pPr>
            <w:r>
              <w:rPr>
                <w:b/>
                <w:sz w:val="20"/>
                <w:szCs w:val="20"/>
              </w:rPr>
              <w:t>Yes</w:t>
            </w:r>
          </w:p>
          <w:p w:rsidR="009C6A81" w:rsidRDefault="00ED5651">
            <w:pPr>
              <w:numPr>
                <w:ilvl w:val="0"/>
                <w:numId w:val="3"/>
              </w:numPr>
              <w:jc w:val="left"/>
              <w:rPr>
                <w:color w:val="AEAAAA"/>
                <w:sz w:val="20"/>
                <w:szCs w:val="20"/>
              </w:rPr>
            </w:pPr>
            <w:r>
              <w:rPr>
                <w:color w:val="AEAAAA"/>
                <w:sz w:val="20"/>
                <w:szCs w:val="20"/>
              </w:rPr>
              <w:t>Probably yes</w:t>
            </w:r>
          </w:p>
          <w:p w:rsidR="009C6A81" w:rsidRDefault="00ED5651">
            <w:pPr>
              <w:numPr>
                <w:ilvl w:val="0"/>
                <w:numId w:val="3"/>
              </w:numPr>
              <w:jc w:val="left"/>
              <w:rPr>
                <w:color w:val="AEAAAA"/>
                <w:sz w:val="20"/>
                <w:szCs w:val="20"/>
              </w:rPr>
            </w:pPr>
            <w:r>
              <w:rPr>
                <w:color w:val="AEAAAA"/>
                <w:sz w:val="20"/>
                <w:szCs w:val="20"/>
              </w:rPr>
              <w:t>Probably not</w:t>
            </w:r>
          </w:p>
          <w:p w:rsidR="009C6A81" w:rsidRDefault="00ED5651">
            <w:pPr>
              <w:numPr>
                <w:ilvl w:val="0"/>
                <w:numId w:val="3"/>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3"/>
              </w:numPr>
              <w:jc w:val="left"/>
              <w:rPr>
                <w:sz w:val="20"/>
                <w:szCs w:val="20"/>
              </w:rPr>
            </w:pPr>
            <w:r>
              <w:rPr>
                <w:b/>
                <w:sz w:val="20"/>
                <w:szCs w:val="20"/>
              </w:rPr>
              <w:t>Yes</w:t>
            </w:r>
          </w:p>
          <w:p w:rsidR="009C6A81" w:rsidRDefault="00ED5651">
            <w:pPr>
              <w:numPr>
                <w:ilvl w:val="0"/>
                <w:numId w:val="3"/>
              </w:numPr>
              <w:jc w:val="left"/>
              <w:rPr>
                <w:color w:val="AEAAAA"/>
                <w:sz w:val="20"/>
                <w:szCs w:val="20"/>
              </w:rPr>
            </w:pPr>
            <w:r>
              <w:rPr>
                <w:color w:val="AEAAAA"/>
                <w:sz w:val="20"/>
                <w:szCs w:val="20"/>
              </w:rPr>
              <w:t>Probably yes</w:t>
            </w:r>
          </w:p>
          <w:p w:rsidR="009C6A81" w:rsidRDefault="00ED5651">
            <w:pPr>
              <w:numPr>
                <w:ilvl w:val="0"/>
                <w:numId w:val="3"/>
              </w:numPr>
              <w:jc w:val="left"/>
              <w:rPr>
                <w:color w:val="AEAAAA"/>
                <w:sz w:val="20"/>
                <w:szCs w:val="20"/>
              </w:rPr>
            </w:pPr>
            <w:r>
              <w:rPr>
                <w:color w:val="AEAAAA"/>
                <w:sz w:val="20"/>
                <w:szCs w:val="20"/>
              </w:rPr>
              <w:t>Probably not</w:t>
            </w:r>
          </w:p>
          <w:p w:rsidR="009C6A81" w:rsidRDefault="00ED5651">
            <w:pPr>
              <w:numPr>
                <w:ilvl w:val="0"/>
                <w:numId w:val="3"/>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components of the statement are:</w:t>
            </w:r>
          </w:p>
          <w:p w:rsidR="009C6A81" w:rsidRDefault="00ED5651">
            <w:pPr>
              <w:numPr>
                <w:ilvl w:val="0"/>
                <w:numId w:val="18"/>
              </w:numPr>
              <w:rPr>
                <w:sz w:val="20"/>
                <w:szCs w:val="20"/>
              </w:rPr>
            </w:pPr>
            <w:r>
              <w:rPr>
                <w:b/>
                <w:sz w:val="20"/>
                <w:szCs w:val="20"/>
              </w:rPr>
              <w:t>Population</w:t>
            </w:r>
            <w:r>
              <w:rPr>
                <w:sz w:val="20"/>
                <w:szCs w:val="20"/>
              </w:rPr>
              <w:t>: people living with overweight or obesity.</w:t>
            </w:r>
          </w:p>
          <w:p w:rsidR="009C6A81" w:rsidRDefault="00ED5651">
            <w:pPr>
              <w:numPr>
                <w:ilvl w:val="0"/>
                <w:numId w:val="18"/>
              </w:numPr>
              <w:rPr>
                <w:sz w:val="20"/>
                <w:szCs w:val="20"/>
              </w:rPr>
            </w:pPr>
            <w:r>
              <w:rPr>
                <w:b/>
                <w:sz w:val="20"/>
                <w:szCs w:val="20"/>
              </w:rPr>
              <w:t>Intervention</w:t>
            </w:r>
            <w:r>
              <w:rPr>
                <w:sz w:val="20"/>
                <w:szCs w:val="20"/>
              </w:rPr>
              <w:t>: use of medications approved by the national regulatory agency (COFEPRIS) when prescribing pharmacotherapy as an adjuvant for the treatment of obesity.</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3"/>
              </w:numPr>
              <w:jc w:val="left"/>
              <w:rPr>
                <w:sz w:val="20"/>
                <w:szCs w:val="20"/>
              </w:rPr>
            </w:pPr>
            <w:r>
              <w:rPr>
                <w:b/>
                <w:sz w:val="20"/>
                <w:szCs w:val="20"/>
              </w:rPr>
              <w:t>Yes</w:t>
            </w:r>
          </w:p>
          <w:p w:rsidR="009C6A81" w:rsidRDefault="00ED5651">
            <w:pPr>
              <w:numPr>
                <w:ilvl w:val="0"/>
                <w:numId w:val="3"/>
              </w:numPr>
              <w:jc w:val="left"/>
              <w:rPr>
                <w:color w:val="AEAAAA"/>
                <w:sz w:val="20"/>
                <w:szCs w:val="20"/>
              </w:rPr>
            </w:pPr>
            <w:r>
              <w:rPr>
                <w:color w:val="AEAAAA"/>
                <w:sz w:val="20"/>
                <w:szCs w:val="20"/>
              </w:rPr>
              <w:t>Probably yes</w:t>
            </w:r>
          </w:p>
          <w:p w:rsidR="009C6A81" w:rsidRDefault="00ED5651">
            <w:pPr>
              <w:numPr>
                <w:ilvl w:val="0"/>
                <w:numId w:val="3"/>
              </w:numPr>
              <w:jc w:val="left"/>
              <w:rPr>
                <w:color w:val="AEAAAA"/>
                <w:sz w:val="20"/>
                <w:szCs w:val="20"/>
              </w:rPr>
            </w:pPr>
            <w:r>
              <w:rPr>
                <w:color w:val="AEAAAA"/>
                <w:sz w:val="20"/>
                <w:szCs w:val="20"/>
              </w:rPr>
              <w:t>Probably not</w:t>
            </w:r>
          </w:p>
          <w:p w:rsidR="009C6A81" w:rsidRDefault="00ED5651">
            <w:pPr>
              <w:numPr>
                <w:ilvl w:val="0"/>
                <w:numId w:val="3"/>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There are multiple pharmacological alternatives for the adjuvant management of obesity, among which only some are approved by regulatory agencies </w:t>
            </w:r>
            <w:r>
              <w:rPr>
                <w:sz w:val="20"/>
                <w:szCs w:val="20"/>
              </w:rPr>
              <w:t>for the treatment of obesity, while there are others that are used off-label (i.e., were authorized for other conditions) or are over-the-counter (i.e., without prescription).  The use of off-label drugs may be associated with side effects of magnitude and</w:t>
            </w:r>
            <w:r>
              <w:rPr>
                <w:sz w:val="20"/>
                <w:szCs w:val="20"/>
              </w:rPr>
              <w:t xml:space="preserve"> duration that are not predictable.</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lastRenderedPageBreak/>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66"/>
              </w:numPr>
              <w:jc w:val="left"/>
              <w:rPr>
                <w:sz w:val="20"/>
                <w:szCs w:val="20"/>
              </w:rPr>
            </w:pPr>
            <w:r>
              <w:rPr>
                <w:b/>
                <w:sz w:val="20"/>
                <w:szCs w:val="20"/>
              </w:rPr>
              <w:t>Yes</w:t>
            </w:r>
          </w:p>
          <w:p w:rsidR="009C6A81" w:rsidRDefault="00ED5651">
            <w:pPr>
              <w:numPr>
                <w:ilvl w:val="0"/>
                <w:numId w:val="66"/>
              </w:numPr>
              <w:jc w:val="left"/>
              <w:rPr>
                <w:color w:val="AEAAAA"/>
                <w:sz w:val="20"/>
                <w:szCs w:val="20"/>
              </w:rPr>
            </w:pPr>
            <w:r>
              <w:rPr>
                <w:color w:val="AEAAAA"/>
                <w:sz w:val="20"/>
                <w:szCs w:val="20"/>
              </w:rPr>
              <w:t>Probably yes</w:t>
            </w:r>
          </w:p>
          <w:p w:rsidR="009C6A81" w:rsidRDefault="00ED5651">
            <w:pPr>
              <w:numPr>
                <w:ilvl w:val="0"/>
                <w:numId w:val="66"/>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66"/>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15"/>
              </w:numPr>
              <w:jc w:val="left"/>
              <w:rPr>
                <w:sz w:val="20"/>
                <w:szCs w:val="20"/>
              </w:rPr>
            </w:pPr>
            <w:r>
              <w:rPr>
                <w:sz w:val="20"/>
                <w:szCs w:val="20"/>
              </w:rPr>
              <w:t>Importance of the problem.</w:t>
            </w:r>
          </w:p>
          <w:p w:rsidR="009C6A81" w:rsidRDefault="00ED5651">
            <w:pPr>
              <w:numPr>
                <w:ilvl w:val="0"/>
                <w:numId w:val="15"/>
              </w:numPr>
              <w:jc w:val="left"/>
              <w:rPr>
                <w:color w:val="AEAAAA"/>
                <w:sz w:val="20"/>
                <w:szCs w:val="20"/>
              </w:rPr>
            </w:pPr>
            <w:r>
              <w:rPr>
                <w:color w:val="AEAAAA"/>
                <w:sz w:val="20"/>
                <w:szCs w:val="20"/>
              </w:rPr>
              <w:t>Certainty of evidence.</w:t>
            </w:r>
          </w:p>
          <w:p w:rsidR="009C6A81" w:rsidRDefault="00ED5651">
            <w:pPr>
              <w:numPr>
                <w:ilvl w:val="0"/>
                <w:numId w:val="15"/>
              </w:numPr>
              <w:jc w:val="left"/>
              <w:rPr>
                <w:sz w:val="20"/>
                <w:szCs w:val="20"/>
              </w:rPr>
            </w:pPr>
            <w:r>
              <w:rPr>
                <w:sz w:val="20"/>
                <w:szCs w:val="20"/>
              </w:rPr>
              <w:t>Values</w:t>
            </w:r>
            <w:r>
              <w:rPr>
                <w:color w:val="AEAAAA"/>
                <w:sz w:val="20"/>
                <w:szCs w:val="20"/>
              </w:rPr>
              <w:t>.</w:t>
            </w:r>
          </w:p>
          <w:p w:rsidR="009C6A81" w:rsidRDefault="00ED5651">
            <w:pPr>
              <w:numPr>
                <w:ilvl w:val="0"/>
                <w:numId w:val="15"/>
              </w:numPr>
              <w:jc w:val="left"/>
              <w:rPr>
                <w:sz w:val="20"/>
                <w:szCs w:val="20"/>
              </w:rPr>
            </w:pPr>
            <w:r>
              <w:rPr>
                <w:sz w:val="20"/>
                <w:szCs w:val="20"/>
              </w:rPr>
              <w:t>Magnitude of resource requirements.</w:t>
            </w:r>
          </w:p>
          <w:p w:rsidR="009C6A81" w:rsidRDefault="00ED5651">
            <w:pPr>
              <w:numPr>
                <w:ilvl w:val="0"/>
                <w:numId w:val="15"/>
              </w:numPr>
              <w:jc w:val="left"/>
              <w:rPr>
                <w:color w:val="AEAAAA"/>
                <w:sz w:val="20"/>
                <w:szCs w:val="20"/>
              </w:rPr>
            </w:pPr>
            <w:r>
              <w:rPr>
                <w:color w:val="AEAAAA"/>
                <w:sz w:val="20"/>
                <w:szCs w:val="20"/>
              </w:rPr>
              <w:t>Certainty of evidence or resource use.</w:t>
            </w:r>
          </w:p>
          <w:p w:rsidR="009C6A81" w:rsidRDefault="00ED5651">
            <w:pPr>
              <w:numPr>
                <w:ilvl w:val="0"/>
                <w:numId w:val="15"/>
              </w:numPr>
              <w:jc w:val="left"/>
              <w:rPr>
                <w:sz w:val="20"/>
                <w:szCs w:val="20"/>
              </w:rPr>
            </w:pPr>
            <w:r>
              <w:rPr>
                <w:sz w:val="20"/>
                <w:szCs w:val="20"/>
              </w:rPr>
              <w:t>Cost-effectiveness.</w:t>
            </w:r>
          </w:p>
          <w:p w:rsidR="009C6A81" w:rsidRDefault="00ED5651">
            <w:pPr>
              <w:numPr>
                <w:ilvl w:val="0"/>
                <w:numId w:val="15"/>
              </w:numPr>
              <w:jc w:val="left"/>
              <w:rPr>
                <w:sz w:val="20"/>
                <w:szCs w:val="20"/>
              </w:rPr>
            </w:pPr>
            <w:r>
              <w:rPr>
                <w:sz w:val="20"/>
                <w:szCs w:val="20"/>
              </w:rPr>
              <w:t>Equity.</w:t>
            </w:r>
          </w:p>
          <w:p w:rsidR="009C6A81" w:rsidRDefault="00ED5651">
            <w:pPr>
              <w:numPr>
                <w:ilvl w:val="0"/>
                <w:numId w:val="15"/>
              </w:numPr>
              <w:jc w:val="left"/>
              <w:rPr>
                <w:sz w:val="20"/>
                <w:szCs w:val="20"/>
              </w:rPr>
            </w:pPr>
            <w:r>
              <w:rPr>
                <w:sz w:val="20"/>
                <w:szCs w:val="20"/>
              </w:rPr>
              <w:t>Acceptability.</w:t>
            </w:r>
          </w:p>
          <w:p w:rsidR="009C6A81" w:rsidRDefault="00ED5651">
            <w:pPr>
              <w:numPr>
                <w:ilvl w:val="0"/>
                <w:numId w:val="15"/>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panel's experience, indicating COFEPRIS-approved drugs is likely to result in a great benefit.</w:t>
            </w:r>
          </w:p>
          <w:p w:rsidR="009C6A81" w:rsidRDefault="00ED5651">
            <w:pPr>
              <w:jc w:val="left"/>
              <w:rPr>
                <w:sz w:val="20"/>
                <w:szCs w:val="20"/>
              </w:rPr>
            </w:pPr>
            <w:r>
              <w:rPr>
                <w:sz w:val="20"/>
                <w:szCs w:val="20"/>
              </w:rPr>
              <w:t xml:space="preserve"> </w:t>
            </w:r>
          </w:p>
          <w:p w:rsidR="009C6A81" w:rsidRDefault="00ED5651">
            <w:pPr>
              <w:jc w:val="left"/>
              <w:rPr>
                <w:sz w:val="20"/>
                <w:szCs w:val="20"/>
                <w:highlight w:val="yellow"/>
              </w:rPr>
            </w:pPr>
            <w:r>
              <w:rPr>
                <w:sz w:val="20"/>
                <w:szCs w:val="20"/>
              </w:rPr>
              <w:t>This statement is deemed to satisfy the following EtD criteria:</w:t>
            </w:r>
          </w:p>
          <w:p w:rsidR="009C6A81" w:rsidRDefault="00ED5651">
            <w:pPr>
              <w:numPr>
                <w:ilvl w:val="0"/>
                <w:numId w:val="93"/>
              </w:numPr>
              <w:rPr>
                <w:sz w:val="20"/>
                <w:szCs w:val="20"/>
              </w:rPr>
            </w:pPr>
            <w:r>
              <w:rPr>
                <w:b/>
                <w:sz w:val="20"/>
                <w:szCs w:val="20"/>
              </w:rPr>
              <w:t>Importance of the problem</w:t>
            </w:r>
            <w:r>
              <w:rPr>
                <w:sz w:val="20"/>
                <w:szCs w:val="20"/>
              </w:rPr>
              <w:t>: It is recognized that there are numerous drugs that are useful for weight control but are not necessarily specific treatments for obesity. The use of these therapies may not lead to the expected results and/or have associated adverse effects (1), so it i</w:t>
            </w:r>
            <w:r>
              <w:rPr>
                <w:sz w:val="20"/>
                <w:szCs w:val="20"/>
              </w:rPr>
              <w:t xml:space="preserve">s necessary for health professionals to consider the use of drugs approved by the corresponding regulatory authorities. </w:t>
            </w:r>
          </w:p>
          <w:p w:rsidR="009C6A81" w:rsidRDefault="00ED5651">
            <w:pPr>
              <w:numPr>
                <w:ilvl w:val="0"/>
                <w:numId w:val="93"/>
              </w:numPr>
              <w:rPr>
                <w:sz w:val="20"/>
                <w:szCs w:val="20"/>
              </w:rPr>
            </w:pPr>
            <w:r>
              <w:rPr>
                <w:b/>
                <w:sz w:val="20"/>
                <w:szCs w:val="20"/>
              </w:rPr>
              <w:t xml:space="preserve">Values: </w:t>
            </w:r>
            <w:r>
              <w:rPr>
                <w:sz w:val="20"/>
                <w:szCs w:val="20"/>
              </w:rPr>
              <w:t>people are likely to similarly value the benefits and adverse effects associated with pharmacotherapy for obesity.</w:t>
            </w:r>
          </w:p>
          <w:p w:rsidR="009C6A81" w:rsidRDefault="00ED5651">
            <w:pPr>
              <w:numPr>
                <w:ilvl w:val="0"/>
                <w:numId w:val="93"/>
              </w:numPr>
              <w:rPr>
                <w:sz w:val="20"/>
                <w:szCs w:val="20"/>
              </w:rPr>
            </w:pPr>
            <w:r>
              <w:rPr>
                <w:b/>
                <w:sz w:val="20"/>
                <w:szCs w:val="20"/>
              </w:rPr>
              <w:t>Magnitude of</w:t>
            </w:r>
            <w:r>
              <w:rPr>
                <w:b/>
                <w:sz w:val="20"/>
                <w:szCs w:val="20"/>
              </w:rPr>
              <w:t xml:space="preserve"> resource requirements:</w:t>
            </w:r>
            <w:r>
              <w:rPr>
                <w:sz w:val="20"/>
                <w:szCs w:val="20"/>
              </w:rPr>
              <w:t xml:space="preserve"> The use of approved drugs for the management of obesity carries costs that could be of moderate to high magnitude, considering that this therapy is often indicated on a permanent basis. </w:t>
            </w:r>
          </w:p>
          <w:p w:rsidR="009C6A81" w:rsidRDefault="00ED5651">
            <w:pPr>
              <w:numPr>
                <w:ilvl w:val="0"/>
                <w:numId w:val="93"/>
              </w:numPr>
              <w:rPr>
                <w:sz w:val="20"/>
                <w:szCs w:val="20"/>
              </w:rPr>
            </w:pPr>
            <w:r>
              <w:rPr>
                <w:b/>
                <w:sz w:val="20"/>
                <w:szCs w:val="20"/>
              </w:rPr>
              <w:t>Cost-effectiveness:</w:t>
            </w:r>
            <w:r>
              <w:rPr>
                <w:sz w:val="20"/>
                <w:szCs w:val="20"/>
              </w:rPr>
              <w:t xml:space="preserve"> The prescription of drugs</w:t>
            </w:r>
            <w:r>
              <w:rPr>
                <w:sz w:val="20"/>
                <w:szCs w:val="20"/>
              </w:rPr>
              <w:t xml:space="preserve"> approved by regulatory agencies means an additional economic cost; however, the benefits obtained by achieving favorable treatment results and maintaining them over time avoid wasting resources on people who abandon their treatment due to lack of motivati</w:t>
            </w:r>
            <w:r>
              <w:rPr>
                <w:sz w:val="20"/>
                <w:szCs w:val="20"/>
              </w:rPr>
              <w:t>on and reduce the costs associated with complications due to inadequate management of the disease.</w:t>
            </w:r>
          </w:p>
          <w:p w:rsidR="009C6A81" w:rsidRDefault="00ED5651">
            <w:pPr>
              <w:numPr>
                <w:ilvl w:val="0"/>
                <w:numId w:val="93"/>
              </w:numPr>
              <w:rPr>
                <w:sz w:val="20"/>
                <w:szCs w:val="20"/>
              </w:rPr>
            </w:pPr>
            <w:r>
              <w:rPr>
                <w:b/>
                <w:sz w:val="20"/>
                <w:szCs w:val="20"/>
              </w:rPr>
              <w:t>Equity</w:t>
            </w:r>
            <w:r>
              <w:rPr>
                <w:sz w:val="20"/>
                <w:szCs w:val="20"/>
              </w:rPr>
              <w:t>: Complementing obesity treatment with approved pharmacological therapies for these purposes could accentuate inequality in some groups due to the extr</w:t>
            </w:r>
            <w:r>
              <w:rPr>
                <w:sz w:val="20"/>
                <w:szCs w:val="20"/>
              </w:rPr>
              <w:t xml:space="preserve">a cost associated with medications. This would be relevant in those groups of lower </w:t>
            </w:r>
            <w:r>
              <w:rPr>
                <w:sz w:val="20"/>
                <w:szCs w:val="20"/>
              </w:rPr>
              <w:lastRenderedPageBreak/>
              <w:t>socioeconomic or educational level who may have greater access to over-the-counter medications.</w:t>
            </w:r>
          </w:p>
          <w:p w:rsidR="009C6A81" w:rsidRDefault="00ED5651">
            <w:pPr>
              <w:numPr>
                <w:ilvl w:val="0"/>
                <w:numId w:val="93"/>
              </w:numPr>
              <w:rPr>
                <w:sz w:val="20"/>
                <w:szCs w:val="20"/>
              </w:rPr>
            </w:pPr>
            <w:r>
              <w:rPr>
                <w:b/>
                <w:sz w:val="20"/>
                <w:szCs w:val="20"/>
              </w:rPr>
              <w:t xml:space="preserve">Acceptability: </w:t>
            </w:r>
            <w:r>
              <w:rPr>
                <w:sz w:val="20"/>
                <w:szCs w:val="20"/>
              </w:rPr>
              <w:t>It would be acceptable to key actors. It is relevant to consi</w:t>
            </w:r>
            <w:r>
              <w:rPr>
                <w:sz w:val="20"/>
                <w:szCs w:val="20"/>
              </w:rPr>
              <w:t>der that some people may have preconceived ideas about the effectiveness of some drugs that could make them prefer the use of certain drugs.</w:t>
            </w:r>
          </w:p>
          <w:p w:rsidR="009C6A81" w:rsidRDefault="00ED5651">
            <w:pPr>
              <w:numPr>
                <w:ilvl w:val="0"/>
                <w:numId w:val="93"/>
              </w:numPr>
              <w:rPr>
                <w:sz w:val="20"/>
                <w:szCs w:val="20"/>
              </w:rPr>
            </w:pPr>
            <w:r>
              <w:rPr>
                <w:b/>
                <w:sz w:val="20"/>
                <w:szCs w:val="20"/>
              </w:rPr>
              <w:t>Factibility:</w:t>
            </w:r>
            <w:r>
              <w:rPr>
                <w:sz w:val="20"/>
                <w:szCs w:val="20"/>
              </w:rPr>
              <w:t xml:space="preserve"> It is feasible to prescribe COFEPRIS-approved drugs, which can be protocolized in health centers of va</w:t>
            </w:r>
            <w:r>
              <w:rPr>
                <w:sz w:val="20"/>
                <w:szCs w:val="20"/>
              </w:rPr>
              <w:t xml:space="preserve">rying complexity. Factors affecting implementation, such as the cost of drugs and access to them, should be considered.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3"/>
              </w:numPr>
              <w:jc w:val="left"/>
              <w:rPr>
                <w:sz w:val="20"/>
                <w:szCs w:val="20"/>
              </w:rPr>
            </w:pPr>
            <w:r>
              <w:rPr>
                <w:b/>
                <w:sz w:val="20"/>
                <w:szCs w:val="20"/>
              </w:rPr>
              <w:t>Yes</w:t>
            </w:r>
          </w:p>
          <w:p w:rsidR="009C6A81" w:rsidRDefault="00ED5651">
            <w:pPr>
              <w:numPr>
                <w:ilvl w:val="0"/>
                <w:numId w:val="3"/>
              </w:numPr>
              <w:jc w:val="left"/>
              <w:rPr>
                <w:color w:val="AEAAAA"/>
                <w:sz w:val="20"/>
                <w:szCs w:val="20"/>
              </w:rPr>
            </w:pPr>
            <w:r>
              <w:rPr>
                <w:color w:val="AEAAAA"/>
                <w:sz w:val="20"/>
                <w:szCs w:val="20"/>
              </w:rPr>
              <w:t>Probably yes</w:t>
            </w:r>
          </w:p>
          <w:p w:rsidR="009C6A81" w:rsidRDefault="00ED5651">
            <w:pPr>
              <w:numPr>
                <w:ilvl w:val="0"/>
                <w:numId w:val="3"/>
              </w:numPr>
              <w:jc w:val="left"/>
              <w:rPr>
                <w:color w:val="AEAAAA"/>
                <w:sz w:val="20"/>
                <w:szCs w:val="20"/>
              </w:rPr>
            </w:pPr>
            <w:r>
              <w:rPr>
                <w:color w:val="AEAAAA"/>
                <w:sz w:val="20"/>
                <w:szCs w:val="20"/>
              </w:rPr>
              <w:t>Probably not</w:t>
            </w:r>
          </w:p>
          <w:p w:rsidR="009C6A81" w:rsidRDefault="00ED5651">
            <w:pPr>
              <w:numPr>
                <w:ilvl w:val="0"/>
                <w:numId w:val="3"/>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Pharmacologi</w:t>
            </w:r>
            <w:r>
              <w:rPr>
                <w:sz w:val="20"/>
                <w:szCs w:val="20"/>
              </w:rPr>
              <w:t>c therapy has demonstrated its effectiveness as an adjunctive therapy for the management of obesity. Prescribing drugs whose effectiveness and safety are not proven has associated ethical considerations. This is why collecting, summarizing, and formally di</w:t>
            </w:r>
            <w:r>
              <w:rPr>
                <w:sz w:val="20"/>
                <w:szCs w:val="20"/>
              </w:rPr>
              <w:t>scussing the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3"/>
              </w:numPr>
              <w:jc w:val="left"/>
              <w:rPr>
                <w:sz w:val="20"/>
                <w:szCs w:val="20"/>
              </w:rPr>
            </w:pPr>
            <w:r>
              <w:rPr>
                <w:b/>
                <w:sz w:val="20"/>
                <w:szCs w:val="20"/>
              </w:rPr>
              <w:t>Yes</w:t>
            </w:r>
          </w:p>
          <w:p w:rsidR="009C6A81" w:rsidRDefault="00ED5651">
            <w:pPr>
              <w:numPr>
                <w:ilvl w:val="0"/>
                <w:numId w:val="3"/>
              </w:numPr>
              <w:jc w:val="left"/>
              <w:rPr>
                <w:color w:val="AEAAAA"/>
                <w:sz w:val="20"/>
                <w:szCs w:val="20"/>
              </w:rPr>
            </w:pPr>
            <w:r>
              <w:rPr>
                <w:color w:val="AEAAAA"/>
                <w:sz w:val="20"/>
                <w:szCs w:val="20"/>
              </w:rPr>
              <w:t>Probably yes</w:t>
            </w:r>
          </w:p>
          <w:p w:rsidR="009C6A81" w:rsidRDefault="00ED5651">
            <w:pPr>
              <w:numPr>
                <w:ilvl w:val="0"/>
                <w:numId w:val="3"/>
              </w:numPr>
              <w:jc w:val="left"/>
              <w:rPr>
                <w:color w:val="AEAAAA"/>
                <w:sz w:val="20"/>
                <w:szCs w:val="20"/>
              </w:rPr>
            </w:pPr>
            <w:r>
              <w:rPr>
                <w:color w:val="AEAAAA"/>
                <w:sz w:val="20"/>
                <w:szCs w:val="20"/>
              </w:rPr>
              <w:t>Probably not</w:t>
            </w:r>
          </w:p>
          <w:p w:rsidR="009C6A81" w:rsidRDefault="00ED5651">
            <w:pPr>
              <w:numPr>
                <w:ilvl w:val="0"/>
                <w:numId w:val="3"/>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color w:val="FF0000"/>
                <w:sz w:val="20"/>
                <w:szCs w:val="20"/>
              </w:rPr>
            </w:pPr>
            <w:r>
              <w:rPr>
                <w:sz w:val="20"/>
                <w:szCs w:val="20"/>
              </w:rPr>
              <w:t xml:space="preserve">Indirect evidence from the Canadian clinical practice guideline (1,2) was identified to support this good practice statement. It was found that for the treatment of obesity the following drugs have been shown to be safe and effective: semaglutide, 2.4 mg, </w:t>
            </w:r>
            <w:r>
              <w:rPr>
                <w:sz w:val="20"/>
                <w:szCs w:val="20"/>
              </w:rPr>
              <w:t>liraglutide 3.0 mg, naltrexone/bupropion 16 mg/180 mg, orlistat 120 mg. In addition, emphasis is placed on avoiding the use of over-the-counter medications that have not been approved for the management of obesity.</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w:t>
            </w:r>
            <w:r>
              <w:rPr>
                <w:b/>
                <w:sz w:val="20"/>
                <w:szCs w:val="20"/>
              </w:rPr>
              <w:t>le.</w:t>
            </w:r>
          </w:p>
        </w:tc>
        <w:tc>
          <w:tcPr>
            <w:tcW w:w="2520" w:type="dxa"/>
            <w:tcMar>
              <w:top w:w="150" w:type="dxa"/>
              <w:left w:w="150" w:type="dxa"/>
              <w:bottom w:w="150" w:type="dxa"/>
              <w:right w:w="150" w:type="dxa"/>
            </w:tcMar>
          </w:tcPr>
          <w:p w:rsidR="009C6A81" w:rsidRDefault="00ED5651">
            <w:pPr>
              <w:numPr>
                <w:ilvl w:val="0"/>
                <w:numId w:val="3"/>
              </w:numPr>
              <w:jc w:val="left"/>
              <w:rPr>
                <w:sz w:val="20"/>
                <w:szCs w:val="20"/>
              </w:rPr>
            </w:pPr>
            <w:r>
              <w:rPr>
                <w:b/>
                <w:sz w:val="20"/>
                <w:szCs w:val="20"/>
              </w:rPr>
              <w:t>Yes</w:t>
            </w:r>
          </w:p>
          <w:p w:rsidR="009C6A81" w:rsidRDefault="00ED5651">
            <w:pPr>
              <w:numPr>
                <w:ilvl w:val="0"/>
                <w:numId w:val="3"/>
              </w:numPr>
              <w:jc w:val="left"/>
              <w:rPr>
                <w:color w:val="AEAAAA"/>
                <w:sz w:val="20"/>
                <w:szCs w:val="20"/>
              </w:rPr>
            </w:pPr>
            <w:r>
              <w:rPr>
                <w:color w:val="AEAAAA"/>
                <w:sz w:val="20"/>
                <w:szCs w:val="20"/>
              </w:rPr>
              <w:t>Probably yes</w:t>
            </w:r>
          </w:p>
          <w:p w:rsidR="009C6A81" w:rsidRDefault="00ED5651">
            <w:pPr>
              <w:numPr>
                <w:ilvl w:val="0"/>
                <w:numId w:val="3"/>
              </w:numPr>
              <w:jc w:val="left"/>
              <w:rPr>
                <w:color w:val="AEAAAA"/>
                <w:sz w:val="20"/>
                <w:szCs w:val="20"/>
              </w:rPr>
            </w:pPr>
            <w:r>
              <w:rPr>
                <w:color w:val="AEAAAA"/>
                <w:sz w:val="20"/>
                <w:szCs w:val="20"/>
              </w:rPr>
              <w:t>Probably not</w:t>
            </w:r>
          </w:p>
          <w:p w:rsidR="009C6A81" w:rsidRDefault="00ED5651">
            <w:pPr>
              <w:numPr>
                <w:ilvl w:val="0"/>
                <w:numId w:val="3"/>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This statement sets out a clear course of action: that health professionals who prescribe pharmacotherapy as an adjuvant for the treatment of obesity should consider those alternatives approved by the national regulato</w:t>
            </w:r>
            <w:r>
              <w:rPr>
                <w:sz w:val="20"/>
                <w:szCs w:val="20"/>
              </w:rPr>
              <w:t>ry agency (COFEPRIS) and maintain long-term follow-up.</w:t>
            </w:r>
          </w:p>
          <w:p w:rsidR="009C6A81" w:rsidRDefault="009C6A81">
            <w:pPr>
              <w:rPr>
                <w:sz w:val="20"/>
                <w:szCs w:val="20"/>
                <w:shd w:val="clear" w:color="auto" w:fill="FF9900"/>
              </w:rPr>
            </w:pP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29"/>
              </w:numPr>
              <w:tabs>
                <w:tab w:val="left" w:pos="142"/>
              </w:tabs>
              <w:spacing w:line="276" w:lineRule="auto"/>
              <w:rPr>
                <w:sz w:val="18"/>
                <w:szCs w:val="18"/>
              </w:rPr>
            </w:pPr>
            <w:r>
              <w:rPr>
                <w:sz w:val="18"/>
                <w:szCs w:val="18"/>
              </w:rPr>
              <w:lastRenderedPageBreak/>
              <w:t>Sean Wharton, David C.W. Lau, Michael Vallis, Arya M. Sharma, Laurent Biertho, Denise Campbell-Scherer, Kristi Adamo, Angela Alberga, Rhonda Bell, Normand Boulé, Elaine Boyling, Jennifer Brown, Betty Calam, Carol Clarke, Lindsay Crowshoe, Dennis Divalentin</w:t>
            </w:r>
            <w:r>
              <w:rPr>
                <w:sz w:val="18"/>
                <w:szCs w:val="18"/>
              </w:rPr>
              <w:t>o, Mary Forhan, Yoni Freedhoff, Michel Gagner, Stephen Glazer, Cindy Grand, Michael Green, Margaret Hahn, Raed Hawa, Rita Henderson, Dennis Hong, Pam Hung, Ian Janssen, Kristen Jacklin, Carlene Johnson-Stoklossa, Amy Kemp, Sara Kirk, Jennifer Kuk, Marie-Fr</w:t>
            </w:r>
            <w:r>
              <w:rPr>
                <w:sz w:val="18"/>
                <w:szCs w:val="18"/>
              </w:rPr>
              <w:t>ance Langlois, Scott Lear, Ashley McInnes, David Macklin, Leen Naji, Priya Manjoo, Marie-Philippe Morin, Kara Nerenberg, Ian Patton, Sue Pedersen, Leticia Pereira, Helena Piccinini-Vallis, Megha Poddar, Paul Poirier, Denis Prud’homme, Ximena Ramos Salas, C</w:t>
            </w:r>
            <w:r>
              <w:rPr>
                <w:sz w:val="18"/>
                <w:szCs w:val="18"/>
              </w:rPr>
              <w:t>hristian Rueda-Clausen, Shelly Russell-Mayhew, Judy Shiau, Diana Sherifali, John Sievenpiper, Sanjeev Sockalingam, Valerie Taylor, Ellen Toth, Laurie Twells, Richard Tytus, Shahebina Walji, Leah Walker, Sonja Wicklum. Obesity in adults: a clinical practice</w:t>
            </w:r>
            <w:r>
              <w:rPr>
                <w:sz w:val="18"/>
                <w:szCs w:val="18"/>
              </w:rPr>
              <w:t xml:space="preserve"> guideline. CMAJ Aug 2020, 192 (31) E875-E891; DOI: 10.1503/cmaj.191707.</w:t>
            </w:r>
          </w:p>
          <w:p w:rsidR="009C6A81" w:rsidRDefault="00ED5651">
            <w:pPr>
              <w:numPr>
                <w:ilvl w:val="0"/>
                <w:numId w:val="29"/>
              </w:numPr>
              <w:tabs>
                <w:tab w:val="left" w:pos="142"/>
              </w:tabs>
              <w:spacing w:line="276" w:lineRule="auto"/>
              <w:rPr>
                <w:sz w:val="18"/>
                <w:szCs w:val="18"/>
              </w:rPr>
            </w:pPr>
            <w:r>
              <w:rPr>
                <w:sz w:val="18"/>
                <w:szCs w:val="18"/>
              </w:rPr>
              <w:t xml:space="preserve">Pedersen SD, Manjoo P, Wharton S. Canadian Adult Obesity Clinical Practice Guidelines: Pharmacotherapy for Obesity Management. Available from: </w:t>
            </w:r>
            <w:hyperlink r:id="rId53">
              <w:r>
                <w:rPr>
                  <w:color w:val="1155CC"/>
                  <w:sz w:val="18"/>
                  <w:szCs w:val="18"/>
                  <w:u w:val="single"/>
                </w:rPr>
                <w:t>https://obesitycanada.ca/guidelines/pharmacotherapy</w:t>
              </w:r>
            </w:hyperlink>
            <w:r>
              <w:rPr>
                <w:sz w:val="18"/>
                <w:szCs w:val="18"/>
              </w:rPr>
              <w:t xml:space="preserve"> </w:t>
            </w:r>
          </w:p>
        </w:tc>
      </w:tr>
    </w:tbl>
    <w:p w:rsidR="009C6A81" w:rsidRDefault="009C6A81">
      <w:pPr>
        <w:jc w:val="left"/>
      </w:pPr>
    </w:p>
    <w:p w:rsidR="009C6A81" w:rsidRDefault="009C6A81">
      <w:pPr>
        <w:ind w:left="-990"/>
        <w:rPr>
          <w:highlight w:val="yellow"/>
        </w:rPr>
      </w:pPr>
    </w:p>
    <w:p w:rsidR="009C6A81" w:rsidRDefault="00ED5651">
      <w:pPr>
        <w:pStyle w:val="Ttulo6"/>
        <w:ind w:hanging="990"/>
      </w:pPr>
      <w:bookmarkStart w:id="75" w:name="_2ne53p9" w:colFirst="0" w:colLast="0"/>
      <w:bookmarkEnd w:id="75"/>
      <w:r>
        <w:t>Good practice statement 19. Healthcare professionals should refer potentially eligible individuals for bariatric surgery to a specialized center that can provide multidisciplinary treatment and long-term follow-up.</w:t>
      </w:r>
    </w:p>
    <w:p w:rsidR="009C6A81" w:rsidRDefault="009C6A81"/>
    <w:p w:rsidR="009C6A81" w:rsidRDefault="00ED5651">
      <w:pPr>
        <w:ind w:hanging="990"/>
      </w:pPr>
      <w:r>
        <w:t>Table. Summary of criteria for the formu</w:t>
      </w:r>
      <w:r>
        <w:t>lation of good practice statements.</w:t>
      </w:r>
    </w:p>
    <w:p w:rsidR="009C6A81" w:rsidRDefault="009C6A81">
      <w:pPr>
        <w:jc w:val="left"/>
        <w:rPr>
          <w:sz w:val="24"/>
          <w:szCs w:val="24"/>
        </w:rPr>
      </w:pPr>
    </w:p>
    <w:tbl>
      <w:tblPr>
        <w:tblStyle w:val="afffff1"/>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35"/>
              </w:numPr>
              <w:jc w:val="left"/>
              <w:rPr>
                <w:sz w:val="20"/>
                <w:szCs w:val="20"/>
              </w:rPr>
            </w:pPr>
            <w:r>
              <w:rPr>
                <w:b/>
                <w:sz w:val="20"/>
                <w:szCs w:val="20"/>
              </w:rPr>
              <w:t>Yes</w:t>
            </w:r>
          </w:p>
          <w:p w:rsidR="009C6A81" w:rsidRDefault="00ED5651">
            <w:pPr>
              <w:numPr>
                <w:ilvl w:val="0"/>
                <w:numId w:val="35"/>
              </w:numPr>
              <w:jc w:val="left"/>
              <w:rPr>
                <w:color w:val="AEAAAA"/>
                <w:sz w:val="20"/>
                <w:szCs w:val="20"/>
              </w:rPr>
            </w:pPr>
            <w:r>
              <w:rPr>
                <w:color w:val="AEAAAA"/>
                <w:sz w:val="20"/>
                <w:szCs w:val="20"/>
              </w:rPr>
              <w:t>Probably yes</w:t>
            </w:r>
          </w:p>
          <w:p w:rsidR="009C6A81" w:rsidRDefault="00ED5651">
            <w:pPr>
              <w:numPr>
                <w:ilvl w:val="0"/>
                <w:numId w:val="35"/>
              </w:numPr>
              <w:jc w:val="left"/>
              <w:rPr>
                <w:color w:val="AEAAAA"/>
                <w:sz w:val="20"/>
                <w:szCs w:val="20"/>
              </w:rPr>
            </w:pPr>
            <w:r>
              <w:rPr>
                <w:color w:val="AEAAAA"/>
                <w:sz w:val="20"/>
                <w:szCs w:val="20"/>
              </w:rPr>
              <w:t>Probably not</w:t>
            </w:r>
          </w:p>
          <w:p w:rsidR="009C6A81" w:rsidRDefault="00ED5651">
            <w:pPr>
              <w:numPr>
                <w:ilvl w:val="0"/>
                <w:numId w:val="35"/>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35"/>
              </w:numPr>
              <w:jc w:val="left"/>
              <w:rPr>
                <w:sz w:val="20"/>
                <w:szCs w:val="20"/>
              </w:rPr>
            </w:pPr>
            <w:r>
              <w:rPr>
                <w:b/>
                <w:sz w:val="20"/>
                <w:szCs w:val="20"/>
              </w:rPr>
              <w:t>Yes</w:t>
            </w:r>
          </w:p>
          <w:p w:rsidR="009C6A81" w:rsidRDefault="00ED5651">
            <w:pPr>
              <w:numPr>
                <w:ilvl w:val="0"/>
                <w:numId w:val="35"/>
              </w:numPr>
              <w:jc w:val="left"/>
              <w:rPr>
                <w:color w:val="AEAAAA"/>
                <w:sz w:val="20"/>
                <w:szCs w:val="20"/>
              </w:rPr>
            </w:pPr>
            <w:r>
              <w:rPr>
                <w:color w:val="AEAAAA"/>
                <w:sz w:val="20"/>
                <w:szCs w:val="20"/>
              </w:rPr>
              <w:t>Probably yes</w:t>
            </w:r>
          </w:p>
          <w:p w:rsidR="009C6A81" w:rsidRDefault="00ED5651">
            <w:pPr>
              <w:numPr>
                <w:ilvl w:val="0"/>
                <w:numId w:val="35"/>
              </w:numPr>
              <w:jc w:val="left"/>
              <w:rPr>
                <w:color w:val="AEAAAA"/>
                <w:sz w:val="20"/>
                <w:szCs w:val="20"/>
              </w:rPr>
            </w:pPr>
            <w:r>
              <w:rPr>
                <w:color w:val="AEAAAA"/>
                <w:sz w:val="20"/>
                <w:szCs w:val="20"/>
              </w:rPr>
              <w:t>Probably not</w:t>
            </w:r>
          </w:p>
          <w:p w:rsidR="009C6A81" w:rsidRDefault="00ED5651">
            <w:pPr>
              <w:numPr>
                <w:ilvl w:val="0"/>
                <w:numId w:val="35"/>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7"/>
              </w:numPr>
              <w:rPr>
                <w:sz w:val="20"/>
                <w:szCs w:val="20"/>
              </w:rPr>
            </w:pPr>
            <w:r>
              <w:rPr>
                <w:b/>
                <w:sz w:val="20"/>
                <w:szCs w:val="20"/>
              </w:rPr>
              <w:t>Population</w:t>
            </w:r>
            <w:r>
              <w:rPr>
                <w:sz w:val="20"/>
                <w:szCs w:val="20"/>
              </w:rPr>
              <w:t xml:space="preserve">: People potentially eligible for bariatric surgery (with a BMI≥ 40 kg/m2 or BMI ≥ 35 kg/m2 with at least one adiposopathy-related disease). </w:t>
            </w:r>
          </w:p>
          <w:p w:rsidR="009C6A81" w:rsidRDefault="00ED5651">
            <w:pPr>
              <w:numPr>
                <w:ilvl w:val="0"/>
                <w:numId w:val="7"/>
              </w:numPr>
              <w:rPr>
                <w:sz w:val="20"/>
                <w:szCs w:val="20"/>
              </w:rPr>
            </w:pPr>
            <w:r>
              <w:rPr>
                <w:b/>
                <w:sz w:val="20"/>
                <w:szCs w:val="20"/>
              </w:rPr>
              <w:t>Intervention</w:t>
            </w:r>
            <w:r>
              <w:rPr>
                <w:sz w:val="20"/>
                <w:szCs w:val="20"/>
              </w:rPr>
              <w:t>: being referred to a specialized center for multidisciplinary surgical treatment and long-term follow-up.</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35"/>
              </w:numPr>
              <w:jc w:val="left"/>
              <w:rPr>
                <w:sz w:val="20"/>
                <w:szCs w:val="20"/>
              </w:rPr>
            </w:pPr>
            <w:r>
              <w:rPr>
                <w:b/>
                <w:sz w:val="20"/>
                <w:szCs w:val="20"/>
              </w:rPr>
              <w:t>Yes</w:t>
            </w:r>
          </w:p>
          <w:p w:rsidR="009C6A81" w:rsidRDefault="00ED5651">
            <w:pPr>
              <w:numPr>
                <w:ilvl w:val="0"/>
                <w:numId w:val="35"/>
              </w:numPr>
              <w:jc w:val="left"/>
              <w:rPr>
                <w:color w:val="AEAAAA"/>
                <w:sz w:val="20"/>
                <w:szCs w:val="20"/>
              </w:rPr>
            </w:pPr>
            <w:r>
              <w:rPr>
                <w:color w:val="AEAAAA"/>
                <w:sz w:val="20"/>
                <w:szCs w:val="20"/>
              </w:rPr>
              <w:t>Probably yes</w:t>
            </w:r>
          </w:p>
          <w:p w:rsidR="009C6A81" w:rsidRDefault="00ED5651">
            <w:pPr>
              <w:numPr>
                <w:ilvl w:val="0"/>
                <w:numId w:val="35"/>
              </w:numPr>
              <w:jc w:val="left"/>
              <w:rPr>
                <w:color w:val="AEAAAA"/>
                <w:sz w:val="20"/>
                <w:szCs w:val="20"/>
              </w:rPr>
            </w:pPr>
            <w:r>
              <w:rPr>
                <w:color w:val="AEAAAA"/>
                <w:sz w:val="20"/>
                <w:szCs w:val="20"/>
              </w:rPr>
              <w:t>Probably not</w:t>
            </w:r>
          </w:p>
          <w:p w:rsidR="009C6A81" w:rsidRDefault="00ED5651">
            <w:pPr>
              <w:numPr>
                <w:ilvl w:val="0"/>
                <w:numId w:val="35"/>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Bariatric surgery is part of the integral management in the treatment of people living with obesity. It is necessary for clinical practice to be a</w:t>
            </w:r>
            <w:r>
              <w:rPr>
                <w:sz w:val="20"/>
                <w:szCs w:val="20"/>
              </w:rPr>
              <w:t xml:space="preserve">ble to identify which individuals would benefit most from these </w:t>
            </w:r>
            <w:r>
              <w:rPr>
                <w:sz w:val="20"/>
                <w:szCs w:val="20"/>
              </w:rPr>
              <w:lastRenderedPageBreak/>
              <w:t xml:space="preserve">interventions for timely referral to specialized centers. </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lastRenderedPageBreak/>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113"/>
              </w:numPr>
              <w:jc w:val="left"/>
              <w:rPr>
                <w:sz w:val="20"/>
                <w:szCs w:val="20"/>
              </w:rPr>
            </w:pPr>
            <w:r>
              <w:rPr>
                <w:b/>
                <w:sz w:val="20"/>
                <w:szCs w:val="20"/>
              </w:rPr>
              <w:t>Yes</w:t>
            </w:r>
          </w:p>
          <w:p w:rsidR="009C6A81" w:rsidRDefault="00ED5651">
            <w:pPr>
              <w:numPr>
                <w:ilvl w:val="0"/>
                <w:numId w:val="113"/>
              </w:numPr>
              <w:jc w:val="left"/>
              <w:rPr>
                <w:color w:val="AEAAAA"/>
                <w:sz w:val="20"/>
                <w:szCs w:val="20"/>
              </w:rPr>
            </w:pPr>
            <w:r>
              <w:rPr>
                <w:color w:val="AEAAAA"/>
                <w:sz w:val="20"/>
                <w:szCs w:val="20"/>
              </w:rPr>
              <w:t>Probably yes</w:t>
            </w:r>
          </w:p>
          <w:p w:rsidR="009C6A81" w:rsidRDefault="00ED5651">
            <w:pPr>
              <w:numPr>
                <w:ilvl w:val="0"/>
                <w:numId w:val="113"/>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113"/>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43"/>
              </w:numPr>
              <w:jc w:val="left"/>
              <w:rPr>
                <w:sz w:val="20"/>
                <w:szCs w:val="20"/>
              </w:rPr>
            </w:pPr>
            <w:r>
              <w:rPr>
                <w:color w:val="AEAAAA"/>
                <w:sz w:val="20"/>
                <w:szCs w:val="20"/>
              </w:rPr>
              <w:t>Importance of the problem.</w:t>
            </w:r>
          </w:p>
          <w:p w:rsidR="009C6A81" w:rsidRDefault="00ED5651">
            <w:pPr>
              <w:numPr>
                <w:ilvl w:val="0"/>
                <w:numId w:val="43"/>
              </w:numPr>
              <w:jc w:val="left"/>
              <w:rPr>
                <w:color w:val="AEAAAA"/>
                <w:sz w:val="20"/>
                <w:szCs w:val="20"/>
              </w:rPr>
            </w:pPr>
            <w:r>
              <w:rPr>
                <w:color w:val="AEAAAA"/>
                <w:sz w:val="20"/>
                <w:szCs w:val="20"/>
              </w:rPr>
              <w:t>Certainty of evidence.</w:t>
            </w:r>
          </w:p>
          <w:p w:rsidR="009C6A81" w:rsidRDefault="00ED5651">
            <w:pPr>
              <w:numPr>
                <w:ilvl w:val="0"/>
                <w:numId w:val="43"/>
              </w:numPr>
              <w:jc w:val="left"/>
              <w:rPr>
                <w:sz w:val="20"/>
                <w:szCs w:val="20"/>
              </w:rPr>
            </w:pPr>
            <w:r>
              <w:rPr>
                <w:sz w:val="20"/>
                <w:szCs w:val="20"/>
              </w:rPr>
              <w:t>Values</w:t>
            </w:r>
            <w:r>
              <w:rPr>
                <w:color w:val="AEAAAA"/>
                <w:sz w:val="20"/>
                <w:szCs w:val="20"/>
              </w:rPr>
              <w:t>.</w:t>
            </w:r>
          </w:p>
          <w:p w:rsidR="009C6A81" w:rsidRDefault="00ED5651">
            <w:pPr>
              <w:numPr>
                <w:ilvl w:val="0"/>
                <w:numId w:val="43"/>
              </w:numPr>
              <w:jc w:val="left"/>
              <w:rPr>
                <w:sz w:val="20"/>
                <w:szCs w:val="20"/>
              </w:rPr>
            </w:pPr>
            <w:r>
              <w:rPr>
                <w:sz w:val="20"/>
                <w:szCs w:val="20"/>
              </w:rPr>
              <w:t>Magnitude of resource requirements.</w:t>
            </w:r>
          </w:p>
          <w:p w:rsidR="009C6A81" w:rsidRDefault="00ED5651">
            <w:pPr>
              <w:numPr>
                <w:ilvl w:val="0"/>
                <w:numId w:val="43"/>
              </w:numPr>
              <w:jc w:val="left"/>
              <w:rPr>
                <w:color w:val="AEAAAA"/>
                <w:sz w:val="20"/>
                <w:szCs w:val="20"/>
              </w:rPr>
            </w:pPr>
            <w:r>
              <w:rPr>
                <w:color w:val="AEAAAA"/>
                <w:sz w:val="20"/>
                <w:szCs w:val="20"/>
              </w:rPr>
              <w:t>Certainty of evidence or resource use.</w:t>
            </w:r>
          </w:p>
          <w:p w:rsidR="009C6A81" w:rsidRDefault="00ED5651">
            <w:pPr>
              <w:numPr>
                <w:ilvl w:val="0"/>
                <w:numId w:val="43"/>
              </w:numPr>
              <w:jc w:val="left"/>
              <w:rPr>
                <w:sz w:val="20"/>
                <w:szCs w:val="20"/>
              </w:rPr>
            </w:pPr>
            <w:r>
              <w:rPr>
                <w:sz w:val="20"/>
                <w:szCs w:val="20"/>
              </w:rPr>
              <w:t>Cost-effectiveness.</w:t>
            </w:r>
          </w:p>
          <w:p w:rsidR="009C6A81" w:rsidRDefault="00ED5651">
            <w:pPr>
              <w:numPr>
                <w:ilvl w:val="0"/>
                <w:numId w:val="43"/>
              </w:numPr>
              <w:jc w:val="left"/>
              <w:rPr>
                <w:sz w:val="20"/>
                <w:szCs w:val="20"/>
              </w:rPr>
            </w:pPr>
            <w:r>
              <w:rPr>
                <w:sz w:val="20"/>
                <w:szCs w:val="20"/>
              </w:rPr>
              <w:t>Equity.</w:t>
            </w:r>
          </w:p>
          <w:p w:rsidR="009C6A81" w:rsidRDefault="00ED5651">
            <w:pPr>
              <w:numPr>
                <w:ilvl w:val="0"/>
                <w:numId w:val="43"/>
              </w:numPr>
              <w:jc w:val="left"/>
              <w:rPr>
                <w:sz w:val="20"/>
                <w:szCs w:val="20"/>
              </w:rPr>
            </w:pPr>
            <w:r>
              <w:rPr>
                <w:sz w:val="20"/>
                <w:szCs w:val="20"/>
              </w:rPr>
              <w:t>Aceptability.</w:t>
            </w:r>
          </w:p>
          <w:p w:rsidR="009C6A81" w:rsidRDefault="00ED5651">
            <w:pPr>
              <w:numPr>
                <w:ilvl w:val="0"/>
                <w:numId w:val="43"/>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rPr>
                <w:sz w:val="20"/>
                <w:szCs w:val="20"/>
              </w:rPr>
            </w:pPr>
            <w:r>
              <w:rPr>
                <w:sz w:val="20"/>
                <w:szCs w:val="20"/>
              </w:rPr>
              <w:t>Based on the indirect evidence identified and the panel's experience, referring potentially eligible individuals for bariatric surgery would result in a large benefit.</w:t>
            </w:r>
          </w:p>
          <w:p w:rsidR="009C6A81" w:rsidRDefault="00ED5651">
            <w:pPr>
              <w:jc w:val="left"/>
              <w:rPr>
                <w:sz w:val="20"/>
                <w:szCs w:val="20"/>
                <w:shd w:val="clear" w:color="auto" w:fill="FF9900"/>
              </w:rPr>
            </w:pPr>
            <w:r>
              <w:rPr>
                <w:sz w:val="20"/>
                <w:szCs w:val="20"/>
                <w:shd w:val="clear" w:color="auto" w:fill="FF9900"/>
              </w:rPr>
              <w:t xml:space="preserve"> </w:t>
            </w:r>
          </w:p>
          <w:p w:rsidR="009C6A81" w:rsidRDefault="00ED5651">
            <w:pPr>
              <w:jc w:val="left"/>
              <w:rPr>
                <w:sz w:val="20"/>
                <w:szCs w:val="20"/>
                <w:shd w:val="clear" w:color="auto" w:fill="FF9900"/>
              </w:rPr>
            </w:pPr>
            <w:r>
              <w:rPr>
                <w:sz w:val="20"/>
                <w:szCs w:val="20"/>
              </w:rPr>
              <w:t>This statement is deemed to satisfy the following EtD criteria:</w:t>
            </w:r>
          </w:p>
          <w:p w:rsidR="009C6A81" w:rsidRDefault="00ED5651">
            <w:pPr>
              <w:numPr>
                <w:ilvl w:val="0"/>
                <w:numId w:val="47"/>
              </w:numPr>
              <w:rPr>
                <w:sz w:val="20"/>
                <w:szCs w:val="20"/>
              </w:rPr>
            </w:pPr>
            <w:r>
              <w:rPr>
                <w:b/>
                <w:sz w:val="20"/>
                <w:szCs w:val="20"/>
              </w:rPr>
              <w:t>Values:</w:t>
            </w:r>
            <w:r>
              <w:rPr>
                <w:sz w:val="20"/>
                <w:szCs w:val="20"/>
              </w:rPr>
              <w:t xml:space="preserve"> Probably all i</w:t>
            </w:r>
            <w:r>
              <w:rPr>
                <w:sz w:val="20"/>
                <w:szCs w:val="20"/>
              </w:rPr>
              <w:t xml:space="preserve">ndividuals potentially eligible for bariatric surgery place a high value on the expected postsurgical benefits. There is no reason to suspect variability in the values assigned to this outcome.  </w:t>
            </w:r>
          </w:p>
          <w:p w:rsidR="009C6A81" w:rsidRDefault="00ED5651">
            <w:pPr>
              <w:numPr>
                <w:ilvl w:val="0"/>
                <w:numId w:val="47"/>
              </w:numPr>
              <w:rPr>
                <w:sz w:val="20"/>
                <w:szCs w:val="20"/>
              </w:rPr>
            </w:pPr>
            <w:r>
              <w:rPr>
                <w:b/>
                <w:sz w:val="20"/>
                <w:szCs w:val="20"/>
              </w:rPr>
              <w:t>Magnitude of resource requirements:</w:t>
            </w:r>
            <w:r>
              <w:rPr>
                <w:sz w:val="20"/>
                <w:szCs w:val="20"/>
              </w:rPr>
              <w:t xml:space="preserve"> Referring eligible indiv</w:t>
            </w:r>
            <w:r>
              <w:rPr>
                <w:sz w:val="20"/>
                <w:szCs w:val="20"/>
              </w:rPr>
              <w:t>iduals for bariatric surgery to specialized centers may require moderate costs associated with the implementation of a care coordination system in line with multimodal therapy for obesity treatment and follow-up. It also requires that these centers have th</w:t>
            </w:r>
            <w:r>
              <w:rPr>
                <w:sz w:val="20"/>
                <w:szCs w:val="20"/>
              </w:rPr>
              <w:t>e capacity, infrastructure and sufficient personnel to receive patients. For individuals, this could mean higher travel costs.</w:t>
            </w:r>
          </w:p>
          <w:p w:rsidR="009C6A81" w:rsidRDefault="00ED5651">
            <w:pPr>
              <w:numPr>
                <w:ilvl w:val="0"/>
                <w:numId w:val="47"/>
              </w:numPr>
              <w:rPr>
                <w:sz w:val="20"/>
                <w:szCs w:val="20"/>
              </w:rPr>
            </w:pPr>
            <w:r>
              <w:rPr>
                <w:b/>
                <w:sz w:val="20"/>
                <w:szCs w:val="20"/>
              </w:rPr>
              <w:t xml:space="preserve">Cost-effectiveness: </w:t>
            </w:r>
            <w:r>
              <w:rPr>
                <w:sz w:val="20"/>
                <w:szCs w:val="20"/>
              </w:rPr>
              <w:t>Although referring eligible individuals for bariatric surgery may mean an additional cost when behavioral and</w:t>
            </w:r>
            <w:r>
              <w:rPr>
                <w:sz w:val="20"/>
                <w:szCs w:val="20"/>
              </w:rPr>
              <w:t xml:space="preserve"> pharmacological therapies are not sufficient, the long-term benefits that this intervention can have in the management of weight and metabolic diseases make it a cost-effective alternative. </w:t>
            </w:r>
          </w:p>
          <w:p w:rsidR="009C6A81" w:rsidRDefault="00ED5651">
            <w:pPr>
              <w:numPr>
                <w:ilvl w:val="0"/>
                <w:numId w:val="47"/>
              </w:numPr>
              <w:rPr>
                <w:sz w:val="20"/>
                <w:szCs w:val="20"/>
              </w:rPr>
            </w:pPr>
            <w:r>
              <w:rPr>
                <w:b/>
                <w:sz w:val="20"/>
                <w:szCs w:val="20"/>
              </w:rPr>
              <w:t>Equity</w:t>
            </w:r>
            <w:r>
              <w:rPr>
                <w:sz w:val="20"/>
                <w:szCs w:val="20"/>
              </w:rPr>
              <w:t>: There could be an impact on equity due to economic and p</w:t>
            </w:r>
            <w:r>
              <w:rPr>
                <w:sz w:val="20"/>
                <w:szCs w:val="20"/>
              </w:rPr>
              <w:t>hysical barriers (e.g., living in rural areas or far from health services) that could make it difficult for certain vulnerable groups to access more complex centers.</w:t>
            </w:r>
          </w:p>
          <w:p w:rsidR="009C6A81" w:rsidRDefault="00ED5651">
            <w:pPr>
              <w:numPr>
                <w:ilvl w:val="0"/>
                <w:numId w:val="47"/>
              </w:numPr>
              <w:rPr>
                <w:sz w:val="20"/>
                <w:szCs w:val="20"/>
              </w:rPr>
            </w:pPr>
            <w:r>
              <w:rPr>
                <w:b/>
                <w:sz w:val="20"/>
                <w:szCs w:val="20"/>
              </w:rPr>
              <w:t xml:space="preserve">Acceptability: </w:t>
            </w:r>
            <w:r>
              <w:rPr>
                <w:sz w:val="20"/>
                <w:szCs w:val="20"/>
              </w:rPr>
              <w:t xml:space="preserve">This intervention would be acceptable to health professionals, recognizing </w:t>
            </w:r>
            <w:r>
              <w:rPr>
                <w:sz w:val="20"/>
                <w:szCs w:val="20"/>
              </w:rPr>
              <w:t xml:space="preserve">the limitations of the therapeutic alternatives they can offer in less </w:t>
            </w:r>
            <w:r>
              <w:rPr>
                <w:sz w:val="20"/>
                <w:szCs w:val="20"/>
              </w:rPr>
              <w:lastRenderedPageBreak/>
              <w:t>complex centers and the advantages of interventions that specialized centers can offer. People living with obesity could perceive their referral as acceptable if this is the best therap</w:t>
            </w:r>
            <w:r>
              <w:rPr>
                <w:sz w:val="20"/>
                <w:szCs w:val="20"/>
              </w:rPr>
              <w:t>eutic alternative.</w:t>
            </w:r>
          </w:p>
          <w:p w:rsidR="009C6A81" w:rsidRDefault="00ED5651">
            <w:pPr>
              <w:numPr>
                <w:ilvl w:val="0"/>
                <w:numId w:val="47"/>
              </w:numPr>
              <w:rPr>
                <w:sz w:val="20"/>
                <w:szCs w:val="20"/>
              </w:rPr>
            </w:pPr>
            <w:r>
              <w:rPr>
                <w:b/>
                <w:sz w:val="20"/>
                <w:szCs w:val="20"/>
              </w:rPr>
              <w:t>Factibility:</w:t>
            </w:r>
            <w:r>
              <w:rPr>
                <w:sz w:val="20"/>
                <w:szCs w:val="20"/>
              </w:rPr>
              <w:t xml:space="preserve"> This alternative is feasible, since patients are routinely referred to specialized centers for other chronic diseases that require more complex treatments and long-term follow-up.</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35"/>
              </w:numPr>
              <w:jc w:val="left"/>
              <w:rPr>
                <w:sz w:val="20"/>
                <w:szCs w:val="20"/>
              </w:rPr>
            </w:pPr>
            <w:r>
              <w:rPr>
                <w:b/>
                <w:sz w:val="20"/>
                <w:szCs w:val="20"/>
              </w:rPr>
              <w:t>Yes</w:t>
            </w:r>
          </w:p>
          <w:p w:rsidR="009C6A81" w:rsidRDefault="00ED5651">
            <w:pPr>
              <w:numPr>
                <w:ilvl w:val="0"/>
                <w:numId w:val="35"/>
              </w:numPr>
              <w:jc w:val="left"/>
              <w:rPr>
                <w:color w:val="AEAAAA"/>
                <w:sz w:val="20"/>
                <w:szCs w:val="20"/>
              </w:rPr>
            </w:pPr>
            <w:r>
              <w:rPr>
                <w:color w:val="AEAAAA"/>
                <w:sz w:val="20"/>
                <w:szCs w:val="20"/>
              </w:rPr>
              <w:t>Probably yes</w:t>
            </w:r>
          </w:p>
          <w:p w:rsidR="009C6A81" w:rsidRDefault="00ED5651">
            <w:pPr>
              <w:numPr>
                <w:ilvl w:val="0"/>
                <w:numId w:val="35"/>
              </w:numPr>
              <w:jc w:val="left"/>
              <w:rPr>
                <w:color w:val="AEAAAA"/>
                <w:sz w:val="20"/>
                <w:szCs w:val="20"/>
              </w:rPr>
            </w:pPr>
            <w:r>
              <w:rPr>
                <w:color w:val="AEAAAA"/>
                <w:sz w:val="20"/>
                <w:szCs w:val="20"/>
              </w:rPr>
              <w:t>Probably not</w:t>
            </w:r>
          </w:p>
          <w:p w:rsidR="009C6A81" w:rsidRDefault="00ED5651">
            <w:pPr>
              <w:numPr>
                <w:ilvl w:val="0"/>
                <w:numId w:val="35"/>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Referring pa</w:t>
            </w:r>
            <w:r>
              <w:rPr>
                <w:sz w:val="20"/>
                <w:szCs w:val="20"/>
              </w:rPr>
              <w:t xml:space="preserve">tients to specialized centers when they would benefit from multidisciplinary interventions responds to a clinical standard of care for the management and follow-up of obesity, as would any other complex chronic disease. This is why collecting, summarizing </w:t>
            </w:r>
            <w:r>
              <w:rPr>
                <w:sz w:val="20"/>
                <w:szCs w:val="20"/>
              </w:rPr>
              <w:t>and formally discussing the evidence would not be a good use of resources.</w:t>
            </w:r>
          </w:p>
          <w:p w:rsidR="009C6A81" w:rsidRDefault="009C6A81">
            <w:pPr>
              <w:rPr>
                <w:sz w:val="20"/>
                <w:szCs w:val="20"/>
                <w:shd w:val="clear" w:color="auto" w:fill="FF9900"/>
              </w:rPr>
            </w:pP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35"/>
              </w:numPr>
              <w:jc w:val="left"/>
              <w:rPr>
                <w:sz w:val="20"/>
                <w:szCs w:val="20"/>
              </w:rPr>
            </w:pPr>
            <w:r>
              <w:rPr>
                <w:b/>
                <w:sz w:val="20"/>
                <w:szCs w:val="20"/>
              </w:rPr>
              <w:t>Yes</w:t>
            </w:r>
          </w:p>
          <w:p w:rsidR="009C6A81" w:rsidRDefault="00ED5651">
            <w:pPr>
              <w:numPr>
                <w:ilvl w:val="0"/>
                <w:numId w:val="35"/>
              </w:numPr>
              <w:jc w:val="left"/>
              <w:rPr>
                <w:color w:val="AEAAAA"/>
                <w:sz w:val="20"/>
                <w:szCs w:val="20"/>
              </w:rPr>
            </w:pPr>
            <w:r>
              <w:rPr>
                <w:color w:val="AEAAAA"/>
                <w:sz w:val="20"/>
                <w:szCs w:val="20"/>
              </w:rPr>
              <w:t>Probably yes</w:t>
            </w:r>
          </w:p>
          <w:p w:rsidR="009C6A81" w:rsidRDefault="00ED5651">
            <w:pPr>
              <w:numPr>
                <w:ilvl w:val="0"/>
                <w:numId w:val="35"/>
              </w:numPr>
              <w:jc w:val="left"/>
              <w:rPr>
                <w:color w:val="AEAAAA"/>
                <w:sz w:val="20"/>
                <w:szCs w:val="20"/>
              </w:rPr>
            </w:pPr>
            <w:r>
              <w:rPr>
                <w:color w:val="AEAAAA"/>
                <w:sz w:val="20"/>
                <w:szCs w:val="20"/>
              </w:rPr>
              <w:t>Probably not</w:t>
            </w:r>
          </w:p>
          <w:p w:rsidR="009C6A81" w:rsidRDefault="00ED5651">
            <w:pPr>
              <w:numPr>
                <w:ilvl w:val="0"/>
                <w:numId w:val="35"/>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Indirect evidence from Canadian (1,2) and European (3) clinical practice guidelines was identified to support this good practice statement. In them, bariatric surgery was found to reduce overall mortality, induce greater weight loss and weight maintenance,</w:t>
            </w:r>
            <w:r>
              <w:rPr>
                <w:sz w:val="20"/>
                <w:szCs w:val="20"/>
              </w:rPr>
              <w:t xml:space="preserve"> and improve quality of life (1,2). Surgical interventions are considered to improve other comorbidities of obesity (such as type 2 diabetes when it is no longer reversible and other metabolic and cardiometabolic diseases, as well as mechanical complicatio</w:t>
            </w:r>
            <w:r>
              <w:rPr>
                <w:sz w:val="20"/>
                <w:szCs w:val="20"/>
              </w:rPr>
              <w:t>ns of obesity) (3).</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35"/>
              </w:numPr>
              <w:jc w:val="left"/>
              <w:rPr>
                <w:sz w:val="20"/>
                <w:szCs w:val="20"/>
              </w:rPr>
            </w:pPr>
            <w:r>
              <w:rPr>
                <w:b/>
                <w:sz w:val="20"/>
                <w:szCs w:val="20"/>
              </w:rPr>
              <w:t>Yes</w:t>
            </w:r>
          </w:p>
          <w:p w:rsidR="009C6A81" w:rsidRDefault="00ED5651">
            <w:pPr>
              <w:numPr>
                <w:ilvl w:val="0"/>
                <w:numId w:val="35"/>
              </w:numPr>
              <w:jc w:val="left"/>
              <w:rPr>
                <w:color w:val="AEAAAA"/>
                <w:sz w:val="20"/>
                <w:szCs w:val="20"/>
              </w:rPr>
            </w:pPr>
            <w:r>
              <w:rPr>
                <w:color w:val="AEAAAA"/>
                <w:sz w:val="20"/>
                <w:szCs w:val="20"/>
              </w:rPr>
              <w:t>Probably yes</w:t>
            </w:r>
          </w:p>
          <w:p w:rsidR="009C6A81" w:rsidRDefault="00ED5651">
            <w:pPr>
              <w:numPr>
                <w:ilvl w:val="0"/>
                <w:numId w:val="35"/>
              </w:numPr>
              <w:jc w:val="left"/>
              <w:rPr>
                <w:color w:val="AEAAAA"/>
                <w:sz w:val="20"/>
                <w:szCs w:val="20"/>
              </w:rPr>
            </w:pPr>
            <w:r>
              <w:rPr>
                <w:color w:val="AEAAAA"/>
                <w:sz w:val="20"/>
                <w:szCs w:val="20"/>
              </w:rPr>
              <w:t>Probably not</w:t>
            </w:r>
          </w:p>
          <w:p w:rsidR="009C6A81" w:rsidRDefault="00ED5651">
            <w:pPr>
              <w:numPr>
                <w:ilvl w:val="0"/>
                <w:numId w:val="35"/>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This statement sets out a clear course of action: that health professionals refer potentially eligible individuals for bariatric surgery to a specialized center. It indicates who the eligible persons would be (those with a BMI≥ 40 kg/m2 or BMI ≥ 35 kg/m2 w</w:t>
            </w:r>
            <w:r>
              <w:rPr>
                <w:sz w:val="20"/>
                <w:szCs w:val="20"/>
              </w:rPr>
              <w:t>ith at least one adiposopathy-related disease).</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31"/>
              </w:numPr>
              <w:tabs>
                <w:tab w:val="left" w:pos="142"/>
              </w:tabs>
              <w:spacing w:line="276" w:lineRule="auto"/>
              <w:rPr>
                <w:sz w:val="18"/>
                <w:szCs w:val="18"/>
              </w:rPr>
            </w:pPr>
            <w:r>
              <w:rPr>
                <w:sz w:val="18"/>
                <w:szCs w:val="18"/>
              </w:rPr>
              <w:t>Sean Wharton, David C.W. Lau, Michael Vallis, Arya M. Sharma, Laurent Biertho, Denise Campbell-Scherer, Kristi Adamo, Angela Alberga, Rhonda Bell, Normand Boulé, Elaine Boyling, Jennifer Brown, Betty Calam, Carol Clarke, Lindsay Crowshoe, Dennis Divalentin</w:t>
            </w:r>
            <w:r>
              <w:rPr>
                <w:sz w:val="18"/>
                <w:szCs w:val="18"/>
              </w:rPr>
              <w:t xml:space="preserve">o, Mary Forhan, Yoni Freedhoff, Michel Gagner, Stephen Glazer, Cindy Grand, Michael Green, Margaret Hahn, Raed Hawa, Rita Henderson, Dennis </w:t>
            </w:r>
            <w:r>
              <w:rPr>
                <w:sz w:val="18"/>
                <w:szCs w:val="18"/>
              </w:rPr>
              <w:lastRenderedPageBreak/>
              <w:t>Hong, Pam Hung, Ian Janssen, Kristen Jacklin, Carlene Johnson-Stoklossa, Amy Kemp, Sara Kirk, Jennifer Kuk, Marie-Fr</w:t>
            </w:r>
            <w:r>
              <w:rPr>
                <w:sz w:val="18"/>
                <w:szCs w:val="18"/>
              </w:rPr>
              <w:t>ance Langlois, Scott Lear, Ashley McInnes, David Macklin, Leen Naji, Priya Manjoo, Marie-Philippe Morin, Kara Nerenberg, Ian Patton, Sue Pedersen, Leticia Pereira, Helena Piccinini-Vallis, Megha Poddar, Paul Poirier, Denis Prud’homme, Ximena Ramos Salas, C</w:t>
            </w:r>
            <w:r>
              <w:rPr>
                <w:sz w:val="18"/>
                <w:szCs w:val="18"/>
              </w:rPr>
              <w:t>hristian Rueda-Clausen, Shelly Russell-Mayhew, Judy Shiau, Diana Sherifali, John Sievenpiper, Sanjeev Sockalingam, Valerie Taylor, Ellen Toth, Laurie Twells, Richard Tytus, Shahebina Walji, Leah Walker, Sonja Wicklum. Obesity in adults: a clinical practice</w:t>
            </w:r>
            <w:r>
              <w:rPr>
                <w:sz w:val="18"/>
                <w:szCs w:val="18"/>
              </w:rPr>
              <w:t xml:space="preserve"> guideline. CMAJ Aug 2020, 192 (31) E875-E891; DOI: 10.1503/cmaj.191707.</w:t>
            </w:r>
          </w:p>
          <w:p w:rsidR="009C6A81" w:rsidRDefault="00ED5651">
            <w:pPr>
              <w:numPr>
                <w:ilvl w:val="0"/>
                <w:numId w:val="31"/>
              </w:numPr>
              <w:tabs>
                <w:tab w:val="left" w:pos="142"/>
              </w:tabs>
              <w:spacing w:line="276" w:lineRule="auto"/>
              <w:rPr>
                <w:sz w:val="18"/>
                <w:szCs w:val="18"/>
              </w:rPr>
            </w:pPr>
            <w:r>
              <w:rPr>
                <w:sz w:val="18"/>
                <w:szCs w:val="18"/>
              </w:rPr>
              <w:t xml:space="preserve">Biertho L, Hong D, Gagner M. Canadian Adult Obesity Clinical Practice Guidelines: Bariatric Surgery: Surgical Options and Outcomes. Available from: </w:t>
            </w:r>
            <w:hyperlink r:id="rId54">
              <w:r>
                <w:rPr>
                  <w:color w:val="1155CC"/>
                  <w:sz w:val="18"/>
                  <w:szCs w:val="18"/>
                  <w:u w:val="single"/>
                </w:rPr>
                <w:t>https://obesitycanada.ca/guidelines/surgeryoptions</w:t>
              </w:r>
            </w:hyperlink>
            <w:r>
              <w:rPr>
                <w:sz w:val="18"/>
                <w:szCs w:val="18"/>
              </w:rPr>
              <w:t xml:space="preserve"> </w:t>
            </w:r>
          </w:p>
          <w:p w:rsidR="009C6A81" w:rsidRDefault="00ED5651">
            <w:pPr>
              <w:numPr>
                <w:ilvl w:val="0"/>
                <w:numId w:val="31"/>
              </w:numPr>
              <w:tabs>
                <w:tab w:val="left" w:pos="142"/>
              </w:tabs>
              <w:spacing w:line="276" w:lineRule="auto"/>
              <w:rPr>
                <w:sz w:val="18"/>
                <w:szCs w:val="18"/>
              </w:rPr>
            </w:pPr>
            <w:r>
              <w:rPr>
                <w:sz w:val="18"/>
                <w:szCs w:val="18"/>
              </w:rPr>
              <w:t>Yumuk V, Tsigos C, Fried M, et al. European Guidelines for Obesity Management in Adults [published correction appears in Obes Facts. 2016;9(1):64. doi: 10.1159/000444869</w:t>
            </w:r>
            <w:r>
              <w:rPr>
                <w:sz w:val="18"/>
                <w:szCs w:val="18"/>
              </w:rPr>
              <w:t>]. Obes Facts. 2015;8(6):402-424. doi:10.1159/000442721</w:t>
            </w:r>
          </w:p>
        </w:tc>
      </w:tr>
    </w:tbl>
    <w:p w:rsidR="009C6A81" w:rsidRDefault="009C6A81">
      <w:pPr>
        <w:ind w:left="-990"/>
        <w:rPr>
          <w:highlight w:val="yellow"/>
        </w:rPr>
      </w:pPr>
    </w:p>
    <w:p w:rsidR="009C6A81" w:rsidRDefault="009C6A81">
      <w:pPr>
        <w:ind w:left="-990"/>
        <w:rPr>
          <w:highlight w:val="yellow"/>
        </w:rPr>
      </w:pPr>
    </w:p>
    <w:p w:rsidR="009C6A81" w:rsidRDefault="00ED5651">
      <w:pPr>
        <w:pStyle w:val="Ttulo6"/>
        <w:ind w:hanging="990"/>
      </w:pPr>
      <w:bookmarkStart w:id="76" w:name="_12jfdx2" w:colFirst="0" w:colLast="0"/>
      <w:bookmarkEnd w:id="76"/>
      <w:r>
        <w:t>Good practice statement 20. Healthcare professionals should refer potentially eligible individuals for metabolic surgery to a specialized center that can provide multidisciplinary treatment and long-term follow-up.</w:t>
      </w:r>
    </w:p>
    <w:p w:rsidR="009C6A81" w:rsidRDefault="009C6A81"/>
    <w:p w:rsidR="009C6A81" w:rsidRDefault="00ED5651">
      <w:pPr>
        <w:ind w:hanging="990"/>
      </w:pPr>
      <w:r>
        <w:t>Table. Summary of criteria for the formu</w:t>
      </w:r>
      <w:r>
        <w:t>lation of good practice statements.</w:t>
      </w:r>
    </w:p>
    <w:p w:rsidR="009C6A81" w:rsidRDefault="009C6A81">
      <w:pPr>
        <w:jc w:val="left"/>
        <w:rPr>
          <w:sz w:val="24"/>
          <w:szCs w:val="24"/>
        </w:rPr>
      </w:pPr>
    </w:p>
    <w:tbl>
      <w:tblPr>
        <w:tblStyle w:val="afffff2"/>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520"/>
        <w:gridCol w:w="4140"/>
      </w:tblGrid>
      <w:tr w:rsidR="009C6A81">
        <w:tc>
          <w:tcPr>
            <w:tcW w:w="2355" w:type="dxa"/>
            <w:tcBorders>
              <w:top w:val="single" w:sz="4" w:space="0" w:color="000000"/>
              <w:left w:val="single" w:sz="4" w:space="0" w:color="000000"/>
              <w:bottom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Process for developing good practice statement</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sz w:val="20"/>
                <w:szCs w:val="20"/>
              </w:rPr>
            </w:pPr>
            <w:r>
              <w:rPr>
                <w:b/>
                <w:color w:val="FFFFFF"/>
                <w:sz w:val="20"/>
                <w:szCs w:val="20"/>
              </w:rPr>
              <w:t>Verification</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Does the statement follow a PICO prioritization process?</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8"/>
              </w:numPr>
              <w:jc w:val="left"/>
              <w:rPr>
                <w:sz w:val="20"/>
                <w:szCs w:val="20"/>
              </w:rPr>
            </w:pPr>
            <w:r>
              <w:rPr>
                <w:b/>
                <w:sz w:val="20"/>
                <w:szCs w:val="20"/>
              </w:rPr>
              <w:t>Yes</w:t>
            </w:r>
          </w:p>
          <w:p w:rsidR="009C6A81" w:rsidRDefault="00ED5651">
            <w:pPr>
              <w:numPr>
                <w:ilvl w:val="0"/>
                <w:numId w:val="58"/>
              </w:numPr>
              <w:jc w:val="left"/>
              <w:rPr>
                <w:color w:val="AEAAAA"/>
                <w:sz w:val="20"/>
                <w:szCs w:val="20"/>
              </w:rPr>
            </w:pPr>
            <w:r>
              <w:rPr>
                <w:color w:val="AEAAAA"/>
                <w:sz w:val="20"/>
                <w:szCs w:val="20"/>
              </w:rPr>
              <w:t>Probably yes</w:t>
            </w:r>
          </w:p>
          <w:p w:rsidR="009C6A81" w:rsidRDefault="00ED5651">
            <w:pPr>
              <w:numPr>
                <w:ilvl w:val="0"/>
                <w:numId w:val="58"/>
              </w:numPr>
              <w:jc w:val="left"/>
              <w:rPr>
                <w:color w:val="AEAAAA"/>
                <w:sz w:val="20"/>
                <w:szCs w:val="20"/>
              </w:rPr>
            </w:pPr>
            <w:r>
              <w:rPr>
                <w:color w:val="AEAAAA"/>
                <w:sz w:val="20"/>
                <w:szCs w:val="20"/>
              </w:rPr>
              <w:t>Probably not</w:t>
            </w:r>
          </w:p>
          <w:p w:rsidR="009C6A81" w:rsidRDefault="00ED5651">
            <w:pPr>
              <w:numPr>
                <w:ilvl w:val="0"/>
                <w:numId w:val="58"/>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The prioritization of this statement was based on a structured process of consultation with the guideline's clinical panel participants.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Are the Population and Intervention components clear?</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8"/>
              </w:numPr>
              <w:jc w:val="left"/>
              <w:rPr>
                <w:sz w:val="20"/>
                <w:szCs w:val="20"/>
              </w:rPr>
            </w:pPr>
            <w:r>
              <w:rPr>
                <w:b/>
                <w:sz w:val="20"/>
                <w:szCs w:val="20"/>
              </w:rPr>
              <w:t>Yes</w:t>
            </w:r>
          </w:p>
          <w:p w:rsidR="009C6A81" w:rsidRDefault="00ED5651">
            <w:pPr>
              <w:numPr>
                <w:ilvl w:val="0"/>
                <w:numId w:val="58"/>
              </w:numPr>
              <w:jc w:val="left"/>
              <w:rPr>
                <w:color w:val="AEAAAA"/>
                <w:sz w:val="20"/>
                <w:szCs w:val="20"/>
              </w:rPr>
            </w:pPr>
            <w:r>
              <w:rPr>
                <w:color w:val="AEAAAA"/>
                <w:sz w:val="20"/>
                <w:szCs w:val="20"/>
              </w:rPr>
              <w:t>Probably yes</w:t>
            </w:r>
          </w:p>
          <w:p w:rsidR="009C6A81" w:rsidRDefault="00ED5651">
            <w:pPr>
              <w:numPr>
                <w:ilvl w:val="0"/>
                <w:numId w:val="58"/>
              </w:numPr>
              <w:jc w:val="left"/>
              <w:rPr>
                <w:color w:val="AEAAAA"/>
                <w:sz w:val="20"/>
                <w:szCs w:val="20"/>
              </w:rPr>
            </w:pPr>
            <w:r>
              <w:rPr>
                <w:color w:val="AEAAAA"/>
                <w:sz w:val="20"/>
                <w:szCs w:val="20"/>
              </w:rPr>
              <w:t>Probably not</w:t>
            </w:r>
          </w:p>
          <w:p w:rsidR="009C6A81" w:rsidRDefault="00ED5651">
            <w:pPr>
              <w:numPr>
                <w:ilvl w:val="0"/>
                <w:numId w:val="58"/>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 xml:space="preserve">The components of the statement are: </w:t>
            </w:r>
          </w:p>
          <w:p w:rsidR="009C6A81" w:rsidRDefault="00ED5651">
            <w:pPr>
              <w:numPr>
                <w:ilvl w:val="0"/>
                <w:numId w:val="32"/>
              </w:numPr>
              <w:rPr>
                <w:sz w:val="20"/>
                <w:szCs w:val="20"/>
              </w:rPr>
            </w:pPr>
            <w:r>
              <w:rPr>
                <w:b/>
                <w:sz w:val="20"/>
                <w:szCs w:val="20"/>
              </w:rPr>
              <w:t>Population</w:t>
            </w:r>
            <w:r>
              <w:rPr>
                <w:sz w:val="20"/>
                <w:szCs w:val="20"/>
              </w:rPr>
              <w:t xml:space="preserve">: People potentially eligible for metabolic surgery (with a BMI≥ 30 kg/m2 and type 2 diabetes with possibility of remission). </w:t>
            </w:r>
          </w:p>
          <w:p w:rsidR="009C6A81" w:rsidRDefault="00ED5651">
            <w:pPr>
              <w:numPr>
                <w:ilvl w:val="0"/>
                <w:numId w:val="32"/>
              </w:numPr>
              <w:rPr>
                <w:sz w:val="20"/>
                <w:szCs w:val="20"/>
              </w:rPr>
            </w:pPr>
            <w:r>
              <w:rPr>
                <w:b/>
                <w:sz w:val="20"/>
                <w:szCs w:val="20"/>
              </w:rPr>
              <w:t>Intervention</w:t>
            </w:r>
            <w:r>
              <w:rPr>
                <w:sz w:val="20"/>
                <w:szCs w:val="20"/>
              </w:rPr>
              <w:t>: being referred to a specialized center for multidisciplinary surgical treatment and long-term follow-up.</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b/>
                <w:color w:val="FFFFFF"/>
                <w:sz w:val="20"/>
                <w:szCs w:val="20"/>
              </w:rPr>
            </w:pPr>
            <w:r>
              <w:rPr>
                <w:b/>
                <w:color w:val="FFFFFF"/>
                <w:sz w:val="20"/>
                <w:szCs w:val="20"/>
              </w:rPr>
              <w:t>Items to complete</w:t>
            </w:r>
          </w:p>
        </w:tc>
        <w:tc>
          <w:tcPr>
            <w:tcW w:w="252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widowControl w:val="0"/>
              <w:spacing w:line="276" w:lineRule="auto"/>
              <w:jc w:val="center"/>
              <w:rPr>
                <w:b/>
                <w:color w:val="FFFFFF"/>
                <w:sz w:val="20"/>
                <w:szCs w:val="20"/>
              </w:rPr>
            </w:pPr>
            <w:r>
              <w:rPr>
                <w:b/>
                <w:color w:val="FFFFFF"/>
                <w:sz w:val="20"/>
                <w:szCs w:val="20"/>
              </w:rPr>
              <w:t>Verification</w:t>
            </w:r>
          </w:p>
          <w:p w:rsidR="009C6A81" w:rsidRDefault="00ED5651">
            <w:pPr>
              <w:widowControl w:val="0"/>
              <w:spacing w:line="276" w:lineRule="auto"/>
              <w:jc w:val="center"/>
              <w:rPr>
                <w:b/>
                <w:color w:val="FFFFFF"/>
                <w:sz w:val="16"/>
                <w:szCs w:val="16"/>
              </w:rPr>
            </w:pPr>
            <w:r>
              <w:rPr>
                <w:b/>
                <w:color w:val="FFFFFF"/>
                <w:sz w:val="16"/>
                <w:szCs w:val="16"/>
              </w:rPr>
              <w:t xml:space="preserve">Has this criterion been addressed? </w:t>
            </w:r>
          </w:p>
        </w:tc>
        <w:tc>
          <w:tcPr>
            <w:tcW w:w="4140" w:type="dxa"/>
            <w:tcBorders>
              <w:top w:val="single" w:sz="4" w:space="0" w:color="000000"/>
              <w:left w:val="single" w:sz="4" w:space="0" w:color="000000"/>
              <w:bottom w:val="single" w:sz="4" w:space="0" w:color="000000"/>
              <w:right w:val="single" w:sz="4" w:space="0" w:color="000000"/>
            </w:tcBorders>
            <w:shd w:val="clear" w:color="auto" w:fill="1E2138"/>
            <w:tcMar>
              <w:top w:w="120" w:type="dxa"/>
              <w:left w:w="120" w:type="dxa"/>
              <w:bottom w:w="120" w:type="dxa"/>
              <w:right w:w="120" w:type="dxa"/>
            </w:tcMar>
            <w:vAlign w:val="center"/>
          </w:tcPr>
          <w:p w:rsidR="009C6A81" w:rsidRDefault="00ED5651">
            <w:pPr>
              <w:jc w:val="center"/>
              <w:rPr>
                <w:sz w:val="20"/>
                <w:szCs w:val="20"/>
              </w:rPr>
            </w:pPr>
            <w:r>
              <w:rPr>
                <w:b/>
                <w:color w:val="FFFFFF"/>
                <w:sz w:val="20"/>
                <w:szCs w:val="20"/>
              </w:rPr>
              <w:t>Supporting information</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t>1. The message is really necessary in regard to actual health care practice</w:t>
            </w:r>
          </w:p>
        </w:tc>
        <w:tc>
          <w:tcPr>
            <w:tcW w:w="2520" w:type="dxa"/>
            <w:tcBorders>
              <w:top w:val="single" w:sz="4" w:space="0" w:color="000000"/>
              <w:left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numPr>
                <w:ilvl w:val="0"/>
                <w:numId w:val="58"/>
              </w:numPr>
              <w:jc w:val="left"/>
              <w:rPr>
                <w:sz w:val="20"/>
                <w:szCs w:val="20"/>
              </w:rPr>
            </w:pPr>
            <w:r>
              <w:rPr>
                <w:b/>
                <w:sz w:val="20"/>
                <w:szCs w:val="20"/>
              </w:rPr>
              <w:t>Yes</w:t>
            </w:r>
          </w:p>
          <w:p w:rsidR="009C6A81" w:rsidRDefault="00ED5651">
            <w:pPr>
              <w:numPr>
                <w:ilvl w:val="0"/>
                <w:numId w:val="58"/>
              </w:numPr>
              <w:jc w:val="left"/>
              <w:rPr>
                <w:color w:val="AEAAAA"/>
                <w:sz w:val="20"/>
                <w:szCs w:val="20"/>
              </w:rPr>
            </w:pPr>
            <w:r>
              <w:rPr>
                <w:color w:val="AEAAAA"/>
                <w:sz w:val="20"/>
                <w:szCs w:val="20"/>
              </w:rPr>
              <w:t>Probably yes</w:t>
            </w:r>
          </w:p>
          <w:p w:rsidR="009C6A81" w:rsidRDefault="00ED5651">
            <w:pPr>
              <w:numPr>
                <w:ilvl w:val="0"/>
                <w:numId w:val="58"/>
              </w:numPr>
              <w:jc w:val="left"/>
              <w:rPr>
                <w:color w:val="AEAAAA"/>
                <w:sz w:val="20"/>
                <w:szCs w:val="20"/>
              </w:rPr>
            </w:pPr>
            <w:r>
              <w:rPr>
                <w:color w:val="AEAAAA"/>
                <w:sz w:val="20"/>
                <w:szCs w:val="20"/>
              </w:rPr>
              <w:t>Probably not</w:t>
            </w:r>
          </w:p>
          <w:p w:rsidR="009C6A81" w:rsidRDefault="00ED5651">
            <w:pPr>
              <w:numPr>
                <w:ilvl w:val="0"/>
                <w:numId w:val="58"/>
              </w:numPr>
              <w:jc w:val="left"/>
              <w:rPr>
                <w:color w:val="AEAAAA"/>
                <w:sz w:val="20"/>
                <w:szCs w:val="20"/>
              </w:rPr>
            </w:pPr>
            <w:r>
              <w:rPr>
                <w:color w:val="AEAAAA"/>
                <w:sz w:val="20"/>
                <w:szCs w:val="20"/>
              </w:rPr>
              <w:t>Not</w:t>
            </w:r>
          </w:p>
        </w:tc>
        <w:tc>
          <w:tcPr>
            <w:tcW w:w="41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vAlign w:val="center"/>
          </w:tcPr>
          <w:p w:rsidR="009C6A81" w:rsidRDefault="00ED5651">
            <w:pPr>
              <w:rPr>
                <w:sz w:val="20"/>
                <w:szCs w:val="20"/>
              </w:rPr>
            </w:pPr>
            <w:r>
              <w:rPr>
                <w:sz w:val="20"/>
                <w:szCs w:val="20"/>
              </w:rPr>
              <w:t>Bariatric surgery is part of the integral management in the treatment of people living with obesity. Eighty percent of cases of type 2 diabetes (D</w:t>
            </w:r>
            <w:r>
              <w:rPr>
                <w:sz w:val="20"/>
                <w:szCs w:val="20"/>
              </w:rPr>
              <w:t>M2) are associated with obesity (1), so it is necessary to identify which individuals with a reversible course of DM2 would benefit most from a surgical alternative for timely referral.</w:t>
            </w:r>
          </w:p>
        </w:tc>
      </w:tr>
      <w:tr w:rsidR="009C6A81">
        <w:tc>
          <w:tcPr>
            <w:tcW w:w="2355" w:type="dxa"/>
            <w:tcBorders>
              <w:top w:val="single" w:sz="4" w:space="0" w:color="000000"/>
              <w:left w:val="single" w:sz="4" w:space="0" w:color="000000"/>
              <w:bottom w:val="single" w:sz="4" w:space="0" w:color="000000"/>
            </w:tcBorders>
            <w:shd w:val="clear" w:color="auto" w:fill="F1F2F2"/>
            <w:tcMar>
              <w:top w:w="120" w:type="dxa"/>
              <w:left w:w="120" w:type="dxa"/>
              <w:bottom w:w="120" w:type="dxa"/>
              <w:right w:w="120" w:type="dxa"/>
            </w:tcMar>
          </w:tcPr>
          <w:p w:rsidR="009C6A81" w:rsidRDefault="00ED5651">
            <w:pPr>
              <w:jc w:val="left"/>
              <w:rPr>
                <w:sz w:val="20"/>
                <w:szCs w:val="20"/>
              </w:rPr>
            </w:pPr>
            <w:r>
              <w:rPr>
                <w:b/>
                <w:sz w:val="20"/>
                <w:szCs w:val="20"/>
              </w:rPr>
              <w:lastRenderedPageBreak/>
              <w:t xml:space="preserve">2. Implementing the good practice statement results in a large net positive consequence (i.e. satisfy several evidence to decision (EtD) criteria) after consideration of all relevant outcomes and potential downstream consequences. </w:t>
            </w:r>
          </w:p>
        </w:tc>
        <w:tc>
          <w:tcPr>
            <w:tcW w:w="2520" w:type="dxa"/>
            <w:tcMar>
              <w:top w:w="150" w:type="dxa"/>
              <w:left w:w="150" w:type="dxa"/>
              <w:bottom w:w="150" w:type="dxa"/>
              <w:right w:w="150" w:type="dxa"/>
            </w:tcMar>
          </w:tcPr>
          <w:p w:rsidR="009C6A81" w:rsidRDefault="00ED5651">
            <w:pPr>
              <w:numPr>
                <w:ilvl w:val="0"/>
                <w:numId w:val="30"/>
              </w:numPr>
              <w:jc w:val="left"/>
              <w:rPr>
                <w:sz w:val="20"/>
                <w:szCs w:val="20"/>
              </w:rPr>
            </w:pPr>
            <w:r>
              <w:rPr>
                <w:b/>
                <w:sz w:val="20"/>
                <w:szCs w:val="20"/>
              </w:rPr>
              <w:t>Yes</w:t>
            </w:r>
          </w:p>
          <w:p w:rsidR="009C6A81" w:rsidRDefault="00ED5651">
            <w:pPr>
              <w:numPr>
                <w:ilvl w:val="0"/>
                <w:numId w:val="30"/>
              </w:numPr>
              <w:jc w:val="left"/>
              <w:rPr>
                <w:color w:val="AEAAAA"/>
                <w:sz w:val="20"/>
                <w:szCs w:val="20"/>
              </w:rPr>
            </w:pPr>
            <w:r>
              <w:rPr>
                <w:color w:val="AEAAAA"/>
                <w:sz w:val="20"/>
                <w:szCs w:val="20"/>
              </w:rPr>
              <w:t>Probably yes</w:t>
            </w:r>
          </w:p>
          <w:p w:rsidR="009C6A81" w:rsidRDefault="00ED5651">
            <w:pPr>
              <w:numPr>
                <w:ilvl w:val="0"/>
                <w:numId w:val="30"/>
              </w:numPr>
              <w:jc w:val="left"/>
              <w:rPr>
                <w:color w:val="AEAAAA"/>
                <w:sz w:val="20"/>
                <w:szCs w:val="20"/>
              </w:rPr>
            </w:pPr>
            <w:r>
              <w:rPr>
                <w:color w:val="AEAAAA"/>
                <w:sz w:val="20"/>
                <w:szCs w:val="20"/>
              </w:rPr>
              <w:t>Probabl</w:t>
            </w:r>
            <w:r>
              <w:rPr>
                <w:color w:val="AEAAAA"/>
                <w:sz w:val="20"/>
                <w:szCs w:val="20"/>
              </w:rPr>
              <w:t>y not</w:t>
            </w:r>
          </w:p>
          <w:p w:rsidR="009C6A81" w:rsidRDefault="00ED5651">
            <w:pPr>
              <w:numPr>
                <w:ilvl w:val="0"/>
                <w:numId w:val="30"/>
              </w:numPr>
              <w:jc w:val="left"/>
              <w:rPr>
                <w:color w:val="AEAAAA"/>
                <w:sz w:val="20"/>
                <w:szCs w:val="20"/>
              </w:rPr>
            </w:pPr>
            <w:r>
              <w:rPr>
                <w:color w:val="AEAAAA"/>
                <w:sz w:val="20"/>
                <w:szCs w:val="20"/>
              </w:rPr>
              <w:t>Not</w:t>
            </w:r>
          </w:p>
          <w:p w:rsidR="009C6A81" w:rsidRDefault="009C6A81">
            <w:pPr>
              <w:jc w:val="left"/>
              <w:rPr>
                <w:b/>
                <w:sz w:val="20"/>
                <w:szCs w:val="20"/>
              </w:rPr>
            </w:pPr>
          </w:p>
          <w:p w:rsidR="009C6A81" w:rsidRDefault="009C6A81">
            <w:pPr>
              <w:jc w:val="left"/>
              <w:rPr>
                <w:sz w:val="20"/>
                <w:szCs w:val="20"/>
              </w:rPr>
            </w:pPr>
          </w:p>
          <w:p w:rsidR="009C6A81" w:rsidRDefault="00ED5651">
            <w:pPr>
              <w:jc w:val="left"/>
              <w:rPr>
                <w:sz w:val="20"/>
                <w:szCs w:val="20"/>
              </w:rPr>
            </w:pPr>
            <w:r>
              <w:rPr>
                <w:sz w:val="20"/>
                <w:szCs w:val="20"/>
              </w:rPr>
              <w:t>Evidence-to-Decision criteria:</w:t>
            </w:r>
          </w:p>
          <w:p w:rsidR="009C6A81" w:rsidRDefault="00ED5651">
            <w:pPr>
              <w:numPr>
                <w:ilvl w:val="0"/>
                <w:numId w:val="46"/>
              </w:numPr>
              <w:jc w:val="left"/>
              <w:rPr>
                <w:sz w:val="20"/>
                <w:szCs w:val="20"/>
              </w:rPr>
            </w:pPr>
            <w:r>
              <w:rPr>
                <w:color w:val="AEAAAA"/>
                <w:sz w:val="20"/>
                <w:szCs w:val="20"/>
              </w:rPr>
              <w:t>Importance of the problem.</w:t>
            </w:r>
          </w:p>
          <w:p w:rsidR="009C6A81" w:rsidRDefault="00ED5651">
            <w:pPr>
              <w:numPr>
                <w:ilvl w:val="0"/>
                <w:numId w:val="46"/>
              </w:numPr>
              <w:jc w:val="left"/>
              <w:rPr>
                <w:color w:val="AEAAAA"/>
                <w:sz w:val="20"/>
                <w:szCs w:val="20"/>
              </w:rPr>
            </w:pPr>
            <w:r>
              <w:rPr>
                <w:color w:val="AEAAAA"/>
                <w:sz w:val="20"/>
                <w:szCs w:val="20"/>
              </w:rPr>
              <w:t>Certainty of evidence.</w:t>
            </w:r>
          </w:p>
          <w:p w:rsidR="009C6A81" w:rsidRDefault="00ED5651">
            <w:pPr>
              <w:numPr>
                <w:ilvl w:val="0"/>
                <w:numId w:val="46"/>
              </w:numPr>
              <w:jc w:val="left"/>
              <w:rPr>
                <w:sz w:val="20"/>
                <w:szCs w:val="20"/>
              </w:rPr>
            </w:pPr>
            <w:r>
              <w:rPr>
                <w:sz w:val="20"/>
                <w:szCs w:val="20"/>
              </w:rPr>
              <w:t>Values.</w:t>
            </w:r>
          </w:p>
          <w:p w:rsidR="009C6A81" w:rsidRDefault="00ED5651">
            <w:pPr>
              <w:numPr>
                <w:ilvl w:val="0"/>
                <w:numId w:val="46"/>
              </w:numPr>
              <w:jc w:val="left"/>
              <w:rPr>
                <w:sz w:val="20"/>
                <w:szCs w:val="20"/>
              </w:rPr>
            </w:pPr>
            <w:r>
              <w:rPr>
                <w:sz w:val="20"/>
                <w:szCs w:val="20"/>
              </w:rPr>
              <w:t>Magnitude of resource requirements.</w:t>
            </w:r>
          </w:p>
          <w:p w:rsidR="009C6A81" w:rsidRDefault="00ED5651">
            <w:pPr>
              <w:numPr>
                <w:ilvl w:val="0"/>
                <w:numId w:val="46"/>
              </w:numPr>
              <w:jc w:val="left"/>
              <w:rPr>
                <w:color w:val="AEAAAA"/>
                <w:sz w:val="20"/>
                <w:szCs w:val="20"/>
              </w:rPr>
            </w:pPr>
            <w:r>
              <w:rPr>
                <w:color w:val="AEAAAA"/>
                <w:sz w:val="20"/>
                <w:szCs w:val="20"/>
              </w:rPr>
              <w:t>Certainty of evidence or resource use.</w:t>
            </w:r>
          </w:p>
          <w:p w:rsidR="009C6A81" w:rsidRDefault="00ED5651">
            <w:pPr>
              <w:numPr>
                <w:ilvl w:val="0"/>
                <w:numId w:val="46"/>
              </w:numPr>
              <w:jc w:val="left"/>
              <w:rPr>
                <w:sz w:val="20"/>
                <w:szCs w:val="20"/>
              </w:rPr>
            </w:pPr>
            <w:r>
              <w:rPr>
                <w:sz w:val="20"/>
                <w:szCs w:val="20"/>
              </w:rPr>
              <w:t>Cost-effectiveness.</w:t>
            </w:r>
          </w:p>
          <w:p w:rsidR="009C6A81" w:rsidRDefault="00ED5651">
            <w:pPr>
              <w:numPr>
                <w:ilvl w:val="0"/>
                <w:numId w:val="46"/>
              </w:numPr>
              <w:jc w:val="left"/>
              <w:rPr>
                <w:sz w:val="20"/>
                <w:szCs w:val="20"/>
              </w:rPr>
            </w:pPr>
            <w:r>
              <w:rPr>
                <w:sz w:val="20"/>
                <w:szCs w:val="20"/>
              </w:rPr>
              <w:t>Equity.</w:t>
            </w:r>
          </w:p>
          <w:p w:rsidR="009C6A81" w:rsidRDefault="00ED5651">
            <w:pPr>
              <w:numPr>
                <w:ilvl w:val="0"/>
                <w:numId w:val="46"/>
              </w:numPr>
              <w:jc w:val="left"/>
              <w:rPr>
                <w:sz w:val="20"/>
                <w:szCs w:val="20"/>
              </w:rPr>
            </w:pPr>
            <w:r>
              <w:rPr>
                <w:sz w:val="20"/>
                <w:szCs w:val="20"/>
              </w:rPr>
              <w:t>Acceptability.</w:t>
            </w:r>
          </w:p>
          <w:p w:rsidR="009C6A81" w:rsidRDefault="00ED5651">
            <w:pPr>
              <w:numPr>
                <w:ilvl w:val="0"/>
                <w:numId w:val="46"/>
              </w:numPr>
              <w:jc w:val="left"/>
              <w:rPr>
                <w:sz w:val="20"/>
                <w:szCs w:val="20"/>
              </w:rPr>
            </w:pPr>
            <w:r>
              <w:rPr>
                <w:sz w:val="20"/>
                <w:szCs w:val="20"/>
              </w:rPr>
              <w:t>Factibility.</w:t>
            </w:r>
          </w:p>
        </w:tc>
        <w:tc>
          <w:tcPr>
            <w:tcW w:w="4140" w:type="dxa"/>
            <w:tcMar>
              <w:top w:w="150" w:type="dxa"/>
              <w:left w:w="150" w:type="dxa"/>
              <w:bottom w:w="150" w:type="dxa"/>
              <w:right w:w="150" w:type="dxa"/>
            </w:tcMar>
          </w:tcPr>
          <w:p w:rsidR="009C6A81" w:rsidRDefault="00ED5651">
            <w:pPr>
              <w:jc w:val="left"/>
              <w:rPr>
                <w:sz w:val="20"/>
                <w:szCs w:val="20"/>
              </w:rPr>
            </w:pPr>
            <w:r>
              <w:rPr>
                <w:sz w:val="20"/>
                <w:szCs w:val="20"/>
              </w:rPr>
              <w:t>Based on the indirect evidence identified and the panel's experience, referring potentially eligible individuals for metabolic surgery would result in great benefit.</w:t>
            </w:r>
          </w:p>
          <w:p w:rsidR="009C6A81" w:rsidRDefault="00ED5651">
            <w:pPr>
              <w:jc w:val="left"/>
              <w:rPr>
                <w:sz w:val="20"/>
                <w:szCs w:val="20"/>
                <w:shd w:val="clear" w:color="auto" w:fill="FF9900"/>
              </w:rPr>
            </w:pPr>
            <w:r>
              <w:rPr>
                <w:sz w:val="20"/>
                <w:szCs w:val="20"/>
                <w:shd w:val="clear" w:color="auto" w:fill="FF9900"/>
              </w:rPr>
              <w:t xml:space="preserve"> </w:t>
            </w:r>
          </w:p>
          <w:p w:rsidR="009C6A81" w:rsidRDefault="00ED5651">
            <w:pPr>
              <w:jc w:val="left"/>
              <w:rPr>
                <w:sz w:val="20"/>
                <w:szCs w:val="20"/>
                <w:shd w:val="clear" w:color="auto" w:fill="FF9900"/>
              </w:rPr>
            </w:pPr>
            <w:r>
              <w:rPr>
                <w:sz w:val="20"/>
                <w:szCs w:val="20"/>
              </w:rPr>
              <w:t>This statement is deemed to satisfy the following EtD criteria:</w:t>
            </w:r>
          </w:p>
          <w:p w:rsidR="009C6A81" w:rsidRDefault="00ED5651">
            <w:pPr>
              <w:numPr>
                <w:ilvl w:val="0"/>
                <w:numId w:val="4"/>
              </w:numPr>
              <w:rPr>
                <w:sz w:val="20"/>
                <w:szCs w:val="20"/>
              </w:rPr>
            </w:pPr>
            <w:r>
              <w:rPr>
                <w:b/>
                <w:sz w:val="20"/>
                <w:szCs w:val="20"/>
              </w:rPr>
              <w:t>Values:</w:t>
            </w:r>
            <w:r>
              <w:rPr>
                <w:sz w:val="20"/>
                <w:szCs w:val="20"/>
              </w:rPr>
              <w:t xml:space="preserve"> Probably all ind</w:t>
            </w:r>
            <w:r>
              <w:rPr>
                <w:sz w:val="20"/>
                <w:szCs w:val="20"/>
              </w:rPr>
              <w:t xml:space="preserve">ividuals potentially eligible for bariatric surgery place a high value on the expected postsurgical benefits. There is no reason to suspect variability in the values assigned to this outcome. </w:t>
            </w:r>
          </w:p>
          <w:p w:rsidR="009C6A81" w:rsidRDefault="00ED5651">
            <w:pPr>
              <w:numPr>
                <w:ilvl w:val="0"/>
                <w:numId w:val="4"/>
              </w:numPr>
              <w:rPr>
                <w:sz w:val="20"/>
                <w:szCs w:val="20"/>
              </w:rPr>
            </w:pPr>
            <w:r>
              <w:rPr>
                <w:b/>
                <w:sz w:val="20"/>
                <w:szCs w:val="20"/>
              </w:rPr>
              <w:t>Magnitude of resource requirement:</w:t>
            </w:r>
            <w:r>
              <w:rPr>
                <w:sz w:val="20"/>
                <w:szCs w:val="20"/>
              </w:rPr>
              <w:t xml:space="preserve">  Referring eligible individu</w:t>
            </w:r>
            <w:r>
              <w:rPr>
                <w:sz w:val="20"/>
                <w:szCs w:val="20"/>
              </w:rPr>
              <w:t>als for metabolic surgery to specialized care centers may require moderate costs associated with the implementation of a care coordination system in line with multimodal therapy for the treatment and follow-up of obesity. It also requires that these center</w:t>
            </w:r>
            <w:r>
              <w:rPr>
                <w:sz w:val="20"/>
                <w:szCs w:val="20"/>
              </w:rPr>
              <w:t>s have the capacity, infrastructure and sufficient staff to receive patients. For individuals, this could mean higher travel costs.</w:t>
            </w:r>
          </w:p>
          <w:p w:rsidR="009C6A81" w:rsidRDefault="00ED5651">
            <w:pPr>
              <w:numPr>
                <w:ilvl w:val="0"/>
                <w:numId w:val="4"/>
              </w:numPr>
              <w:rPr>
                <w:sz w:val="20"/>
                <w:szCs w:val="20"/>
              </w:rPr>
            </w:pPr>
            <w:r>
              <w:rPr>
                <w:b/>
                <w:sz w:val="20"/>
                <w:szCs w:val="20"/>
              </w:rPr>
              <w:t xml:space="preserve">Cost-effectiveness: </w:t>
            </w:r>
            <w:r>
              <w:rPr>
                <w:sz w:val="20"/>
                <w:szCs w:val="20"/>
              </w:rPr>
              <w:t>Although referring eligible people for metabolic surgery may mean additional cost, in patients with obes</w:t>
            </w:r>
            <w:r>
              <w:rPr>
                <w:sz w:val="20"/>
                <w:szCs w:val="20"/>
              </w:rPr>
              <w:t>ity and established type 2 diabetes, surgical management reduces the eventual long-term costs associated with inadequate metabolic control.</w:t>
            </w:r>
          </w:p>
          <w:p w:rsidR="009C6A81" w:rsidRDefault="00ED5651">
            <w:pPr>
              <w:numPr>
                <w:ilvl w:val="0"/>
                <w:numId w:val="4"/>
              </w:numPr>
              <w:rPr>
                <w:sz w:val="20"/>
                <w:szCs w:val="20"/>
              </w:rPr>
            </w:pPr>
            <w:r>
              <w:rPr>
                <w:b/>
                <w:sz w:val="20"/>
                <w:szCs w:val="20"/>
              </w:rPr>
              <w:t>Equity</w:t>
            </w:r>
            <w:r>
              <w:rPr>
                <w:sz w:val="20"/>
                <w:szCs w:val="20"/>
              </w:rPr>
              <w:t>: There could be an impact on equity due to economic and physical barriers (e.g., living in rural areas or far</w:t>
            </w:r>
            <w:r>
              <w:rPr>
                <w:sz w:val="20"/>
                <w:szCs w:val="20"/>
              </w:rPr>
              <w:t xml:space="preserve"> from health services) that could make it difficult for certain vulnerable groups to access specialized centers.</w:t>
            </w:r>
          </w:p>
          <w:p w:rsidR="009C6A81" w:rsidRDefault="00ED5651">
            <w:pPr>
              <w:numPr>
                <w:ilvl w:val="0"/>
                <w:numId w:val="4"/>
              </w:numPr>
              <w:rPr>
                <w:sz w:val="20"/>
                <w:szCs w:val="20"/>
              </w:rPr>
            </w:pPr>
            <w:r>
              <w:rPr>
                <w:b/>
                <w:sz w:val="20"/>
                <w:szCs w:val="20"/>
              </w:rPr>
              <w:t xml:space="preserve">Acceptability: </w:t>
            </w:r>
            <w:r>
              <w:rPr>
                <w:sz w:val="20"/>
                <w:szCs w:val="20"/>
              </w:rPr>
              <w:t xml:space="preserve">This intervention would be acceptable to health professionals, recognizing the limitations of the therapeutic alternatives they </w:t>
            </w:r>
            <w:r>
              <w:rPr>
                <w:sz w:val="20"/>
                <w:szCs w:val="20"/>
              </w:rPr>
              <w:t xml:space="preserve">can offer in low complexity centers and the advantages of interventions that specialized centers can offer. People living with obesity could </w:t>
            </w:r>
            <w:r>
              <w:rPr>
                <w:sz w:val="20"/>
                <w:szCs w:val="20"/>
              </w:rPr>
              <w:lastRenderedPageBreak/>
              <w:t xml:space="preserve">perceive their referral as acceptable if this is the best therapeutic alternative. </w:t>
            </w:r>
          </w:p>
          <w:p w:rsidR="009C6A81" w:rsidRDefault="00ED5651">
            <w:pPr>
              <w:numPr>
                <w:ilvl w:val="0"/>
                <w:numId w:val="4"/>
              </w:numPr>
              <w:rPr>
                <w:sz w:val="20"/>
                <w:szCs w:val="20"/>
              </w:rPr>
            </w:pPr>
            <w:r>
              <w:rPr>
                <w:b/>
                <w:sz w:val="20"/>
                <w:szCs w:val="20"/>
              </w:rPr>
              <w:t>Factibility:</w:t>
            </w:r>
            <w:r>
              <w:rPr>
                <w:sz w:val="20"/>
                <w:szCs w:val="20"/>
              </w:rPr>
              <w:t xml:space="preserve"> This alternative i</w:t>
            </w:r>
            <w:r>
              <w:rPr>
                <w:sz w:val="20"/>
                <w:szCs w:val="20"/>
              </w:rPr>
              <w:t xml:space="preserve">s feasible, since referring patients to specialized care centers is routinely done for other chronic diseases that require more complex treatments and long-term follow-up. There are some scales for predicting remission of type 2 diabetes (e.g., Ad-DiaRem, </w:t>
            </w:r>
            <w:r>
              <w:rPr>
                <w:sz w:val="20"/>
                <w:szCs w:val="20"/>
              </w:rPr>
              <w:t xml:space="preserve">ABCD, DRS or 5y-Ad-DiaRem), which could be considered in the referral to metabolic surgery.  </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sz w:val="20"/>
                <w:szCs w:val="20"/>
              </w:rPr>
            </w:pPr>
            <w:r>
              <w:rPr>
                <w:b/>
                <w:sz w:val="20"/>
                <w:szCs w:val="20"/>
              </w:rPr>
              <w:lastRenderedPageBreak/>
              <w:t xml:space="preserve">3. Collecting and summarizing the evidence is a poor use of a guideline panel´s limited time, energy or resources. The opportunity cost of collecting and summarizing the evidence is large and can be avoided.  </w:t>
            </w:r>
          </w:p>
        </w:tc>
        <w:tc>
          <w:tcPr>
            <w:tcW w:w="2520" w:type="dxa"/>
            <w:tcMar>
              <w:top w:w="150" w:type="dxa"/>
              <w:left w:w="150" w:type="dxa"/>
              <w:bottom w:w="150" w:type="dxa"/>
              <w:right w:w="150" w:type="dxa"/>
            </w:tcMar>
          </w:tcPr>
          <w:p w:rsidR="009C6A81" w:rsidRDefault="00ED5651">
            <w:pPr>
              <w:numPr>
                <w:ilvl w:val="0"/>
                <w:numId w:val="58"/>
              </w:numPr>
              <w:jc w:val="left"/>
              <w:rPr>
                <w:sz w:val="20"/>
                <w:szCs w:val="20"/>
              </w:rPr>
            </w:pPr>
            <w:r>
              <w:rPr>
                <w:b/>
                <w:sz w:val="20"/>
                <w:szCs w:val="20"/>
              </w:rPr>
              <w:t>Yes</w:t>
            </w:r>
          </w:p>
          <w:p w:rsidR="009C6A81" w:rsidRDefault="00ED5651">
            <w:pPr>
              <w:numPr>
                <w:ilvl w:val="0"/>
                <w:numId w:val="58"/>
              </w:numPr>
              <w:jc w:val="left"/>
              <w:rPr>
                <w:color w:val="AEAAAA"/>
                <w:sz w:val="20"/>
                <w:szCs w:val="20"/>
              </w:rPr>
            </w:pPr>
            <w:r>
              <w:rPr>
                <w:color w:val="AEAAAA"/>
                <w:sz w:val="20"/>
                <w:szCs w:val="20"/>
              </w:rPr>
              <w:t>Probably yes</w:t>
            </w:r>
          </w:p>
          <w:p w:rsidR="009C6A81" w:rsidRDefault="00ED5651">
            <w:pPr>
              <w:numPr>
                <w:ilvl w:val="0"/>
                <w:numId w:val="58"/>
              </w:numPr>
              <w:jc w:val="left"/>
              <w:rPr>
                <w:color w:val="AEAAAA"/>
                <w:sz w:val="20"/>
                <w:szCs w:val="20"/>
              </w:rPr>
            </w:pPr>
            <w:r>
              <w:rPr>
                <w:color w:val="AEAAAA"/>
                <w:sz w:val="20"/>
                <w:szCs w:val="20"/>
              </w:rPr>
              <w:t>Probably not</w:t>
            </w:r>
          </w:p>
          <w:p w:rsidR="009C6A81" w:rsidRDefault="00ED5651">
            <w:pPr>
              <w:numPr>
                <w:ilvl w:val="0"/>
                <w:numId w:val="58"/>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Referring pa</w:t>
            </w:r>
            <w:r>
              <w:rPr>
                <w:sz w:val="20"/>
                <w:szCs w:val="20"/>
              </w:rPr>
              <w:t>tients to specialized centers when they would potentially benefit from the multidisciplinary interventions that these services can offer responds to the clinical standard of care for the management and follow-up of obesity, type 2 diabetes, and any other c</w:t>
            </w:r>
            <w:r>
              <w:rPr>
                <w:sz w:val="20"/>
                <w:szCs w:val="20"/>
              </w:rPr>
              <w:t>omplex chronic disease. This is why collecting, summarizing, and formally discussing the evidence would not be a good use of resources.</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4. There is well-documented clear and explicit rationale connecting the indirect evidence.</w:t>
            </w:r>
          </w:p>
        </w:tc>
        <w:tc>
          <w:tcPr>
            <w:tcW w:w="2520" w:type="dxa"/>
            <w:tcMar>
              <w:top w:w="150" w:type="dxa"/>
              <w:left w:w="150" w:type="dxa"/>
              <w:bottom w:w="150" w:type="dxa"/>
              <w:right w:w="150" w:type="dxa"/>
            </w:tcMar>
          </w:tcPr>
          <w:p w:rsidR="009C6A81" w:rsidRDefault="00ED5651">
            <w:pPr>
              <w:numPr>
                <w:ilvl w:val="0"/>
                <w:numId w:val="58"/>
              </w:numPr>
              <w:jc w:val="left"/>
              <w:rPr>
                <w:sz w:val="20"/>
                <w:szCs w:val="20"/>
              </w:rPr>
            </w:pPr>
            <w:r>
              <w:rPr>
                <w:b/>
                <w:sz w:val="20"/>
                <w:szCs w:val="20"/>
              </w:rPr>
              <w:t>Yes</w:t>
            </w:r>
          </w:p>
          <w:p w:rsidR="009C6A81" w:rsidRDefault="00ED5651">
            <w:pPr>
              <w:numPr>
                <w:ilvl w:val="0"/>
                <w:numId w:val="58"/>
              </w:numPr>
              <w:jc w:val="left"/>
              <w:rPr>
                <w:color w:val="AEAAAA"/>
                <w:sz w:val="20"/>
                <w:szCs w:val="20"/>
              </w:rPr>
            </w:pPr>
            <w:r>
              <w:rPr>
                <w:color w:val="AEAAAA"/>
                <w:sz w:val="20"/>
                <w:szCs w:val="20"/>
              </w:rPr>
              <w:t>Probably yes</w:t>
            </w:r>
          </w:p>
          <w:p w:rsidR="009C6A81" w:rsidRDefault="00ED5651">
            <w:pPr>
              <w:numPr>
                <w:ilvl w:val="0"/>
                <w:numId w:val="58"/>
              </w:numPr>
              <w:jc w:val="left"/>
              <w:rPr>
                <w:color w:val="AEAAAA"/>
                <w:sz w:val="20"/>
                <w:szCs w:val="20"/>
              </w:rPr>
            </w:pPr>
            <w:r>
              <w:rPr>
                <w:color w:val="AEAAAA"/>
                <w:sz w:val="20"/>
                <w:szCs w:val="20"/>
              </w:rPr>
              <w:t>Probably not</w:t>
            </w:r>
          </w:p>
          <w:p w:rsidR="009C6A81" w:rsidRDefault="00ED5651">
            <w:pPr>
              <w:numPr>
                <w:ilvl w:val="0"/>
                <w:numId w:val="58"/>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rPr>
            </w:pPr>
            <w:r>
              <w:rPr>
                <w:sz w:val="20"/>
                <w:szCs w:val="20"/>
              </w:rPr>
              <w:t>Indirect evidence from Canadian (1,2) and European (3) clinical practice guidelines was identified to support this good practice statement. In them, metabolic surgery was found to be more effective than other treatments for type 2 diabetes</w:t>
            </w:r>
            <w:r>
              <w:rPr>
                <w:sz w:val="20"/>
                <w:szCs w:val="20"/>
              </w:rPr>
              <w:t xml:space="preserve"> control in people living with obesity (1,2). In this group there is evidence of the benefits of surgery for the remission or improvement of diabetes in the short and medium term (3).</w:t>
            </w:r>
          </w:p>
        </w:tc>
      </w:tr>
      <w:tr w:rsidR="009C6A81">
        <w:tc>
          <w:tcPr>
            <w:tcW w:w="2355" w:type="dxa"/>
            <w:tcBorders>
              <w:top w:val="single" w:sz="4" w:space="0" w:color="000000"/>
              <w:left w:val="single" w:sz="4" w:space="0" w:color="000000"/>
              <w:bottom w:val="single" w:sz="4" w:space="0" w:color="000000"/>
              <w:right w:val="single" w:sz="4" w:space="0" w:color="000000"/>
            </w:tcBorders>
            <w:shd w:val="clear" w:color="auto" w:fill="F1F2F2"/>
            <w:tcMar>
              <w:top w:w="120" w:type="dxa"/>
              <w:left w:w="120" w:type="dxa"/>
              <w:bottom w:w="120" w:type="dxa"/>
              <w:right w:w="120" w:type="dxa"/>
            </w:tcMar>
            <w:vAlign w:val="center"/>
          </w:tcPr>
          <w:p w:rsidR="009C6A81" w:rsidRDefault="00ED5651">
            <w:pPr>
              <w:jc w:val="left"/>
              <w:rPr>
                <w:b/>
                <w:sz w:val="20"/>
                <w:szCs w:val="20"/>
              </w:rPr>
            </w:pPr>
            <w:r>
              <w:rPr>
                <w:b/>
                <w:sz w:val="20"/>
                <w:szCs w:val="20"/>
              </w:rPr>
              <w:t>5. The declaration is clear and actionable.</w:t>
            </w:r>
          </w:p>
        </w:tc>
        <w:tc>
          <w:tcPr>
            <w:tcW w:w="2520" w:type="dxa"/>
            <w:tcMar>
              <w:top w:w="150" w:type="dxa"/>
              <w:left w:w="150" w:type="dxa"/>
              <w:bottom w:w="150" w:type="dxa"/>
              <w:right w:w="150" w:type="dxa"/>
            </w:tcMar>
          </w:tcPr>
          <w:p w:rsidR="009C6A81" w:rsidRDefault="00ED5651">
            <w:pPr>
              <w:numPr>
                <w:ilvl w:val="0"/>
                <w:numId w:val="58"/>
              </w:numPr>
              <w:jc w:val="left"/>
              <w:rPr>
                <w:sz w:val="20"/>
                <w:szCs w:val="20"/>
              </w:rPr>
            </w:pPr>
            <w:r>
              <w:rPr>
                <w:b/>
                <w:sz w:val="20"/>
                <w:szCs w:val="20"/>
              </w:rPr>
              <w:t>Yes</w:t>
            </w:r>
          </w:p>
          <w:p w:rsidR="009C6A81" w:rsidRDefault="00ED5651">
            <w:pPr>
              <w:numPr>
                <w:ilvl w:val="0"/>
                <w:numId w:val="58"/>
              </w:numPr>
              <w:jc w:val="left"/>
              <w:rPr>
                <w:color w:val="AEAAAA"/>
                <w:sz w:val="20"/>
                <w:szCs w:val="20"/>
              </w:rPr>
            </w:pPr>
            <w:r>
              <w:rPr>
                <w:color w:val="AEAAAA"/>
                <w:sz w:val="20"/>
                <w:szCs w:val="20"/>
              </w:rPr>
              <w:t>Probably yes</w:t>
            </w:r>
          </w:p>
          <w:p w:rsidR="009C6A81" w:rsidRDefault="00ED5651">
            <w:pPr>
              <w:numPr>
                <w:ilvl w:val="0"/>
                <w:numId w:val="58"/>
              </w:numPr>
              <w:jc w:val="left"/>
              <w:rPr>
                <w:color w:val="AEAAAA"/>
                <w:sz w:val="20"/>
                <w:szCs w:val="20"/>
              </w:rPr>
            </w:pPr>
            <w:r>
              <w:rPr>
                <w:color w:val="AEAAAA"/>
                <w:sz w:val="20"/>
                <w:szCs w:val="20"/>
              </w:rPr>
              <w:t>Probably not</w:t>
            </w:r>
          </w:p>
          <w:p w:rsidR="009C6A81" w:rsidRDefault="00ED5651">
            <w:pPr>
              <w:numPr>
                <w:ilvl w:val="0"/>
                <w:numId w:val="58"/>
              </w:numPr>
              <w:jc w:val="left"/>
              <w:rPr>
                <w:color w:val="AEAAAA"/>
                <w:sz w:val="20"/>
                <w:szCs w:val="20"/>
              </w:rPr>
            </w:pPr>
            <w:r>
              <w:rPr>
                <w:color w:val="AEAAAA"/>
                <w:sz w:val="20"/>
                <w:szCs w:val="20"/>
              </w:rPr>
              <w:t>Not</w:t>
            </w:r>
          </w:p>
        </w:tc>
        <w:tc>
          <w:tcPr>
            <w:tcW w:w="4140" w:type="dxa"/>
            <w:tcMar>
              <w:top w:w="150" w:type="dxa"/>
              <w:left w:w="150" w:type="dxa"/>
              <w:bottom w:w="150" w:type="dxa"/>
              <w:right w:w="150" w:type="dxa"/>
            </w:tcMar>
          </w:tcPr>
          <w:p w:rsidR="009C6A81" w:rsidRDefault="00ED5651">
            <w:pPr>
              <w:rPr>
                <w:sz w:val="20"/>
                <w:szCs w:val="20"/>
                <w:shd w:val="clear" w:color="auto" w:fill="FF9900"/>
              </w:rPr>
            </w:pPr>
            <w:r>
              <w:rPr>
                <w:sz w:val="20"/>
                <w:szCs w:val="20"/>
              </w:rPr>
              <w:t xml:space="preserve">This statement sets out a clear course of action: that health professionals refer potentially eligible persons for metabolic surgery to a specialized care center. It indicates who the eligible individuals would be (those presenting with a </w:t>
            </w:r>
            <w:r>
              <w:rPr>
                <w:sz w:val="20"/>
                <w:szCs w:val="20"/>
              </w:rPr>
              <w:t>BMI≥ 30 kg/m2 and type 2 diabetes with potential for remission).</w:t>
            </w:r>
          </w:p>
        </w:tc>
      </w:tr>
      <w:tr w:rsidR="009C6A81">
        <w:trPr>
          <w:trHeight w:val="500"/>
        </w:trPr>
        <w:tc>
          <w:tcPr>
            <w:tcW w:w="9015" w:type="dxa"/>
            <w:gridSpan w:val="3"/>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vAlign w:val="center"/>
          </w:tcPr>
          <w:p w:rsidR="009C6A81" w:rsidRDefault="00ED5651">
            <w:pPr>
              <w:numPr>
                <w:ilvl w:val="0"/>
                <w:numId w:val="103"/>
              </w:numPr>
              <w:tabs>
                <w:tab w:val="left" w:pos="142"/>
              </w:tabs>
              <w:spacing w:line="276" w:lineRule="auto"/>
              <w:rPr>
                <w:sz w:val="18"/>
                <w:szCs w:val="18"/>
              </w:rPr>
            </w:pPr>
            <w:r>
              <w:rPr>
                <w:sz w:val="18"/>
                <w:szCs w:val="18"/>
              </w:rPr>
              <w:t>Sean Wharton, David C.W. Lau, Michael Vallis, Arya M. Sharma, Laurent Biertho, Denise Campbell-Scherer, Kristi Adamo, Angela Alberga, Rhonda Bell, Normand Boulé, Elaine Boyling, Jennifer Brown, Betty Calam, Carol Clarke, Lindsay Crowshoe, Dennis Divalentin</w:t>
            </w:r>
            <w:r>
              <w:rPr>
                <w:sz w:val="18"/>
                <w:szCs w:val="18"/>
              </w:rPr>
              <w:t xml:space="preserve">o, Mary Forhan, Yoni Freedhoff, Michel Gagner, Stephen Glazer, Cindy Grand, Michael Green, Margaret Hahn, Raed Hawa, Rita Henderson, Dennis Hong, Pam Hung, Ian Janssen, Kristen Jacklin, Carlene Johnson-Stoklossa, Amy Kemp, Sara Kirk, </w:t>
            </w:r>
            <w:r>
              <w:rPr>
                <w:sz w:val="18"/>
                <w:szCs w:val="18"/>
              </w:rPr>
              <w:lastRenderedPageBreak/>
              <w:t>Jennifer Kuk, Marie-Fr</w:t>
            </w:r>
            <w:r>
              <w:rPr>
                <w:sz w:val="18"/>
                <w:szCs w:val="18"/>
              </w:rPr>
              <w:t>ance Langlois, Scott Lear, Ashley McInnes, David Macklin, Leen Naji, Priya Manjoo, Marie-Philippe Morin, Kara Nerenberg, Ian Patton, Sue Pedersen, Leticia Pereira, Helena Piccinini-Vallis, Megha Poddar, Paul Poirier, Denis Prud’homme, Ximena Ramos Salas, C</w:t>
            </w:r>
            <w:r>
              <w:rPr>
                <w:sz w:val="18"/>
                <w:szCs w:val="18"/>
              </w:rPr>
              <w:t>hristian Rueda-Clausen, Shelly Russell-Mayhew, Judy Shiau, Diana Sherifali, John Sievenpiper, Sanjeev Sockalingam, Valerie Taylor, Ellen Toth, Laurie Twells, Richard Tytus, Shahebina Walji, Leah Walker, Sonja Wicklum. Obesity in adults: a clinical practice</w:t>
            </w:r>
            <w:r>
              <w:rPr>
                <w:sz w:val="18"/>
                <w:szCs w:val="18"/>
              </w:rPr>
              <w:t xml:space="preserve"> guideline. CMAJ Aug 2020, 192 (31) E875-E891; DOI: 10.1503/cmaj.191707.</w:t>
            </w:r>
          </w:p>
          <w:p w:rsidR="009C6A81" w:rsidRDefault="00ED5651">
            <w:pPr>
              <w:numPr>
                <w:ilvl w:val="0"/>
                <w:numId w:val="103"/>
              </w:numPr>
              <w:tabs>
                <w:tab w:val="left" w:pos="142"/>
              </w:tabs>
              <w:spacing w:line="276" w:lineRule="auto"/>
              <w:rPr>
                <w:sz w:val="18"/>
                <w:szCs w:val="18"/>
              </w:rPr>
            </w:pPr>
            <w:r>
              <w:rPr>
                <w:sz w:val="18"/>
                <w:szCs w:val="18"/>
              </w:rPr>
              <w:t xml:space="preserve">Biertho L, Hong D, Gagner M. Canadian Adult Obesity Clinical Practice Guidelines: Bariatric Surgery: Surgical Options and Outcomes. Available from: </w:t>
            </w:r>
            <w:hyperlink r:id="rId55">
              <w:r>
                <w:rPr>
                  <w:color w:val="1155CC"/>
                  <w:sz w:val="18"/>
                  <w:szCs w:val="18"/>
                  <w:u w:val="single"/>
                </w:rPr>
                <w:t>https://obesitycanada.ca/guidelines/surgeryoptions</w:t>
              </w:r>
            </w:hyperlink>
            <w:r>
              <w:rPr>
                <w:sz w:val="18"/>
                <w:szCs w:val="18"/>
              </w:rPr>
              <w:t xml:space="preserve"> </w:t>
            </w:r>
          </w:p>
          <w:p w:rsidR="009C6A81" w:rsidRDefault="00ED5651">
            <w:pPr>
              <w:numPr>
                <w:ilvl w:val="0"/>
                <w:numId w:val="103"/>
              </w:numPr>
              <w:tabs>
                <w:tab w:val="left" w:pos="142"/>
              </w:tabs>
              <w:spacing w:line="276" w:lineRule="auto"/>
              <w:rPr>
                <w:sz w:val="18"/>
                <w:szCs w:val="18"/>
              </w:rPr>
            </w:pPr>
            <w:r>
              <w:rPr>
                <w:sz w:val="18"/>
                <w:szCs w:val="18"/>
              </w:rPr>
              <w:t>Yumuk V, Tsigos C, Fried M, et al. European Guidelines for Obesity Management in Adults [published correction appears in Obes Facts. 2016;9(1):64. doi: 10.1159/000444869</w:t>
            </w:r>
            <w:r>
              <w:rPr>
                <w:sz w:val="18"/>
                <w:szCs w:val="18"/>
              </w:rPr>
              <w:t>]. Obes Facts. 2015;8(6):402-424. doi:10.1159/000442721</w:t>
            </w:r>
          </w:p>
        </w:tc>
      </w:tr>
    </w:tbl>
    <w:p w:rsidR="009C6A81" w:rsidRDefault="009C6A81">
      <w:pPr>
        <w:jc w:val="left"/>
      </w:pPr>
    </w:p>
    <w:p w:rsidR="009C6A81" w:rsidRDefault="009C6A81"/>
    <w:p w:rsidR="009C6A81" w:rsidRDefault="009C6A81">
      <w:pPr>
        <w:pStyle w:val="Ttulo2"/>
        <w:ind w:hanging="990"/>
      </w:pPr>
      <w:bookmarkStart w:id="77" w:name="_xzdgzx35s3ac" w:colFirst="0" w:colLast="0"/>
      <w:bookmarkEnd w:id="77"/>
    </w:p>
    <w:p w:rsidR="009C6A81" w:rsidRDefault="009C6A81">
      <w:pPr>
        <w:pStyle w:val="Ttulo2"/>
        <w:ind w:hanging="990"/>
        <w:sectPr w:rsidR="009C6A81">
          <w:pgSz w:w="12240" w:h="15840"/>
          <w:pgMar w:top="0" w:right="1701" w:bottom="1020" w:left="1701" w:header="709" w:footer="567" w:gutter="0"/>
          <w:cols w:space="720"/>
        </w:sectPr>
      </w:pPr>
      <w:bookmarkStart w:id="78" w:name="_tt1dannyvmg6" w:colFirst="0" w:colLast="0"/>
      <w:bookmarkEnd w:id="78"/>
    </w:p>
    <w:p w:rsidR="009C6A81" w:rsidRDefault="00ED5651">
      <w:pPr>
        <w:pStyle w:val="Ttulo2"/>
        <w:ind w:hanging="990"/>
      </w:pPr>
      <w:bookmarkStart w:id="79" w:name="_f3vrhq3mmv9o" w:colFirst="0" w:colLast="0"/>
      <w:bookmarkEnd w:id="79"/>
      <w:r>
        <w:lastRenderedPageBreak/>
        <w:t>Appendix 4.Conflicts of interest (methods team)</w:t>
      </w:r>
    </w:p>
    <w:p w:rsidR="009C6A81" w:rsidRDefault="009C6A81"/>
    <w:p w:rsidR="009C6A81" w:rsidRDefault="009C6A81"/>
    <w:p w:rsidR="009C6A81" w:rsidRDefault="00ED5651">
      <w:r>
        <w:t>Below is a summary of the conflict of interest declarations from the participants of the methodological team that developed the guide.</w:t>
      </w:r>
    </w:p>
    <w:p w:rsidR="009C6A81" w:rsidRDefault="009C6A81"/>
    <w:tbl>
      <w:tblPr>
        <w:tblStyle w:val="afffff3"/>
        <w:tblW w:w="9810" w:type="dxa"/>
        <w:tblInd w:w="-99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600" w:firstRow="0" w:lastRow="0" w:firstColumn="0" w:lastColumn="0" w:noHBand="1" w:noVBand="1"/>
      </w:tblPr>
      <w:tblGrid>
        <w:gridCol w:w="3420"/>
        <w:gridCol w:w="1380"/>
        <w:gridCol w:w="1545"/>
        <w:gridCol w:w="1965"/>
        <w:gridCol w:w="1500"/>
      </w:tblGrid>
      <w:tr w:rsidR="009C6A81">
        <w:trPr>
          <w:trHeight w:val="440"/>
        </w:trPr>
        <w:tc>
          <w:tcPr>
            <w:tcW w:w="3420" w:type="dxa"/>
            <w:shd w:val="clear" w:color="auto" w:fill="1F2136"/>
            <w:tcMar>
              <w:top w:w="100" w:type="dxa"/>
              <w:left w:w="100" w:type="dxa"/>
              <w:bottom w:w="100" w:type="dxa"/>
              <w:right w:w="100" w:type="dxa"/>
            </w:tcMar>
          </w:tcPr>
          <w:p w:rsidR="009C6A81" w:rsidRDefault="00ED5651">
            <w:pPr>
              <w:rPr>
                <w:color w:val="FFFFFF"/>
                <w:sz w:val="20"/>
                <w:szCs w:val="20"/>
              </w:rPr>
            </w:pPr>
            <w:r>
              <w:rPr>
                <w:color w:val="FFFFFF"/>
                <w:sz w:val="20"/>
                <w:szCs w:val="20"/>
              </w:rPr>
              <w:t>Name</w:t>
            </w:r>
          </w:p>
        </w:tc>
        <w:tc>
          <w:tcPr>
            <w:tcW w:w="1380" w:type="dxa"/>
            <w:shd w:val="clear" w:color="auto" w:fill="1F2136"/>
            <w:tcMar>
              <w:top w:w="100" w:type="dxa"/>
              <w:left w:w="100" w:type="dxa"/>
              <w:bottom w:w="100" w:type="dxa"/>
              <w:right w:w="100" w:type="dxa"/>
            </w:tcMar>
          </w:tcPr>
          <w:p w:rsidR="009C6A81" w:rsidRDefault="00ED5651">
            <w:pPr>
              <w:jc w:val="left"/>
              <w:rPr>
                <w:color w:val="FFFFFF"/>
                <w:sz w:val="20"/>
                <w:szCs w:val="20"/>
              </w:rPr>
            </w:pPr>
            <w:r>
              <w:rPr>
                <w:color w:val="FFFFFF"/>
                <w:sz w:val="20"/>
                <w:szCs w:val="20"/>
              </w:rPr>
              <w:t xml:space="preserve">A. Personal financial interests </w:t>
            </w:r>
          </w:p>
        </w:tc>
        <w:tc>
          <w:tcPr>
            <w:tcW w:w="1545" w:type="dxa"/>
            <w:shd w:val="clear" w:color="auto" w:fill="1F2136"/>
            <w:tcMar>
              <w:top w:w="100" w:type="dxa"/>
              <w:left w:w="100" w:type="dxa"/>
              <w:bottom w:w="100" w:type="dxa"/>
              <w:right w:w="100" w:type="dxa"/>
            </w:tcMar>
          </w:tcPr>
          <w:p w:rsidR="009C6A81" w:rsidRDefault="00ED5651">
            <w:pPr>
              <w:jc w:val="left"/>
              <w:rPr>
                <w:color w:val="FFFFFF"/>
                <w:sz w:val="20"/>
                <w:szCs w:val="20"/>
              </w:rPr>
            </w:pPr>
            <w:r>
              <w:rPr>
                <w:color w:val="FFFFFF"/>
                <w:sz w:val="20"/>
                <w:szCs w:val="20"/>
              </w:rPr>
              <w:t xml:space="preserve">B. Non-personal financial interests </w:t>
            </w:r>
          </w:p>
        </w:tc>
        <w:tc>
          <w:tcPr>
            <w:tcW w:w="1965" w:type="dxa"/>
            <w:shd w:val="clear" w:color="auto" w:fill="1F2136"/>
            <w:tcMar>
              <w:top w:w="100" w:type="dxa"/>
              <w:left w:w="100" w:type="dxa"/>
              <w:bottom w:w="100" w:type="dxa"/>
              <w:right w:w="100" w:type="dxa"/>
            </w:tcMar>
          </w:tcPr>
          <w:p w:rsidR="009C6A81" w:rsidRDefault="00ED5651">
            <w:pPr>
              <w:jc w:val="left"/>
              <w:rPr>
                <w:color w:val="FFFFFF"/>
                <w:sz w:val="20"/>
                <w:szCs w:val="20"/>
              </w:rPr>
            </w:pPr>
            <w:r>
              <w:rPr>
                <w:color w:val="FFFFFF"/>
                <w:sz w:val="20"/>
                <w:szCs w:val="20"/>
              </w:rPr>
              <w:t xml:space="preserve">C. Personal non-financial interests </w:t>
            </w:r>
          </w:p>
        </w:tc>
        <w:tc>
          <w:tcPr>
            <w:tcW w:w="1500" w:type="dxa"/>
            <w:shd w:val="clear" w:color="auto" w:fill="1F2136"/>
            <w:tcMar>
              <w:top w:w="100" w:type="dxa"/>
              <w:left w:w="100" w:type="dxa"/>
              <w:bottom w:w="100" w:type="dxa"/>
              <w:right w:w="100" w:type="dxa"/>
            </w:tcMar>
          </w:tcPr>
          <w:p w:rsidR="009C6A81" w:rsidRDefault="00ED5651">
            <w:pPr>
              <w:jc w:val="left"/>
              <w:rPr>
                <w:color w:val="FFFFFF"/>
                <w:sz w:val="20"/>
                <w:szCs w:val="20"/>
              </w:rPr>
            </w:pPr>
            <w:r>
              <w:rPr>
                <w:color w:val="FFFFFF"/>
                <w:sz w:val="20"/>
                <w:szCs w:val="20"/>
              </w:rPr>
              <w:t>D. Personal financial interests of a family member*</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Gabriel Rada</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vertAlign w:val="superscript"/>
              </w:rPr>
            </w:pPr>
            <w:r>
              <w:rPr>
                <w:sz w:val="20"/>
                <w:szCs w:val="20"/>
              </w:rPr>
              <w:t>Camila Ávila-Oliver</w:t>
            </w:r>
            <w:r>
              <w:rPr>
                <w:sz w:val="20"/>
                <w:szCs w:val="20"/>
                <w:vertAlign w:val="superscript"/>
              </w:rPr>
              <w:t>1</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Si</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Javiera Peña</w:t>
            </w:r>
            <w:r>
              <w:rPr>
                <w:sz w:val="20"/>
                <w:szCs w:val="20"/>
                <w:vertAlign w:val="superscript"/>
              </w:rPr>
              <w:t>2</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Si</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José Ramos-Rojas</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Francy Cantor-Cruz</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vertAlign w:val="superscript"/>
              </w:rPr>
            </w:pPr>
            <w:r>
              <w:rPr>
                <w:sz w:val="20"/>
                <w:szCs w:val="20"/>
              </w:rPr>
              <w:t>Valentina Veloso</w:t>
            </w:r>
            <w:r>
              <w:rPr>
                <w:sz w:val="20"/>
                <w:szCs w:val="20"/>
                <w:vertAlign w:val="superscript"/>
              </w:rPr>
              <w:t>3</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Si</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Diana Biscay</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Ana María Rojas-Gómez</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Sebastián Pinto</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Sergio Fernández</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Magdalena Bignon</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342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Paula Zambrano-Achig</w:t>
            </w:r>
          </w:p>
        </w:tc>
        <w:tc>
          <w:tcPr>
            <w:tcW w:w="138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4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965"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c>
          <w:tcPr>
            <w:tcW w:w="1500" w:type="dxa"/>
            <w:shd w:val="clear" w:color="auto" w:fill="auto"/>
            <w:tcMar>
              <w:top w:w="100" w:type="dxa"/>
              <w:left w:w="100" w:type="dxa"/>
              <w:bottom w:w="100" w:type="dxa"/>
              <w:right w:w="100" w:type="dxa"/>
            </w:tcMar>
          </w:tcPr>
          <w:p w:rsidR="009C6A81" w:rsidRDefault="00ED5651">
            <w:pPr>
              <w:widowControl w:val="0"/>
              <w:rPr>
                <w:sz w:val="20"/>
                <w:szCs w:val="20"/>
              </w:rPr>
            </w:pPr>
            <w:r>
              <w:rPr>
                <w:sz w:val="20"/>
                <w:szCs w:val="20"/>
              </w:rPr>
              <w:t>No</w:t>
            </w:r>
          </w:p>
        </w:tc>
      </w:tr>
      <w:tr w:rsidR="009C6A81">
        <w:trPr>
          <w:trHeight w:val="440"/>
        </w:trPr>
        <w:tc>
          <w:tcPr>
            <w:tcW w:w="9810" w:type="dxa"/>
            <w:gridSpan w:val="5"/>
            <w:shd w:val="clear" w:color="auto" w:fill="auto"/>
            <w:tcMar>
              <w:top w:w="100" w:type="dxa"/>
              <w:left w:w="100" w:type="dxa"/>
              <w:bottom w:w="100" w:type="dxa"/>
              <w:right w:w="100" w:type="dxa"/>
            </w:tcMar>
          </w:tcPr>
          <w:p w:rsidR="009C6A81" w:rsidRDefault="00ED5651">
            <w:pPr>
              <w:widowControl w:val="0"/>
              <w:rPr>
                <w:sz w:val="18"/>
                <w:szCs w:val="18"/>
              </w:rPr>
            </w:pPr>
            <w:r>
              <w:rPr>
                <w:sz w:val="18"/>
                <w:szCs w:val="18"/>
              </w:rPr>
              <w:t>Note: *The family member is a first-degree relative, spouse, or permanent partner.</w:t>
            </w:r>
          </w:p>
          <w:p w:rsidR="009C6A81" w:rsidRDefault="00ED5651">
            <w:pPr>
              <w:widowControl w:val="0"/>
              <w:numPr>
                <w:ilvl w:val="0"/>
                <w:numId w:val="42"/>
              </w:numPr>
              <w:rPr>
                <w:sz w:val="18"/>
                <w:szCs w:val="18"/>
              </w:rPr>
            </w:pPr>
            <w:r>
              <w:rPr>
                <w:sz w:val="18"/>
                <w:szCs w:val="18"/>
              </w:rPr>
              <w:t>Lecturer at Universidad San Sebastián (teaching undergraduate courses; non-financial interest).</w:t>
            </w:r>
          </w:p>
          <w:p w:rsidR="009C6A81" w:rsidRDefault="00ED5651">
            <w:pPr>
              <w:widowControl w:val="0"/>
              <w:numPr>
                <w:ilvl w:val="0"/>
                <w:numId w:val="42"/>
              </w:numPr>
              <w:rPr>
                <w:sz w:val="18"/>
                <w:szCs w:val="18"/>
              </w:rPr>
            </w:pPr>
            <w:r>
              <w:rPr>
                <w:sz w:val="18"/>
                <w:szCs w:val="18"/>
              </w:rPr>
              <w:t>Lecturer at Pontificia Universidad Católica</w:t>
            </w:r>
            <w:r>
              <w:rPr>
                <w:sz w:val="18"/>
                <w:szCs w:val="18"/>
              </w:rPr>
              <w:t xml:space="preserve"> de Chile (teaching undergraduate courses; non-financial interest).</w:t>
            </w:r>
          </w:p>
          <w:p w:rsidR="009C6A81" w:rsidRDefault="00ED5651">
            <w:pPr>
              <w:widowControl w:val="0"/>
              <w:numPr>
                <w:ilvl w:val="0"/>
                <w:numId w:val="42"/>
              </w:numPr>
              <w:rPr>
                <w:sz w:val="18"/>
                <w:szCs w:val="18"/>
              </w:rPr>
            </w:pPr>
            <w:r>
              <w:rPr>
                <w:sz w:val="18"/>
                <w:szCs w:val="18"/>
              </w:rPr>
              <w:t>Lecturer at Pontificia Universidad Católica de Chile (teaching undergraduate courses and providing research advisory; non-financial interest).</w:t>
            </w:r>
          </w:p>
        </w:tc>
      </w:tr>
    </w:tbl>
    <w:p w:rsidR="009C6A81" w:rsidRDefault="009C6A81"/>
    <w:p w:rsidR="009C6A81" w:rsidRDefault="00ED5651">
      <w:pPr>
        <w:sectPr w:rsidR="009C6A81">
          <w:pgSz w:w="12240" w:h="15840"/>
          <w:pgMar w:top="0" w:right="1701" w:bottom="1020" w:left="1701" w:header="709" w:footer="567" w:gutter="0"/>
          <w:cols w:space="720"/>
        </w:sectPr>
      </w:pPr>
      <w:r>
        <w:lastRenderedPageBreak/>
        <w:t>After consideration by the development team, the personal non-financial conflicts of interest of the methodological team do not influence the formulation of recommendations in this Clinical Practice Guideline, and therefore their participation was not limi</w:t>
      </w:r>
      <w:r>
        <w:t>ted.</w:t>
      </w:r>
    </w:p>
    <w:p w:rsidR="009C6A81" w:rsidRDefault="009C6A81">
      <w:pPr>
        <w:spacing w:before="80"/>
        <w:ind w:right="-943"/>
        <w:rPr>
          <w:rFonts w:ascii="IBM Plex Mono" w:eastAsia="IBM Plex Mono" w:hAnsi="IBM Plex Mono" w:cs="IBM Plex Mono"/>
          <w:color w:val="2EB2E8"/>
          <w:sz w:val="21"/>
          <w:szCs w:val="21"/>
          <w:highlight w:val="white"/>
        </w:rPr>
      </w:pPr>
      <w:bookmarkStart w:id="80" w:name="_2ce457m" w:colFirst="0" w:colLast="0"/>
      <w:bookmarkEnd w:id="80"/>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ED5651">
      <w:pPr>
        <w:spacing w:before="80"/>
        <w:ind w:right="-943"/>
        <w:rPr>
          <w:rFonts w:ascii="IBM Plex Mono" w:eastAsia="IBM Plex Mono" w:hAnsi="IBM Plex Mono" w:cs="IBM Plex Mono"/>
          <w:color w:val="2EB2E8"/>
          <w:sz w:val="21"/>
          <w:szCs w:val="21"/>
          <w:highlight w:val="white"/>
        </w:rPr>
      </w:pPr>
      <w:r>
        <w:rPr>
          <w:noProof/>
        </w:rPr>
        <mc:AlternateContent>
          <mc:Choice Requires="wpg">
            <w:drawing>
              <wp:anchor distT="0" distB="0" distL="0" distR="0" simplePos="0" relativeHeight="251661312" behindDoc="1" locked="0" layoutInCell="1" hidden="0" allowOverlap="1">
                <wp:simplePos x="0" y="0"/>
                <wp:positionH relativeFrom="column">
                  <wp:posOffset>-139699</wp:posOffset>
                </wp:positionH>
                <wp:positionV relativeFrom="paragraph">
                  <wp:posOffset>-2285999</wp:posOffset>
                </wp:positionV>
                <wp:extent cx="8202295" cy="15277465"/>
                <wp:effectExtent l="0" t="0" r="0" b="0"/>
                <wp:wrapNone/>
                <wp:docPr id="1" name="Rectángulo 1"/>
                <wp:cNvGraphicFramePr/>
                <a:graphic xmlns:a="http://schemas.openxmlformats.org/drawingml/2006/main">
                  <a:graphicData uri="http://schemas.microsoft.com/office/word/2010/wordprocessingShape">
                    <wps:wsp>
                      <wps:cNvSpPr/>
                      <wps:spPr>
                        <a:xfrm>
                          <a:off x="1263903" y="0"/>
                          <a:ext cx="8164195" cy="7560000"/>
                        </a:xfrm>
                        <a:prstGeom prst="rect">
                          <a:avLst/>
                        </a:prstGeom>
                        <a:solidFill>
                          <a:srgbClr val="1F2136"/>
                        </a:solidFill>
                        <a:ln w="12700" cap="flat" cmpd="sng">
                          <a:solidFill>
                            <a:srgbClr val="31538F"/>
                          </a:solidFill>
                          <a:prstDash val="solid"/>
                          <a:miter lim="800000"/>
                          <a:headEnd type="none" w="sm" len="sm"/>
                          <a:tailEnd type="none" w="sm" len="sm"/>
                        </a:ln>
                      </wps:spPr>
                      <wps:txbx>
                        <w:txbxContent>
                          <w:p w:rsidR="009C6A81" w:rsidRDefault="009C6A81">
                            <w:pPr>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-139699</wp:posOffset>
                </wp:positionH>
                <wp:positionV relativeFrom="paragraph">
                  <wp:posOffset>-2285999</wp:posOffset>
                </wp:positionV>
                <wp:extent cx="8202295" cy="15277465"/>
                <wp:effectExtent b="0" l="0" r="0" t="0"/>
                <wp:wrapNone/>
                <wp:docPr id="1" name="image5.png"/>
                <a:graphic>
                  <a:graphicData uri="http://schemas.openxmlformats.org/drawingml/2006/picture">
                    <pic:pic>
                      <pic:nvPicPr>
                        <pic:cNvPr id="0" name="image5.png"/>
                        <pic:cNvPicPr preferRelativeResize="0"/>
                      </pic:nvPicPr>
                      <pic:blipFill>
                        <a:blip r:embed="rId56"/>
                        <a:srcRect/>
                        <a:stretch>
                          <a:fillRect/>
                        </a:stretch>
                      </pic:blipFill>
                      <pic:spPr>
                        <a:xfrm>
                          <a:off x="0" y="0"/>
                          <a:ext cx="8202295" cy="15277465"/>
                        </a:xfrm>
                        <a:prstGeom prst="rect"/>
                        <a:ln/>
                      </pic:spPr>
                    </pic:pic>
                  </a:graphicData>
                </a:graphic>
              </wp:anchor>
            </w:drawing>
          </mc:Fallback>
        </mc:AlternateContent>
      </w: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9C6A81">
      <w:pPr>
        <w:spacing w:before="80"/>
        <w:ind w:right="-943"/>
        <w:rPr>
          <w:rFonts w:ascii="IBM Plex Mono" w:eastAsia="IBM Plex Mono" w:hAnsi="IBM Plex Mono" w:cs="IBM Plex Mono"/>
          <w:color w:val="2EB2E8"/>
          <w:sz w:val="21"/>
          <w:szCs w:val="21"/>
          <w:highlight w:val="white"/>
        </w:rPr>
      </w:pPr>
    </w:p>
    <w:p w:rsidR="009C6A81" w:rsidRDefault="00ED5651">
      <w:pPr>
        <w:spacing w:before="80"/>
        <w:ind w:right="-943"/>
        <w:rPr>
          <w:rFonts w:ascii="IBM Plex Mono" w:eastAsia="IBM Plex Mono" w:hAnsi="IBM Plex Mono" w:cs="IBM Plex Mono"/>
          <w:color w:val="2EB2E8"/>
          <w:sz w:val="21"/>
          <w:szCs w:val="21"/>
          <w:highlight w:val="white"/>
        </w:rPr>
        <w:sectPr w:rsidR="009C6A81">
          <w:pgSz w:w="12240" w:h="15840"/>
          <w:pgMar w:top="0" w:right="1701" w:bottom="1020" w:left="0" w:header="709" w:footer="567" w:gutter="0"/>
          <w:cols w:space="720"/>
          <w:titlePg/>
        </w:sectPr>
      </w:pPr>
      <w:r>
        <w:rPr>
          <w:noProof/>
        </w:rPr>
        <w:drawing>
          <wp:anchor distT="0" distB="0" distL="0" distR="0" simplePos="0" relativeHeight="251662336" behindDoc="0" locked="0" layoutInCell="1" hidden="0" allowOverlap="1">
            <wp:simplePos x="0" y="0"/>
            <wp:positionH relativeFrom="column">
              <wp:posOffset>2762250</wp:posOffset>
            </wp:positionH>
            <wp:positionV relativeFrom="paragraph">
              <wp:posOffset>66675</wp:posOffset>
            </wp:positionV>
            <wp:extent cx="1177541" cy="887325"/>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7"/>
                    <a:srcRect/>
                    <a:stretch>
                      <a:fillRect/>
                    </a:stretch>
                  </pic:blipFill>
                  <pic:spPr>
                    <a:xfrm>
                      <a:off x="0" y="0"/>
                      <a:ext cx="1177541" cy="887325"/>
                    </a:xfrm>
                    <a:prstGeom prst="rect">
                      <a:avLst/>
                    </a:prstGeom>
                    <a:ln/>
                  </pic:spPr>
                </pic:pic>
              </a:graphicData>
            </a:graphic>
          </wp:anchor>
        </w:drawing>
      </w:r>
    </w:p>
    <w:p w:rsidR="009C6A81" w:rsidRDefault="009C6A81">
      <w:pPr>
        <w:spacing w:before="80"/>
        <w:ind w:right="-992"/>
        <w:rPr>
          <w:rFonts w:ascii="IBM Plex Mono" w:eastAsia="IBM Plex Mono" w:hAnsi="IBM Plex Mono" w:cs="IBM Plex Mono"/>
          <w:color w:val="2EB2E8"/>
          <w:sz w:val="21"/>
          <w:szCs w:val="21"/>
          <w:highlight w:val="white"/>
        </w:rPr>
      </w:pPr>
    </w:p>
    <w:p w:rsidR="009C6A81" w:rsidRDefault="009C6A81">
      <w:pPr>
        <w:spacing w:before="80"/>
        <w:ind w:right="-992"/>
        <w:rPr>
          <w:rFonts w:ascii="IBM Plex Mono" w:eastAsia="IBM Plex Mono" w:hAnsi="IBM Plex Mono" w:cs="IBM Plex Mono"/>
          <w:color w:val="2EB2E8"/>
          <w:sz w:val="21"/>
          <w:szCs w:val="21"/>
          <w:highlight w:val="white"/>
        </w:rPr>
      </w:pPr>
    </w:p>
    <w:p w:rsidR="009C6A81" w:rsidRDefault="009C6A81">
      <w:pPr>
        <w:spacing w:before="80"/>
        <w:ind w:right="-992"/>
        <w:rPr>
          <w:rFonts w:ascii="IBM Plex Mono" w:eastAsia="IBM Plex Mono" w:hAnsi="IBM Plex Mono" w:cs="IBM Plex Mono"/>
          <w:color w:val="2EB2E8"/>
          <w:sz w:val="21"/>
          <w:szCs w:val="21"/>
          <w:highlight w:val="white"/>
        </w:rPr>
      </w:pPr>
    </w:p>
    <w:p w:rsidR="009C6A81" w:rsidRDefault="009C6A81">
      <w:pPr>
        <w:spacing w:before="80"/>
        <w:ind w:right="-992"/>
        <w:rPr>
          <w:rFonts w:ascii="IBM Plex Mono" w:eastAsia="IBM Plex Mono" w:hAnsi="IBM Plex Mono" w:cs="IBM Plex Mono"/>
          <w:color w:val="2EB2E8"/>
          <w:sz w:val="21"/>
          <w:szCs w:val="21"/>
          <w:highlight w:val="white"/>
        </w:rPr>
      </w:pPr>
    </w:p>
    <w:p w:rsidR="009C6A81" w:rsidRDefault="009C6A81">
      <w:pPr>
        <w:spacing w:before="80"/>
        <w:ind w:right="-992"/>
        <w:rPr>
          <w:rFonts w:ascii="IBM Plex Mono" w:eastAsia="IBM Plex Mono" w:hAnsi="IBM Plex Mono" w:cs="IBM Plex Mono"/>
          <w:color w:val="2EB2E8"/>
          <w:sz w:val="21"/>
          <w:szCs w:val="21"/>
          <w:highlight w:val="white"/>
        </w:rPr>
      </w:pPr>
    </w:p>
    <w:p w:rsidR="009C6A81" w:rsidRDefault="009C6A81">
      <w:pPr>
        <w:spacing w:before="80"/>
        <w:ind w:right="-992"/>
        <w:rPr>
          <w:rFonts w:ascii="IBM Plex Mono" w:eastAsia="IBM Plex Mono" w:hAnsi="IBM Plex Mono" w:cs="IBM Plex Mono"/>
          <w:color w:val="2EB2E8"/>
          <w:sz w:val="21"/>
          <w:szCs w:val="21"/>
          <w:highlight w:val="white"/>
        </w:rPr>
      </w:pPr>
    </w:p>
    <w:p w:rsidR="009C6A81" w:rsidRDefault="009C6A81">
      <w:pPr>
        <w:spacing w:before="80"/>
        <w:ind w:right="-992"/>
        <w:rPr>
          <w:rFonts w:ascii="IBM Plex Mono" w:eastAsia="IBM Plex Mono" w:hAnsi="IBM Plex Mono" w:cs="IBM Plex Mono"/>
          <w:color w:val="2EB2E8"/>
          <w:sz w:val="21"/>
          <w:szCs w:val="21"/>
          <w:highlight w:val="white"/>
        </w:rPr>
      </w:pPr>
    </w:p>
    <w:sectPr w:rsidR="009C6A81">
      <w:type w:val="continuous"/>
      <w:pgSz w:w="12240" w:h="15840"/>
      <w:pgMar w:top="0" w:right="1701" w:bottom="1020" w:left="1701"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651" w:rsidRDefault="00ED5651">
      <w:r>
        <w:separator/>
      </w:r>
    </w:p>
  </w:endnote>
  <w:endnote w:type="continuationSeparator" w:id="0">
    <w:p w:rsidR="00ED5651" w:rsidRDefault="00ED5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rlow">
    <w:charset w:val="00"/>
    <w:family w:val="auto"/>
    <w:pitch w:val="default"/>
  </w:font>
  <w:font w:name="Barlow SemiBold">
    <w:charset w:val="00"/>
    <w:family w:val="auto"/>
    <w:pitch w:val="default"/>
  </w:font>
  <w:font w:name="Barlow Medium">
    <w:charset w:val="00"/>
    <w:family w:val="auto"/>
    <w:pitch w:val="default"/>
  </w:font>
  <w:font w:name="Georgia">
    <w:panose1 w:val="02040502050405020303"/>
    <w:charset w:val="00"/>
    <w:family w:val="roman"/>
    <w:pitch w:val="variable"/>
    <w:sig w:usb0="00000287" w:usb1="00000000" w:usb2="00000000" w:usb3="00000000" w:csb0="0000009F" w:csb1="00000000"/>
  </w:font>
  <w:font w:name="IBM Plex Serif">
    <w:charset w:val="00"/>
    <w:family w:val="auto"/>
    <w:pitch w:val="default"/>
  </w:font>
  <w:font w:name="IBM Plex Serif Medium">
    <w:charset w:val="00"/>
    <w:family w:val="auto"/>
    <w:pitch w:val="default"/>
  </w:font>
  <w:font w:name="IBM Plex Serif SemiBold">
    <w:charset w:val="00"/>
    <w:family w:val="auto"/>
    <w:pitch w:val="default"/>
  </w:font>
  <w:font w:name="IBM Plex San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charset w:val="00"/>
    <w:family w:val="auto"/>
    <w:pitch w:val="default"/>
  </w:font>
  <w:font w:name="IBM Plex Mon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A81" w:rsidRDefault="00ED5651">
    <w:pPr>
      <w:pBdr>
        <w:top w:val="nil"/>
        <w:left w:val="nil"/>
        <w:bottom w:val="nil"/>
        <w:right w:val="nil"/>
        <w:between w:val="nil"/>
      </w:pBdr>
      <w:tabs>
        <w:tab w:val="center" w:pos="4252"/>
        <w:tab w:val="right" w:pos="8504"/>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9C6A81" w:rsidRDefault="009C6A81">
    <w:pPr>
      <w:pBdr>
        <w:top w:val="nil"/>
        <w:left w:val="nil"/>
        <w:bottom w:val="nil"/>
        <w:right w:val="nil"/>
        <w:between w:val="nil"/>
      </w:pBdr>
      <w:tabs>
        <w:tab w:val="center" w:pos="4252"/>
        <w:tab w:val="right" w:pos="8504"/>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A81" w:rsidRDefault="00ED5651">
    <w:pPr>
      <w:pBdr>
        <w:top w:val="nil"/>
        <w:left w:val="nil"/>
        <w:bottom w:val="nil"/>
        <w:right w:val="nil"/>
        <w:between w:val="nil"/>
      </w:pBdr>
      <w:tabs>
        <w:tab w:val="center" w:pos="4252"/>
        <w:tab w:val="right" w:pos="8504"/>
      </w:tabs>
      <w:jc w:val="right"/>
      <w:rPr>
        <w:color w:val="000000"/>
        <w:sz w:val="24"/>
        <w:szCs w:val="24"/>
      </w:rPr>
    </w:pPr>
    <w:r>
      <w:rPr>
        <w:color w:val="000000"/>
        <w:sz w:val="21"/>
        <w:szCs w:val="21"/>
      </w:rPr>
      <w:fldChar w:fldCharType="begin"/>
    </w:r>
    <w:r>
      <w:rPr>
        <w:color w:val="000000"/>
        <w:sz w:val="21"/>
        <w:szCs w:val="21"/>
      </w:rPr>
      <w:instrText>PAGE</w:instrText>
    </w:r>
    <w:r w:rsidR="00A12BE5">
      <w:rPr>
        <w:color w:val="000000"/>
        <w:sz w:val="21"/>
        <w:szCs w:val="21"/>
      </w:rPr>
      <w:fldChar w:fldCharType="separate"/>
    </w:r>
    <w:r w:rsidR="00A12BE5">
      <w:rPr>
        <w:noProof/>
        <w:color w:val="000000"/>
        <w:sz w:val="21"/>
        <w:szCs w:val="21"/>
      </w:rPr>
      <w:t>2</w:t>
    </w:r>
    <w:r>
      <w:rPr>
        <w:color w:val="000000"/>
        <w:sz w:val="21"/>
        <w:szCs w:val="21"/>
      </w:rPr>
      <w:fldChar w:fldCharType="end"/>
    </w:r>
  </w:p>
  <w:p w:rsidR="009C6A81" w:rsidRDefault="009C6A81">
    <w:pPr>
      <w:pBdr>
        <w:top w:val="nil"/>
        <w:left w:val="nil"/>
        <w:bottom w:val="nil"/>
        <w:right w:val="nil"/>
        <w:between w:val="nil"/>
      </w:pBdr>
      <w:tabs>
        <w:tab w:val="center" w:pos="4252"/>
        <w:tab w:val="right" w:pos="8504"/>
      </w:tabs>
      <w:ind w:right="360"/>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A81" w:rsidRDefault="00ED5651">
    <w:pPr>
      <w:pBdr>
        <w:top w:val="nil"/>
        <w:left w:val="nil"/>
        <w:bottom w:val="nil"/>
        <w:right w:val="nil"/>
        <w:between w:val="nil"/>
      </w:pBdr>
      <w:tabs>
        <w:tab w:val="center" w:pos="4252"/>
        <w:tab w:val="right" w:pos="8504"/>
      </w:tabs>
      <w:jc w:val="right"/>
      <w:rPr>
        <w:color w:val="000000"/>
        <w:sz w:val="24"/>
        <w:szCs w:val="24"/>
      </w:rPr>
    </w:pPr>
    <w:r>
      <w:rPr>
        <w:color w:val="000000"/>
        <w:sz w:val="24"/>
        <w:szCs w:val="24"/>
      </w:rPr>
      <w:fldChar w:fldCharType="begin"/>
    </w:r>
    <w:r>
      <w:rPr>
        <w:color w:val="000000"/>
        <w:sz w:val="24"/>
        <w:szCs w:val="24"/>
      </w:rPr>
      <w:instrText>PAGE</w:instrText>
    </w:r>
    <w:r w:rsidR="00A12BE5">
      <w:rPr>
        <w:color w:val="000000"/>
        <w:sz w:val="24"/>
        <w:szCs w:val="24"/>
      </w:rPr>
      <w:fldChar w:fldCharType="separate"/>
    </w:r>
    <w:r w:rsidR="00A12BE5">
      <w:rPr>
        <w:noProof/>
        <w:color w:val="000000"/>
        <w:sz w:val="24"/>
        <w:szCs w:val="24"/>
      </w:rPr>
      <w:t>1</w:t>
    </w:r>
    <w:r>
      <w:rPr>
        <w:color w:val="000000"/>
        <w:sz w:val="24"/>
        <w:szCs w:val="24"/>
      </w:rPr>
      <w:fldChar w:fldCharType="end"/>
    </w:r>
  </w:p>
  <w:p w:rsidR="009C6A81" w:rsidRDefault="009C6A81">
    <w:pPr>
      <w:pBdr>
        <w:top w:val="nil"/>
        <w:left w:val="nil"/>
        <w:bottom w:val="nil"/>
        <w:right w:val="nil"/>
        <w:between w:val="nil"/>
      </w:pBdr>
      <w:tabs>
        <w:tab w:val="center" w:pos="4252"/>
        <w:tab w:val="right" w:pos="8504"/>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651" w:rsidRDefault="00ED5651">
      <w:r>
        <w:separator/>
      </w:r>
    </w:p>
  </w:footnote>
  <w:footnote w:type="continuationSeparator" w:id="0">
    <w:p w:rsidR="00ED5651" w:rsidRDefault="00ED5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A81" w:rsidRDefault="00ED5651">
    <w:pPr>
      <w:pBdr>
        <w:top w:val="nil"/>
        <w:left w:val="nil"/>
        <w:bottom w:val="nil"/>
        <w:right w:val="nil"/>
        <w:between w:val="nil"/>
      </w:pBdr>
      <w:tabs>
        <w:tab w:val="center" w:pos="4419"/>
        <w:tab w:val="right" w:pos="8838"/>
      </w:tabs>
      <w:ind w:hanging="1134"/>
      <w:jc w:val="left"/>
      <w:rPr>
        <w:rFonts w:ascii="Calibri" w:eastAsia="Calibri" w:hAnsi="Calibri" w:cs="Calibri"/>
        <w:color w:val="000000"/>
      </w:rPr>
    </w:pPr>
    <w:r>
      <w:rPr>
        <w:rFonts w:ascii="Calibri" w:eastAsia="Calibri" w:hAnsi="Calibri" w:cs="Calibri"/>
        <w:noProof/>
        <w:color w:val="000000"/>
      </w:rPr>
      <w:drawing>
        <wp:inline distT="0" distB="0" distL="0" distR="0">
          <wp:extent cx="1805579" cy="594024"/>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5579" cy="59402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58C8"/>
    <w:multiLevelType w:val="multilevel"/>
    <w:tmpl w:val="6C208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C348DC"/>
    <w:multiLevelType w:val="multilevel"/>
    <w:tmpl w:val="B0A4F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6B5ED1"/>
    <w:multiLevelType w:val="multilevel"/>
    <w:tmpl w:val="8A72A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014590"/>
    <w:multiLevelType w:val="multilevel"/>
    <w:tmpl w:val="BB148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170AAF"/>
    <w:multiLevelType w:val="multilevel"/>
    <w:tmpl w:val="1BE8FF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54143DA"/>
    <w:multiLevelType w:val="multilevel"/>
    <w:tmpl w:val="A5C29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57E65AB"/>
    <w:multiLevelType w:val="multilevel"/>
    <w:tmpl w:val="5E626B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73E7995"/>
    <w:multiLevelType w:val="multilevel"/>
    <w:tmpl w:val="28E2B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7A86317"/>
    <w:multiLevelType w:val="multilevel"/>
    <w:tmpl w:val="49E65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83C1CDE"/>
    <w:multiLevelType w:val="multilevel"/>
    <w:tmpl w:val="46F6DF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A5C13D3"/>
    <w:multiLevelType w:val="multilevel"/>
    <w:tmpl w:val="86001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E55938"/>
    <w:multiLevelType w:val="multilevel"/>
    <w:tmpl w:val="1D022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0E96CC1"/>
    <w:multiLevelType w:val="multilevel"/>
    <w:tmpl w:val="FFE0B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0FB1F5B"/>
    <w:multiLevelType w:val="multilevel"/>
    <w:tmpl w:val="2F729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17C08A9"/>
    <w:multiLevelType w:val="multilevel"/>
    <w:tmpl w:val="C5D88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2050FC6"/>
    <w:multiLevelType w:val="multilevel"/>
    <w:tmpl w:val="C55866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22F4DAD"/>
    <w:multiLevelType w:val="multilevel"/>
    <w:tmpl w:val="5D02A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29B7468"/>
    <w:multiLevelType w:val="multilevel"/>
    <w:tmpl w:val="096A9A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2BC7173"/>
    <w:multiLevelType w:val="multilevel"/>
    <w:tmpl w:val="22B62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3903870"/>
    <w:multiLevelType w:val="multilevel"/>
    <w:tmpl w:val="DB2C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43D1EE2"/>
    <w:multiLevelType w:val="multilevel"/>
    <w:tmpl w:val="14321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70B2CC1"/>
    <w:multiLevelType w:val="multilevel"/>
    <w:tmpl w:val="59DCD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83F4E56"/>
    <w:multiLevelType w:val="multilevel"/>
    <w:tmpl w:val="2004C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B530357"/>
    <w:multiLevelType w:val="multilevel"/>
    <w:tmpl w:val="98F45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BA374CC"/>
    <w:multiLevelType w:val="multilevel"/>
    <w:tmpl w:val="F2C05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E710B27"/>
    <w:multiLevelType w:val="multilevel"/>
    <w:tmpl w:val="20943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01F6F8A"/>
    <w:multiLevelType w:val="multilevel"/>
    <w:tmpl w:val="9B6E4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0772C18"/>
    <w:multiLevelType w:val="multilevel"/>
    <w:tmpl w:val="9AFA0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2F705E5"/>
    <w:multiLevelType w:val="multilevel"/>
    <w:tmpl w:val="BC4E7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3385796"/>
    <w:multiLevelType w:val="multilevel"/>
    <w:tmpl w:val="CAC0A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5445580"/>
    <w:multiLevelType w:val="multilevel"/>
    <w:tmpl w:val="C3E24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7E1167E"/>
    <w:multiLevelType w:val="multilevel"/>
    <w:tmpl w:val="4BFEB3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9000C9D"/>
    <w:multiLevelType w:val="multilevel"/>
    <w:tmpl w:val="3E98AE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A09473B"/>
    <w:multiLevelType w:val="multilevel"/>
    <w:tmpl w:val="AD760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A732F00"/>
    <w:multiLevelType w:val="multilevel"/>
    <w:tmpl w:val="8B14E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2AE70A4D"/>
    <w:multiLevelType w:val="multilevel"/>
    <w:tmpl w:val="B3F418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BAB768C"/>
    <w:multiLevelType w:val="multilevel"/>
    <w:tmpl w:val="4022B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C1C6B76"/>
    <w:multiLevelType w:val="multilevel"/>
    <w:tmpl w:val="D9423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30544D52"/>
    <w:multiLevelType w:val="multilevel"/>
    <w:tmpl w:val="15549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0AC005E"/>
    <w:multiLevelType w:val="multilevel"/>
    <w:tmpl w:val="853A6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2286E64"/>
    <w:multiLevelType w:val="multilevel"/>
    <w:tmpl w:val="A7D63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6687AF4"/>
    <w:multiLevelType w:val="multilevel"/>
    <w:tmpl w:val="4D7A9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6923434"/>
    <w:multiLevelType w:val="multilevel"/>
    <w:tmpl w:val="B89A5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6E65307"/>
    <w:multiLevelType w:val="multilevel"/>
    <w:tmpl w:val="F1E47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75E61CA"/>
    <w:multiLevelType w:val="multilevel"/>
    <w:tmpl w:val="B9C09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84A29A2"/>
    <w:multiLevelType w:val="multilevel"/>
    <w:tmpl w:val="B8AAD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84F6974"/>
    <w:multiLevelType w:val="multilevel"/>
    <w:tmpl w:val="CF743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99D7066"/>
    <w:multiLevelType w:val="multilevel"/>
    <w:tmpl w:val="894C8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A616B9F"/>
    <w:multiLevelType w:val="multilevel"/>
    <w:tmpl w:val="18FAA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C08478D"/>
    <w:multiLevelType w:val="multilevel"/>
    <w:tmpl w:val="7B7228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3D7B558B"/>
    <w:multiLevelType w:val="multilevel"/>
    <w:tmpl w:val="FAD8C6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40222B56"/>
    <w:multiLevelType w:val="multilevel"/>
    <w:tmpl w:val="9A401A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42074BA3"/>
    <w:multiLevelType w:val="multilevel"/>
    <w:tmpl w:val="F09E6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26E43B8"/>
    <w:multiLevelType w:val="multilevel"/>
    <w:tmpl w:val="72B06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2B30737"/>
    <w:multiLevelType w:val="multilevel"/>
    <w:tmpl w:val="F9700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3AC6FCD"/>
    <w:multiLevelType w:val="multilevel"/>
    <w:tmpl w:val="CCDCB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3E037AF"/>
    <w:multiLevelType w:val="multilevel"/>
    <w:tmpl w:val="067073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44484C91"/>
    <w:multiLevelType w:val="multilevel"/>
    <w:tmpl w:val="12709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50F0472"/>
    <w:multiLevelType w:val="multilevel"/>
    <w:tmpl w:val="5CDCE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53D7133"/>
    <w:multiLevelType w:val="multilevel"/>
    <w:tmpl w:val="EDC2C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68B0A58"/>
    <w:multiLevelType w:val="multilevel"/>
    <w:tmpl w:val="11FEB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8605574"/>
    <w:multiLevelType w:val="multilevel"/>
    <w:tmpl w:val="0FF22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8A81B09"/>
    <w:multiLevelType w:val="multilevel"/>
    <w:tmpl w:val="DF5C8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9E50DFF"/>
    <w:multiLevelType w:val="multilevel"/>
    <w:tmpl w:val="298C4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A2F3A84"/>
    <w:multiLevelType w:val="multilevel"/>
    <w:tmpl w:val="18724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A770ECF"/>
    <w:multiLevelType w:val="multilevel"/>
    <w:tmpl w:val="9DE25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4D7E276A"/>
    <w:multiLevelType w:val="multilevel"/>
    <w:tmpl w:val="71A2D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D8942ED"/>
    <w:multiLevelType w:val="multilevel"/>
    <w:tmpl w:val="7D0A6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DE20BD2"/>
    <w:multiLevelType w:val="multilevel"/>
    <w:tmpl w:val="69A2E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DE62757"/>
    <w:multiLevelType w:val="multilevel"/>
    <w:tmpl w:val="E6225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4E0969B2"/>
    <w:multiLevelType w:val="multilevel"/>
    <w:tmpl w:val="1EBEC3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4E960341"/>
    <w:multiLevelType w:val="multilevel"/>
    <w:tmpl w:val="FD44B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FAF3527"/>
    <w:multiLevelType w:val="multilevel"/>
    <w:tmpl w:val="CB028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1267128"/>
    <w:multiLevelType w:val="multilevel"/>
    <w:tmpl w:val="C7A0D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51422A25"/>
    <w:multiLevelType w:val="multilevel"/>
    <w:tmpl w:val="12CC9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1CD73D8"/>
    <w:multiLevelType w:val="multilevel"/>
    <w:tmpl w:val="F4EA4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530B23A0"/>
    <w:multiLevelType w:val="multilevel"/>
    <w:tmpl w:val="F112F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53145F11"/>
    <w:multiLevelType w:val="multilevel"/>
    <w:tmpl w:val="C29A3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31B764B"/>
    <w:multiLevelType w:val="multilevel"/>
    <w:tmpl w:val="B782A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54AE5296"/>
    <w:multiLevelType w:val="multilevel"/>
    <w:tmpl w:val="0324F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5F90A95"/>
    <w:multiLevelType w:val="multilevel"/>
    <w:tmpl w:val="3C5A9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57226D90"/>
    <w:multiLevelType w:val="multilevel"/>
    <w:tmpl w:val="D5688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72B57C8"/>
    <w:multiLevelType w:val="multilevel"/>
    <w:tmpl w:val="CA408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76171E8"/>
    <w:multiLevelType w:val="multilevel"/>
    <w:tmpl w:val="32C4E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59403733"/>
    <w:multiLevelType w:val="multilevel"/>
    <w:tmpl w:val="B7E45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594879E1"/>
    <w:multiLevelType w:val="multilevel"/>
    <w:tmpl w:val="DE8C5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59B36D2C"/>
    <w:multiLevelType w:val="multilevel"/>
    <w:tmpl w:val="DC22A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5A8F75A7"/>
    <w:multiLevelType w:val="multilevel"/>
    <w:tmpl w:val="8D3CB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B047F14"/>
    <w:multiLevelType w:val="multilevel"/>
    <w:tmpl w:val="E2522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5B8414B5"/>
    <w:multiLevelType w:val="multilevel"/>
    <w:tmpl w:val="34DAF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5CBD147A"/>
    <w:multiLevelType w:val="multilevel"/>
    <w:tmpl w:val="62747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5CE92E1F"/>
    <w:multiLevelType w:val="multilevel"/>
    <w:tmpl w:val="3F924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5DC17581"/>
    <w:multiLevelType w:val="multilevel"/>
    <w:tmpl w:val="52C24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60085D20"/>
    <w:multiLevelType w:val="multilevel"/>
    <w:tmpl w:val="9DAC5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6070635A"/>
    <w:multiLevelType w:val="multilevel"/>
    <w:tmpl w:val="7396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611E16E3"/>
    <w:multiLevelType w:val="multilevel"/>
    <w:tmpl w:val="78D4E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61C87257"/>
    <w:multiLevelType w:val="multilevel"/>
    <w:tmpl w:val="74EC1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626A4FFE"/>
    <w:multiLevelType w:val="multilevel"/>
    <w:tmpl w:val="0F687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63DE7E3D"/>
    <w:multiLevelType w:val="multilevel"/>
    <w:tmpl w:val="8A988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651D5CAA"/>
    <w:multiLevelType w:val="multilevel"/>
    <w:tmpl w:val="6AE42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54714C7"/>
    <w:multiLevelType w:val="multilevel"/>
    <w:tmpl w:val="854C1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678808F6"/>
    <w:multiLevelType w:val="multilevel"/>
    <w:tmpl w:val="0BAC0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691A5121"/>
    <w:multiLevelType w:val="multilevel"/>
    <w:tmpl w:val="61686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69B87E50"/>
    <w:multiLevelType w:val="multilevel"/>
    <w:tmpl w:val="49A6E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6CAB3481"/>
    <w:multiLevelType w:val="multilevel"/>
    <w:tmpl w:val="EF0A1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6D105F0F"/>
    <w:multiLevelType w:val="multilevel"/>
    <w:tmpl w:val="0AD01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6DBF080F"/>
    <w:multiLevelType w:val="multilevel"/>
    <w:tmpl w:val="C1349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70872A18"/>
    <w:multiLevelType w:val="multilevel"/>
    <w:tmpl w:val="20549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70FF27A8"/>
    <w:multiLevelType w:val="multilevel"/>
    <w:tmpl w:val="2AC065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72E86EBF"/>
    <w:multiLevelType w:val="multilevel"/>
    <w:tmpl w:val="EBB40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730607BC"/>
    <w:multiLevelType w:val="multilevel"/>
    <w:tmpl w:val="D736B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788D7DD0"/>
    <w:multiLevelType w:val="multilevel"/>
    <w:tmpl w:val="DD98B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78E672D3"/>
    <w:multiLevelType w:val="multilevel"/>
    <w:tmpl w:val="A6104C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7A6E16C7"/>
    <w:multiLevelType w:val="multilevel"/>
    <w:tmpl w:val="2E1C3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7A7B1B66"/>
    <w:multiLevelType w:val="multilevel"/>
    <w:tmpl w:val="BCDE27EE"/>
    <w:lvl w:ilvl="0">
      <w:start w:val="1"/>
      <w:numFmt w:val="bullet"/>
      <w:lvlText w:val="●"/>
      <w:lvlJc w:val="left"/>
      <w:pPr>
        <w:ind w:left="540" w:hanging="54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7A9B6D35"/>
    <w:multiLevelType w:val="multilevel"/>
    <w:tmpl w:val="AB0C9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7BB81977"/>
    <w:multiLevelType w:val="multilevel"/>
    <w:tmpl w:val="4FD4F2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15:restartNumberingAfterBreak="0">
    <w:nsid w:val="7BD729FF"/>
    <w:multiLevelType w:val="multilevel"/>
    <w:tmpl w:val="9070A6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7BF1234C"/>
    <w:multiLevelType w:val="multilevel"/>
    <w:tmpl w:val="B7D4B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7CF21FE0"/>
    <w:multiLevelType w:val="multilevel"/>
    <w:tmpl w:val="3CBC8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7D044AA7"/>
    <w:multiLevelType w:val="multilevel"/>
    <w:tmpl w:val="402E7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7FD02958"/>
    <w:multiLevelType w:val="multilevel"/>
    <w:tmpl w:val="B1EE8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75"/>
  </w:num>
  <w:num w:numId="3">
    <w:abstractNumId w:val="58"/>
  </w:num>
  <w:num w:numId="4">
    <w:abstractNumId w:val="85"/>
  </w:num>
  <w:num w:numId="5">
    <w:abstractNumId w:val="27"/>
  </w:num>
  <w:num w:numId="6">
    <w:abstractNumId w:val="59"/>
  </w:num>
  <w:num w:numId="7">
    <w:abstractNumId w:val="74"/>
  </w:num>
  <w:num w:numId="8">
    <w:abstractNumId w:val="110"/>
  </w:num>
  <w:num w:numId="9">
    <w:abstractNumId w:val="101"/>
  </w:num>
  <w:num w:numId="10">
    <w:abstractNumId w:val="84"/>
  </w:num>
  <w:num w:numId="11">
    <w:abstractNumId w:val="57"/>
  </w:num>
  <w:num w:numId="12">
    <w:abstractNumId w:val="90"/>
  </w:num>
  <w:num w:numId="13">
    <w:abstractNumId w:val="121"/>
  </w:num>
  <w:num w:numId="14">
    <w:abstractNumId w:val="21"/>
  </w:num>
  <w:num w:numId="15">
    <w:abstractNumId w:val="87"/>
  </w:num>
  <w:num w:numId="16">
    <w:abstractNumId w:val="24"/>
  </w:num>
  <w:num w:numId="17">
    <w:abstractNumId w:val="108"/>
  </w:num>
  <w:num w:numId="18">
    <w:abstractNumId w:val="92"/>
  </w:num>
  <w:num w:numId="19">
    <w:abstractNumId w:val="22"/>
  </w:num>
  <w:num w:numId="20">
    <w:abstractNumId w:val="73"/>
  </w:num>
  <w:num w:numId="21">
    <w:abstractNumId w:val="96"/>
  </w:num>
  <w:num w:numId="22">
    <w:abstractNumId w:val="64"/>
  </w:num>
  <w:num w:numId="23">
    <w:abstractNumId w:val="32"/>
  </w:num>
  <w:num w:numId="24">
    <w:abstractNumId w:val="2"/>
  </w:num>
  <w:num w:numId="25">
    <w:abstractNumId w:val="25"/>
  </w:num>
  <w:num w:numId="26">
    <w:abstractNumId w:val="81"/>
  </w:num>
  <w:num w:numId="27">
    <w:abstractNumId w:val="86"/>
  </w:num>
  <w:num w:numId="28">
    <w:abstractNumId w:val="63"/>
  </w:num>
  <w:num w:numId="29">
    <w:abstractNumId w:val="89"/>
  </w:num>
  <w:num w:numId="30">
    <w:abstractNumId w:val="79"/>
  </w:num>
  <w:num w:numId="31">
    <w:abstractNumId w:val="70"/>
  </w:num>
  <w:num w:numId="32">
    <w:abstractNumId w:val="30"/>
  </w:num>
  <w:num w:numId="33">
    <w:abstractNumId w:val="117"/>
  </w:num>
  <w:num w:numId="34">
    <w:abstractNumId w:val="118"/>
  </w:num>
  <w:num w:numId="35">
    <w:abstractNumId w:val="76"/>
  </w:num>
  <w:num w:numId="36">
    <w:abstractNumId w:val="10"/>
  </w:num>
  <w:num w:numId="37">
    <w:abstractNumId w:val="29"/>
  </w:num>
  <w:num w:numId="38">
    <w:abstractNumId w:val="50"/>
  </w:num>
  <w:num w:numId="39">
    <w:abstractNumId w:val="107"/>
  </w:num>
  <w:num w:numId="40">
    <w:abstractNumId w:val="83"/>
  </w:num>
  <w:num w:numId="41">
    <w:abstractNumId w:val="14"/>
  </w:num>
  <w:num w:numId="42">
    <w:abstractNumId w:val="56"/>
  </w:num>
  <w:num w:numId="43">
    <w:abstractNumId w:val="61"/>
  </w:num>
  <w:num w:numId="44">
    <w:abstractNumId w:val="104"/>
  </w:num>
  <w:num w:numId="45">
    <w:abstractNumId w:val="36"/>
  </w:num>
  <w:num w:numId="46">
    <w:abstractNumId w:val="72"/>
  </w:num>
  <w:num w:numId="47">
    <w:abstractNumId w:val="44"/>
  </w:num>
  <w:num w:numId="48">
    <w:abstractNumId w:val="15"/>
  </w:num>
  <w:num w:numId="49">
    <w:abstractNumId w:val="97"/>
  </w:num>
  <w:num w:numId="50">
    <w:abstractNumId w:val="103"/>
  </w:num>
  <w:num w:numId="51">
    <w:abstractNumId w:val="28"/>
  </w:num>
  <w:num w:numId="52">
    <w:abstractNumId w:val="113"/>
  </w:num>
  <w:num w:numId="53">
    <w:abstractNumId w:val="4"/>
  </w:num>
  <w:num w:numId="54">
    <w:abstractNumId w:val="41"/>
  </w:num>
  <w:num w:numId="55">
    <w:abstractNumId w:val="9"/>
  </w:num>
  <w:num w:numId="56">
    <w:abstractNumId w:val="78"/>
  </w:num>
  <w:num w:numId="57">
    <w:abstractNumId w:val="11"/>
  </w:num>
  <w:num w:numId="58">
    <w:abstractNumId w:val="93"/>
  </w:num>
  <w:num w:numId="59">
    <w:abstractNumId w:val="23"/>
  </w:num>
  <w:num w:numId="60">
    <w:abstractNumId w:val="98"/>
  </w:num>
  <w:num w:numId="61">
    <w:abstractNumId w:val="105"/>
  </w:num>
  <w:num w:numId="62">
    <w:abstractNumId w:val="77"/>
  </w:num>
  <w:num w:numId="63">
    <w:abstractNumId w:val="31"/>
  </w:num>
  <w:num w:numId="64">
    <w:abstractNumId w:val="20"/>
  </w:num>
  <w:num w:numId="65">
    <w:abstractNumId w:val="6"/>
  </w:num>
  <w:num w:numId="66">
    <w:abstractNumId w:val="88"/>
  </w:num>
  <w:num w:numId="67">
    <w:abstractNumId w:val="68"/>
  </w:num>
  <w:num w:numId="68">
    <w:abstractNumId w:val="35"/>
  </w:num>
  <w:num w:numId="69">
    <w:abstractNumId w:val="3"/>
  </w:num>
  <w:num w:numId="70">
    <w:abstractNumId w:val="109"/>
  </w:num>
  <w:num w:numId="71">
    <w:abstractNumId w:val="34"/>
  </w:num>
  <w:num w:numId="72">
    <w:abstractNumId w:val="119"/>
  </w:num>
  <w:num w:numId="73">
    <w:abstractNumId w:val="1"/>
  </w:num>
  <w:num w:numId="74">
    <w:abstractNumId w:val="99"/>
  </w:num>
  <w:num w:numId="75">
    <w:abstractNumId w:val="8"/>
  </w:num>
  <w:num w:numId="76">
    <w:abstractNumId w:val="95"/>
  </w:num>
  <w:num w:numId="77">
    <w:abstractNumId w:val="102"/>
  </w:num>
  <w:num w:numId="78">
    <w:abstractNumId w:val="17"/>
  </w:num>
  <w:num w:numId="79">
    <w:abstractNumId w:val="60"/>
  </w:num>
  <w:num w:numId="80">
    <w:abstractNumId w:val="39"/>
  </w:num>
  <w:num w:numId="81">
    <w:abstractNumId w:val="42"/>
  </w:num>
  <w:num w:numId="82">
    <w:abstractNumId w:val="91"/>
  </w:num>
  <w:num w:numId="83">
    <w:abstractNumId w:val="49"/>
  </w:num>
  <w:num w:numId="84">
    <w:abstractNumId w:val="38"/>
  </w:num>
  <w:num w:numId="85">
    <w:abstractNumId w:val="62"/>
  </w:num>
  <w:num w:numId="86">
    <w:abstractNumId w:val="116"/>
  </w:num>
  <w:num w:numId="87">
    <w:abstractNumId w:val="69"/>
  </w:num>
  <w:num w:numId="88">
    <w:abstractNumId w:val="46"/>
  </w:num>
  <w:num w:numId="89">
    <w:abstractNumId w:val="0"/>
  </w:num>
  <w:num w:numId="90">
    <w:abstractNumId w:val="71"/>
  </w:num>
  <w:num w:numId="91">
    <w:abstractNumId w:val="100"/>
  </w:num>
  <w:num w:numId="92">
    <w:abstractNumId w:val="115"/>
  </w:num>
  <w:num w:numId="93">
    <w:abstractNumId w:val="19"/>
  </w:num>
  <w:num w:numId="94">
    <w:abstractNumId w:val="47"/>
  </w:num>
  <w:num w:numId="95">
    <w:abstractNumId w:val="112"/>
  </w:num>
  <w:num w:numId="96">
    <w:abstractNumId w:val="12"/>
  </w:num>
  <w:num w:numId="97">
    <w:abstractNumId w:val="40"/>
  </w:num>
  <w:num w:numId="98">
    <w:abstractNumId w:val="7"/>
  </w:num>
  <w:num w:numId="99">
    <w:abstractNumId w:val="106"/>
  </w:num>
  <w:num w:numId="100">
    <w:abstractNumId w:val="5"/>
  </w:num>
  <w:num w:numId="101">
    <w:abstractNumId w:val="66"/>
  </w:num>
  <w:num w:numId="102">
    <w:abstractNumId w:val="48"/>
  </w:num>
  <w:num w:numId="103">
    <w:abstractNumId w:val="51"/>
  </w:num>
  <w:num w:numId="104">
    <w:abstractNumId w:val="45"/>
  </w:num>
  <w:num w:numId="105">
    <w:abstractNumId w:val="53"/>
  </w:num>
  <w:num w:numId="106">
    <w:abstractNumId w:val="18"/>
  </w:num>
  <w:num w:numId="107">
    <w:abstractNumId w:val="82"/>
  </w:num>
  <w:num w:numId="108">
    <w:abstractNumId w:val="37"/>
  </w:num>
  <w:num w:numId="109">
    <w:abstractNumId w:val="65"/>
  </w:num>
  <w:num w:numId="110">
    <w:abstractNumId w:val="120"/>
  </w:num>
  <w:num w:numId="111">
    <w:abstractNumId w:val="33"/>
  </w:num>
  <w:num w:numId="112">
    <w:abstractNumId w:val="111"/>
  </w:num>
  <w:num w:numId="113">
    <w:abstractNumId w:val="52"/>
  </w:num>
  <w:num w:numId="114">
    <w:abstractNumId w:val="55"/>
  </w:num>
  <w:num w:numId="115">
    <w:abstractNumId w:val="43"/>
  </w:num>
  <w:num w:numId="116">
    <w:abstractNumId w:val="13"/>
  </w:num>
  <w:num w:numId="117">
    <w:abstractNumId w:val="114"/>
  </w:num>
  <w:num w:numId="118">
    <w:abstractNumId w:val="26"/>
  </w:num>
  <w:num w:numId="119">
    <w:abstractNumId w:val="94"/>
  </w:num>
  <w:num w:numId="120">
    <w:abstractNumId w:val="54"/>
  </w:num>
  <w:num w:numId="121">
    <w:abstractNumId w:val="80"/>
  </w:num>
  <w:num w:numId="122">
    <w:abstractNumId w:val="67"/>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81"/>
    <w:rsid w:val="009C6A81"/>
    <w:rsid w:val="00A12BE5"/>
    <w:rsid w:val="00ED56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8F1F6B-B352-4654-9F6A-F54BFE85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arlow" w:eastAsia="Barlow" w:hAnsi="Barlow" w:cs="Barlow"/>
        <w:sz w:val="22"/>
        <w:szCs w:val="22"/>
        <w:lang w:val="es-ES_tradnl" w:eastAsia="es-MX"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80"/>
      <w:ind w:left="-360" w:right="-992"/>
      <w:outlineLvl w:val="0"/>
    </w:pPr>
    <w:rPr>
      <w:rFonts w:ascii="Barlow SemiBold" w:eastAsia="Barlow SemiBold" w:hAnsi="Barlow SemiBold" w:cs="Barlow SemiBold"/>
      <w:color w:val="2EB2E8"/>
      <w:sz w:val="32"/>
      <w:szCs w:val="32"/>
      <w:highlight w:val="white"/>
    </w:rPr>
  </w:style>
  <w:style w:type="paragraph" w:styleId="Ttulo2">
    <w:name w:val="heading 2"/>
    <w:basedOn w:val="Normal"/>
    <w:next w:val="Normal"/>
    <w:uiPriority w:val="9"/>
    <w:unhideWhenUsed/>
    <w:qFormat/>
    <w:pPr>
      <w:keepNext/>
      <w:keepLines/>
      <w:ind w:left="-990"/>
      <w:outlineLvl w:val="1"/>
    </w:pPr>
    <w:rPr>
      <w:rFonts w:ascii="Barlow Medium" w:eastAsia="Barlow Medium" w:hAnsi="Barlow Medium" w:cs="Barlow Medium"/>
      <w:color w:val="B7B7B7"/>
      <w:sz w:val="28"/>
      <w:szCs w:val="28"/>
    </w:rPr>
  </w:style>
  <w:style w:type="paragraph" w:styleId="Ttulo3">
    <w:name w:val="heading 3"/>
    <w:basedOn w:val="Normal"/>
    <w:next w:val="Normal"/>
    <w:uiPriority w:val="9"/>
    <w:unhideWhenUsed/>
    <w:qFormat/>
    <w:pPr>
      <w:keepNext/>
      <w:keepLines/>
      <w:ind w:left="-990"/>
      <w:outlineLvl w:val="2"/>
    </w:pPr>
    <w:rPr>
      <w:rFonts w:ascii="Barlow SemiBold" w:eastAsia="Barlow SemiBold" w:hAnsi="Barlow SemiBold" w:cs="Barlow SemiBold"/>
      <w:color w:val="2EB2E8"/>
      <w:sz w:val="26"/>
      <w:szCs w:val="26"/>
    </w:rPr>
  </w:style>
  <w:style w:type="paragraph" w:styleId="Ttulo4">
    <w:name w:val="heading 4"/>
    <w:basedOn w:val="Normal"/>
    <w:next w:val="Normal"/>
    <w:uiPriority w:val="9"/>
    <w:unhideWhenUsed/>
    <w:qFormat/>
    <w:pPr>
      <w:keepNext/>
      <w:keepLines/>
      <w:outlineLvl w:val="3"/>
    </w:pPr>
    <w:rPr>
      <w:rFonts w:ascii="Barlow SemiBold" w:eastAsia="Barlow SemiBold" w:hAnsi="Barlow SemiBold" w:cs="Barlow SemiBold"/>
      <w:color w:val="FFFFFF"/>
    </w:rPr>
  </w:style>
  <w:style w:type="paragraph" w:styleId="Ttulo5">
    <w:name w:val="heading 5"/>
    <w:basedOn w:val="Normal"/>
    <w:next w:val="Normal"/>
    <w:uiPriority w:val="9"/>
    <w:unhideWhenUsed/>
    <w:qFormat/>
    <w:pPr>
      <w:keepNext/>
      <w:keepLines/>
      <w:ind w:left="-990"/>
      <w:outlineLvl w:val="4"/>
    </w:pPr>
    <w:rPr>
      <w:rFonts w:ascii="Barlow SemiBold" w:eastAsia="Barlow SemiBold" w:hAnsi="Barlow SemiBold" w:cs="Barlow SemiBold"/>
      <w:color w:val="2EB2E8"/>
      <w:sz w:val="24"/>
      <w:szCs w:val="24"/>
    </w:rPr>
  </w:style>
  <w:style w:type="paragraph" w:styleId="Ttulo6">
    <w:name w:val="heading 6"/>
    <w:basedOn w:val="Normal"/>
    <w:next w:val="Normal"/>
    <w:uiPriority w:val="9"/>
    <w:unhideWhenUsed/>
    <w:qFormat/>
    <w:pPr>
      <w:keepNext/>
      <w:keepLines/>
      <w:ind w:left="-99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isof.epistemonikos.org/" TargetMode="External"/><Relationship Id="rId26" Type="http://schemas.openxmlformats.org/officeDocument/2006/relationships/hyperlink" Target="https://isof.epistemonikos.org/" TargetMode="External"/><Relationship Id="rId39" Type="http://schemas.openxmlformats.org/officeDocument/2006/relationships/hyperlink" Target="https://obesitycanada.ca/guidelines/assessment" TargetMode="External"/><Relationship Id="rId21" Type="http://schemas.openxmlformats.org/officeDocument/2006/relationships/hyperlink" Target="https://isof.epistemonikos.org/" TargetMode="External"/><Relationship Id="rId34" Type="http://schemas.openxmlformats.org/officeDocument/2006/relationships/hyperlink" Target="https://isof.epistemonikos.org/" TargetMode="External"/><Relationship Id="rId42" Type="http://schemas.openxmlformats.org/officeDocument/2006/relationships/hyperlink" Target="https://obesitycanada.ca/guidelines/primarycare" TargetMode="External"/><Relationship Id="rId47" Type="http://schemas.openxmlformats.org/officeDocument/2006/relationships/hyperlink" Target="https://www.who.int/publications/i/item/9789240015128" TargetMode="External"/><Relationship Id="rId50" Type="http://schemas.openxmlformats.org/officeDocument/2006/relationships/hyperlink" Target="https://obesitycanada.ca/guidelines/pharmacotherapy" TargetMode="External"/><Relationship Id="rId55" Type="http://schemas.openxmlformats.org/officeDocument/2006/relationships/hyperlink" Target="https://obesitycanada.ca/guidelines/surgeryoptions" TargetMode="External"/><Relationship Id="rId7" Type="http://schemas.openxmlformats.org/officeDocument/2006/relationships/image" Target="media/image6.png"/><Relationship Id="rId12" Type="http://schemas.openxmlformats.org/officeDocument/2006/relationships/footer" Target="footer2.xml"/><Relationship Id="rId17" Type="http://schemas.openxmlformats.org/officeDocument/2006/relationships/hyperlink" Target="https://isof.epistemonikos.org/" TargetMode="External"/><Relationship Id="rId25" Type="http://schemas.openxmlformats.org/officeDocument/2006/relationships/hyperlink" Target="https://isof.epistemonikos.org/" TargetMode="External"/><Relationship Id="rId33" Type="http://schemas.openxmlformats.org/officeDocument/2006/relationships/hyperlink" Target="https://isof.epistemonikos.org/" TargetMode="External"/><Relationship Id="rId38" Type="http://schemas.openxmlformats.org/officeDocument/2006/relationships/hyperlink" Target="https://obesitycanada.ca/guidelines/primarycare" TargetMode="External"/><Relationship Id="rId46" Type="http://schemas.openxmlformats.org/officeDocument/2006/relationships/hyperlink" Target="https://obesitycanada.ca/guidelines/physicalactivity"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sof.epistemonikos.org/" TargetMode="External"/><Relationship Id="rId20" Type="http://schemas.openxmlformats.org/officeDocument/2006/relationships/hyperlink" Target="https://isof.epistemonikos.org/" TargetMode="External"/><Relationship Id="rId29" Type="http://schemas.openxmlformats.org/officeDocument/2006/relationships/hyperlink" Target="https://isof.epistemonikos.org/" TargetMode="External"/><Relationship Id="rId41" Type="http://schemas.openxmlformats.org/officeDocument/2006/relationships/hyperlink" Target="https://obesitycanada.ca/guidelines/primarycare" TargetMode="External"/><Relationship Id="rId54" Type="http://schemas.openxmlformats.org/officeDocument/2006/relationships/hyperlink" Target="https://obesitycanada.ca/guidelines/surgeryop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isof.epistemonikos.org/" TargetMode="External"/><Relationship Id="rId32" Type="http://schemas.openxmlformats.org/officeDocument/2006/relationships/hyperlink" Target="https://isof.epistemonikos.org/" TargetMode="External"/><Relationship Id="rId37" Type="http://schemas.openxmlformats.org/officeDocument/2006/relationships/hyperlink" Target="https://obesitycanada.ca/guidelines/behavioural" TargetMode="External"/><Relationship Id="rId40" Type="http://schemas.openxmlformats.org/officeDocument/2006/relationships/hyperlink" Target="https://obesitycanada.ca/guidelines/primarycare" TargetMode="External"/><Relationship Id="rId45" Type="http://schemas.openxmlformats.org/officeDocument/2006/relationships/hyperlink" Target="https://www.who.int/publications/i/item/9789240015128" TargetMode="External"/><Relationship Id="rId53" Type="http://schemas.openxmlformats.org/officeDocument/2006/relationships/hyperlink" Target="https://obesitycanada.ca/guidelines/pharmacotherapy"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sof.epistemonikos.org/" TargetMode="External"/><Relationship Id="rId23" Type="http://schemas.openxmlformats.org/officeDocument/2006/relationships/hyperlink" Target="https://isof.epistemonikos.org/" TargetMode="External"/><Relationship Id="rId28" Type="http://schemas.openxmlformats.org/officeDocument/2006/relationships/hyperlink" Target="https://isof.epistemonikos.org/" TargetMode="External"/><Relationship Id="rId36" Type="http://schemas.openxmlformats.org/officeDocument/2006/relationships/hyperlink" Target="https://obesitycanada.ca/guidelines/assessment" TargetMode="External"/><Relationship Id="rId49" Type="http://schemas.openxmlformats.org/officeDocument/2006/relationships/hyperlink" Target="https://obesitycanada.ca/guidelines/behavioural" TargetMode="External"/><Relationship Id="rId57"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hyperlink" Target="https://isof.epistemonikos.org/" TargetMode="External"/><Relationship Id="rId31" Type="http://schemas.openxmlformats.org/officeDocument/2006/relationships/hyperlink" Target="https://isof.epistemonikos.org/" TargetMode="External"/><Relationship Id="rId44" Type="http://schemas.openxmlformats.org/officeDocument/2006/relationships/hyperlink" Target="https://obesitycanada.ca/guidelines/primarycare" TargetMode="External"/><Relationship Id="rId52" Type="http://schemas.openxmlformats.org/officeDocument/2006/relationships/hyperlink" Target="https://obesitycanada.ca/guidelines/pharmacotherapy"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sof.epistemonikos.org/" TargetMode="External"/><Relationship Id="rId22" Type="http://schemas.openxmlformats.org/officeDocument/2006/relationships/hyperlink" Target="https://isof.epistemonikos.org/" TargetMode="External"/><Relationship Id="rId27" Type="http://schemas.openxmlformats.org/officeDocument/2006/relationships/hyperlink" Target="https://isof.epistemonikos.org/" TargetMode="External"/><Relationship Id="rId30" Type="http://schemas.openxmlformats.org/officeDocument/2006/relationships/hyperlink" Target="https://isof.epistemonikos.org/" TargetMode="External"/><Relationship Id="rId35" Type="http://schemas.openxmlformats.org/officeDocument/2006/relationships/hyperlink" Target="https://obesitycanada.ca/guidelines/assessment" TargetMode="External"/><Relationship Id="rId43" Type="http://schemas.openxmlformats.org/officeDocument/2006/relationships/hyperlink" Target="https://obesitycanada.ca/guidelines/nutrition" TargetMode="External"/><Relationship Id="rId48" Type="http://schemas.openxmlformats.org/officeDocument/2006/relationships/hyperlink" Target="https://obesitycanada.ca/guidelines/primarycare" TargetMode="External"/><Relationship Id="rId56" Type="http://schemas.openxmlformats.org/officeDocument/2006/relationships/image" Target="media/image5.png"/><Relationship Id="rId8" Type="http://schemas.openxmlformats.org/officeDocument/2006/relationships/image" Target="media/image1.png"/><Relationship Id="rId51" Type="http://schemas.openxmlformats.org/officeDocument/2006/relationships/hyperlink" Target="https://obesitycanada.ca/guidelines/pharmacotherapy"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37010</Words>
  <Characters>203560</Characters>
  <Application>Microsoft Office Word</Application>
  <DocSecurity>0</DocSecurity>
  <Lines>1696</Lines>
  <Paragraphs>480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Adriana Chávez Manzanera</dc:creator>
  <cp:lastModifiedBy>Emma Adriana Chávez Manzanera</cp:lastModifiedBy>
  <cp:revision>3</cp:revision>
  <dcterms:created xsi:type="dcterms:W3CDTF">2024-07-23T17:24:00Z</dcterms:created>
  <dcterms:modified xsi:type="dcterms:W3CDTF">2024-07-23T17:24:00Z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