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D82F3" w14:textId="77777777" w:rsidR="0030459A" w:rsidRPr="0010391A" w:rsidRDefault="0030459A" w:rsidP="0030459A">
      <w:pPr>
        <w:pStyle w:val="Heading2"/>
        <w:rPr>
          <w:color w:val="auto"/>
        </w:rPr>
      </w:pPr>
      <w:r w:rsidRPr="0010391A">
        <w:rPr>
          <w:color w:val="auto"/>
        </w:rPr>
        <w:t xml:space="preserve">Recommendations for the management of Myasthenia Gravis in Belgium </w:t>
      </w:r>
    </w:p>
    <w:p w14:paraId="2B931384" w14:textId="77777777" w:rsidR="00077405" w:rsidRPr="0010391A" w:rsidRDefault="00077405" w:rsidP="00672DF0">
      <w:pPr>
        <w:rPr>
          <w:b/>
          <w:bCs/>
        </w:rPr>
      </w:pPr>
    </w:p>
    <w:p w14:paraId="4814BB77" w14:textId="23FB3331" w:rsidR="00672DF0" w:rsidRPr="0010391A" w:rsidRDefault="00077405" w:rsidP="00672DF0">
      <w:pPr>
        <w:rPr>
          <w:b/>
          <w:bCs/>
        </w:rPr>
      </w:pPr>
      <w:r w:rsidRPr="0010391A">
        <w:rPr>
          <w:b/>
          <w:bCs/>
          <w:lang w:val="en-US"/>
        </w:rPr>
        <w:t xml:space="preserve">Journal: </w:t>
      </w:r>
      <w:r w:rsidR="00672DF0" w:rsidRPr="0010391A">
        <w:t>Acta Neurologica Belgica</w:t>
      </w:r>
    </w:p>
    <w:p w14:paraId="2FFCDBC6" w14:textId="77777777" w:rsidR="00077405" w:rsidRPr="0010391A" w:rsidRDefault="00077405" w:rsidP="00F9063D">
      <w:pPr>
        <w:rPr>
          <w:szCs w:val="24"/>
        </w:rPr>
      </w:pPr>
    </w:p>
    <w:p w14:paraId="36C86365" w14:textId="00B57041" w:rsidR="00F9063D" w:rsidRPr="0010391A" w:rsidRDefault="00077405" w:rsidP="00F9063D">
      <w:pPr>
        <w:rPr>
          <w:szCs w:val="24"/>
          <w:vertAlign w:val="superscript"/>
        </w:rPr>
      </w:pPr>
      <w:r w:rsidRPr="0010391A">
        <w:rPr>
          <w:b/>
          <w:bCs/>
          <w:szCs w:val="24"/>
        </w:rPr>
        <w:t xml:space="preserve">Authors: </w:t>
      </w:r>
      <w:r w:rsidR="00F9063D" w:rsidRPr="0010391A">
        <w:rPr>
          <w:szCs w:val="24"/>
        </w:rPr>
        <w:t>Jan L. De Bleecker, Gauthier Remiche, Alicia Alonso-Jiménez, Vinciane Van Parys, Véronique Bissay, Stéphanie Delstanche, Kristl G. Claeys</w:t>
      </w:r>
      <w:r w:rsidR="00672DF0" w:rsidRPr="0010391A">
        <w:rPr>
          <w:szCs w:val="24"/>
          <w:vertAlign w:val="superscript"/>
        </w:rPr>
        <w:t>.</w:t>
      </w:r>
    </w:p>
    <w:p w14:paraId="56BDFC93" w14:textId="77777777" w:rsidR="00077405" w:rsidRPr="0010391A" w:rsidRDefault="00077405" w:rsidP="00F9063D">
      <w:pPr>
        <w:rPr>
          <w:szCs w:val="24"/>
        </w:rPr>
      </w:pPr>
    </w:p>
    <w:p w14:paraId="6F681453" w14:textId="68F9960A" w:rsidR="00672DF0" w:rsidRPr="0010391A" w:rsidRDefault="00077405" w:rsidP="00F9063D">
      <w:pPr>
        <w:rPr>
          <w:szCs w:val="24"/>
          <w:lang w:val="nl-NL"/>
        </w:rPr>
      </w:pPr>
      <w:r w:rsidRPr="0010391A">
        <w:rPr>
          <w:b/>
          <w:bCs/>
          <w:szCs w:val="24"/>
          <w:lang w:val="nl-NL"/>
        </w:rPr>
        <w:t xml:space="preserve">Corresponding author: </w:t>
      </w:r>
      <w:r w:rsidRPr="0010391A">
        <w:rPr>
          <w:szCs w:val="24"/>
          <w:lang w:val="nl-NL"/>
        </w:rPr>
        <w:t>Jan de Bleecker (jan.debleecker@ugent.be)</w:t>
      </w:r>
    </w:p>
    <w:p w14:paraId="699CA339" w14:textId="77777777" w:rsidR="0030459A" w:rsidRPr="0010391A" w:rsidRDefault="0030459A" w:rsidP="0030459A"/>
    <w:p w14:paraId="59C71072" w14:textId="13166471" w:rsidR="00D061DD" w:rsidRPr="0010391A" w:rsidRDefault="00000D2F" w:rsidP="00000D2F">
      <w:pPr>
        <w:rPr>
          <w:lang w:val="en-US"/>
        </w:rPr>
      </w:pPr>
      <w:r w:rsidRPr="0010391A">
        <w:rPr>
          <w:b/>
          <w:bCs/>
          <w:lang w:val="en-US"/>
        </w:rPr>
        <w:t xml:space="preserve">Appendix 1: </w:t>
      </w:r>
      <w:r w:rsidR="003B2842" w:rsidRPr="0010391A">
        <w:rPr>
          <w:lang w:val="en-US"/>
        </w:rPr>
        <w:t>MGFA Classification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837"/>
        <w:gridCol w:w="588"/>
        <w:gridCol w:w="7900"/>
      </w:tblGrid>
      <w:tr w:rsidR="0010391A" w:rsidRPr="0010391A" w14:paraId="34DA56F9" w14:textId="77777777" w:rsidTr="003B2842">
        <w:trPr>
          <w:trHeight w:val="39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387C15C9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b/>
                <w:bCs/>
                <w:kern w:val="0"/>
                <w:sz w:val="26"/>
                <w:szCs w:val="26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b/>
                <w:bCs/>
                <w:kern w:val="0"/>
                <w:sz w:val="26"/>
                <w:szCs w:val="26"/>
                <w:lang w:eastAsia="aa-ET"/>
                <w14:ligatures w14:val="none"/>
              </w:rPr>
              <w:t>Class</w:t>
            </w:r>
          </w:p>
        </w:tc>
        <w:tc>
          <w:tcPr>
            <w:tcW w:w="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0B5C83AF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b/>
                <w:bCs/>
                <w:kern w:val="0"/>
                <w:sz w:val="26"/>
                <w:szCs w:val="26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b/>
                <w:bCs/>
                <w:kern w:val="0"/>
                <w:sz w:val="26"/>
                <w:szCs w:val="26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14:paraId="773484DF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b/>
                <w:bCs/>
                <w:kern w:val="0"/>
                <w:sz w:val="26"/>
                <w:szCs w:val="26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b/>
                <w:bCs/>
                <w:kern w:val="0"/>
                <w:sz w:val="26"/>
                <w:szCs w:val="26"/>
                <w:lang w:eastAsia="aa-ET"/>
                <w14:ligatures w14:val="none"/>
              </w:rPr>
              <w:t>Characteristics/Clinical manifestation</w:t>
            </w:r>
          </w:p>
        </w:tc>
      </w:tr>
      <w:tr w:rsidR="0010391A" w:rsidRPr="0010391A" w14:paraId="777AF136" w14:textId="77777777" w:rsidTr="003B2842">
        <w:trPr>
          <w:trHeight w:val="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60F4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b/>
                <w:bCs/>
                <w:kern w:val="0"/>
                <w:sz w:val="26"/>
                <w:szCs w:val="26"/>
                <w:lang w:eastAsia="aa-ET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49F4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0344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  <w:bookmarkStart w:id="0" w:name="_GoBack"/>
        <w:bookmarkEnd w:id="0"/>
      </w:tr>
      <w:tr w:rsidR="0010391A" w:rsidRPr="0010391A" w14:paraId="70416710" w14:textId="77777777" w:rsidTr="003B2842">
        <w:trPr>
          <w:trHeight w:val="32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2849695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</w:t>
            </w:r>
          </w:p>
        </w:tc>
        <w:tc>
          <w:tcPr>
            <w:tcW w:w="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B69B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74867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Any ocular muscle weakness; may have weakness of eye closure.</w:t>
            </w:r>
          </w:p>
        </w:tc>
      </w:tr>
      <w:tr w:rsidR="0010391A" w:rsidRPr="0010391A" w14:paraId="6AADBD53" w14:textId="77777777" w:rsidTr="003B2842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81BD43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9F2B6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1260E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All other muscle strenght is normal.</w:t>
            </w:r>
          </w:p>
        </w:tc>
      </w:tr>
      <w:tr w:rsidR="0010391A" w:rsidRPr="0010391A" w14:paraId="2EC5C97A" w14:textId="77777777" w:rsidTr="003B2842">
        <w:trPr>
          <w:trHeight w:val="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1BFB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2534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1E7F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</w:tr>
      <w:tr w:rsidR="0010391A" w:rsidRPr="0010391A" w14:paraId="5415DB0D" w14:textId="77777777" w:rsidTr="003B2842">
        <w:trPr>
          <w:trHeight w:val="32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4CF10E7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II</w:t>
            </w:r>
          </w:p>
        </w:tc>
        <w:tc>
          <w:tcPr>
            <w:tcW w:w="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67FA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9B79E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 xml:space="preserve">Mild weakness affecting muscles other than ocular muscles. </w:t>
            </w:r>
          </w:p>
        </w:tc>
      </w:tr>
      <w:tr w:rsidR="0010391A" w:rsidRPr="0010391A" w14:paraId="34BAAF84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5815378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C02F4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A14BF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ocular muscle weakness of any severity.</w:t>
            </w:r>
          </w:p>
        </w:tc>
      </w:tr>
      <w:tr w:rsidR="0010391A" w:rsidRPr="0010391A" w14:paraId="4636EC44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8EC2368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3F6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IIa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8E8C8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 xml:space="preserve">Predominantly affecting limb, axial muscles, or both. </w:t>
            </w:r>
          </w:p>
        </w:tc>
      </w:tr>
      <w:tr w:rsidR="0010391A" w:rsidRPr="0010391A" w14:paraId="1CB2F6B7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412BB9A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3E70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3AAFA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lesser involvement of oropharyngeal mucles.</w:t>
            </w:r>
          </w:p>
        </w:tc>
      </w:tr>
      <w:tr w:rsidR="0010391A" w:rsidRPr="0010391A" w14:paraId="744EBD08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8AF7F4F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AF5A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IIb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AC545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Predominantly affecting oropharyngeal, respiratory muscles, or both.</w:t>
            </w:r>
          </w:p>
        </w:tc>
      </w:tr>
      <w:tr w:rsidR="0010391A" w:rsidRPr="0010391A" w14:paraId="7514B002" w14:textId="77777777" w:rsidTr="003B2842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BB6DB5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A3137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EC7D2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lesser or equal involvement of limb, axial muscles, or both.</w:t>
            </w:r>
          </w:p>
        </w:tc>
      </w:tr>
      <w:tr w:rsidR="0010391A" w:rsidRPr="0010391A" w14:paraId="41CFD7F2" w14:textId="77777777" w:rsidTr="003B2842">
        <w:trPr>
          <w:trHeight w:val="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37AF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1142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0544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</w:tr>
      <w:tr w:rsidR="0010391A" w:rsidRPr="0010391A" w14:paraId="7D131677" w14:textId="77777777" w:rsidTr="003B2842">
        <w:trPr>
          <w:trHeight w:val="32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D9C3B60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III</w:t>
            </w:r>
          </w:p>
        </w:tc>
        <w:tc>
          <w:tcPr>
            <w:tcW w:w="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B142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31395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 xml:space="preserve">Moderate weakness affecting muscles other than ocular muscles. </w:t>
            </w:r>
          </w:p>
        </w:tc>
      </w:tr>
      <w:tr w:rsidR="0010391A" w:rsidRPr="0010391A" w14:paraId="2675DC54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051BD2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3618E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2683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ocular muscle weakness of any severity.</w:t>
            </w:r>
          </w:p>
        </w:tc>
      </w:tr>
      <w:tr w:rsidR="0010391A" w:rsidRPr="0010391A" w14:paraId="605FA8A8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2925923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464B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IIIa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F7607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 xml:space="preserve">Predominantly affecting limb, axial muscles, or both. </w:t>
            </w:r>
          </w:p>
        </w:tc>
      </w:tr>
      <w:tr w:rsidR="0010391A" w:rsidRPr="0010391A" w14:paraId="2F4FCA2E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0D62520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B0C46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2B67E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lesser involvement of oropharyngeal mucles.</w:t>
            </w:r>
          </w:p>
        </w:tc>
      </w:tr>
      <w:tr w:rsidR="0010391A" w:rsidRPr="0010391A" w14:paraId="45C5D4DC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30C085A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1CAB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IIIb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D99E6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Predominantly affecting oropharyngeal, respiratory muscles, or both.</w:t>
            </w:r>
          </w:p>
        </w:tc>
      </w:tr>
      <w:tr w:rsidR="0010391A" w:rsidRPr="0010391A" w14:paraId="1EB32DD0" w14:textId="77777777" w:rsidTr="003B2842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183E0A0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D38C2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75420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lesser or equal involvement of limb, axial muscles, or both.</w:t>
            </w:r>
          </w:p>
        </w:tc>
      </w:tr>
      <w:tr w:rsidR="0010391A" w:rsidRPr="0010391A" w14:paraId="5C652587" w14:textId="77777777" w:rsidTr="003B2842">
        <w:trPr>
          <w:trHeight w:val="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447A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D3D5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9893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</w:tr>
      <w:tr w:rsidR="0010391A" w:rsidRPr="0010391A" w14:paraId="11CFD4D5" w14:textId="77777777" w:rsidTr="003B2842">
        <w:trPr>
          <w:trHeight w:val="32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F5D9BF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IV</w:t>
            </w:r>
          </w:p>
        </w:tc>
        <w:tc>
          <w:tcPr>
            <w:tcW w:w="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FAA0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C8B10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 xml:space="preserve">Severe weakness affecting muscles other than ocular muscles. </w:t>
            </w:r>
          </w:p>
        </w:tc>
      </w:tr>
      <w:tr w:rsidR="0010391A" w:rsidRPr="0010391A" w14:paraId="3E4F3B34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D24B822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8D881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692EC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ocular muscle weakness of any severity.</w:t>
            </w:r>
          </w:p>
        </w:tc>
      </w:tr>
      <w:tr w:rsidR="0010391A" w:rsidRPr="0010391A" w14:paraId="72E385F5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09F2112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6795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Iva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6BA3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 xml:space="preserve">Predominantly affecting limb, axial muscles, or both. </w:t>
            </w:r>
          </w:p>
        </w:tc>
      </w:tr>
      <w:tr w:rsidR="0010391A" w:rsidRPr="0010391A" w14:paraId="02DC2342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D96F301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52F86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D106E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lesser involvement of oropharyngeal mucles.</w:t>
            </w:r>
          </w:p>
        </w:tc>
      </w:tr>
      <w:tr w:rsidR="0010391A" w:rsidRPr="0010391A" w14:paraId="037A83D1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2413F8A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838D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Ivb</w:t>
            </w: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690B7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Predominantly affecting oropharyngeal, respiratory muscles, or both.</w:t>
            </w:r>
          </w:p>
        </w:tc>
      </w:tr>
      <w:tr w:rsidR="0010391A" w:rsidRPr="0010391A" w14:paraId="07F43994" w14:textId="77777777" w:rsidTr="003B2842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E1F9968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CF243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6D91E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May also have lesser or equal involvement of limb, axial muscles, or both.</w:t>
            </w:r>
          </w:p>
        </w:tc>
      </w:tr>
      <w:tr w:rsidR="0010391A" w:rsidRPr="0010391A" w14:paraId="42799D4D" w14:textId="77777777" w:rsidTr="003B2842">
        <w:trPr>
          <w:trHeight w:val="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A8E6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59FE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4854" w14:textId="77777777" w:rsidR="003B2842" w:rsidRPr="0010391A" w:rsidRDefault="003B2842" w:rsidP="003B2842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a-ET"/>
                <w14:ligatures w14:val="none"/>
              </w:rPr>
            </w:pPr>
          </w:p>
        </w:tc>
      </w:tr>
      <w:tr w:rsidR="0010391A" w:rsidRPr="0010391A" w14:paraId="483DD458" w14:textId="77777777" w:rsidTr="003B2842">
        <w:trPr>
          <w:trHeight w:val="32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E946432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V</w:t>
            </w:r>
          </w:p>
        </w:tc>
        <w:tc>
          <w:tcPr>
            <w:tcW w:w="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A81C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1FAC2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Defined by intubation, with or without mechanical ventilation, except when</w:t>
            </w:r>
          </w:p>
        </w:tc>
      </w:tr>
      <w:tr w:rsidR="0010391A" w:rsidRPr="0010391A" w14:paraId="19A69C50" w14:textId="77777777" w:rsidTr="003B2842">
        <w:trPr>
          <w:trHeight w:val="32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7081514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6353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856CB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employed during routine post-operative management. Using a feeding</w:t>
            </w:r>
          </w:p>
        </w:tc>
      </w:tr>
      <w:tr w:rsidR="0010391A" w:rsidRPr="0010391A" w14:paraId="6C990621" w14:textId="77777777" w:rsidTr="003B2842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7C77890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8FB70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2CA56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lang w:eastAsia="aa-ET"/>
                <w14:ligatures w14:val="none"/>
              </w:rPr>
              <w:t>tube without intubation places the patient in class Ivb</w:t>
            </w:r>
          </w:p>
        </w:tc>
      </w:tr>
      <w:tr w:rsidR="003B2842" w:rsidRPr="0010391A" w14:paraId="4E13B7D8" w14:textId="77777777" w:rsidTr="003B2842">
        <w:trPr>
          <w:trHeight w:val="530"/>
        </w:trPr>
        <w:tc>
          <w:tcPr>
            <w:tcW w:w="906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055E" w14:textId="77777777" w:rsidR="003B2842" w:rsidRPr="0010391A" w:rsidRDefault="003B2842" w:rsidP="003B2842">
            <w:pPr>
              <w:spacing w:line="240" w:lineRule="auto"/>
              <w:rPr>
                <w:rFonts w:eastAsia="Times New Roman" w:cs="Calibri"/>
                <w:kern w:val="0"/>
                <w:sz w:val="18"/>
                <w:szCs w:val="18"/>
                <w:lang w:eastAsia="aa-ET"/>
                <w14:ligatures w14:val="none"/>
              </w:rPr>
            </w:pPr>
            <w:r w:rsidRPr="0010391A">
              <w:rPr>
                <w:rFonts w:eastAsia="Times New Roman" w:cs="Calibri"/>
                <w:kern w:val="0"/>
                <w:sz w:val="18"/>
                <w:szCs w:val="18"/>
                <w:lang w:eastAsia="aa-ET"/>
                <w14:ligatures w14:val="none"/>
              </w:rPr>
              <w:t>Source: Jaretzki, A.; Barohn, R. J.; Ernstoff, R. M.; Kaminski, H. J.; Keesey, J. C.; Penn, A. S.; Sanders, D. B. (2000). Myasthenia gravis: Recommendations for clinical research standards. Neurology, 55(1), 16–23.</w:t>
            </w:r>
          </w:p>
        </w:tc>
      </w:tr>
    </w:tbl>
    <w:p w14:paraId="105F8B92" w14:textId="77777777" w:rsidR="00000D2F" w:rsidRPr="0010391A" w:rsidRDefault="00000D2F" w:rsidP="00000D2F">
      <w:pPr>
        <w:rPr>
          <w:b/>
          <w:bCs/>
        </w:rPr>
      </w:pPr>
    </w:p>
    <w:sectPr w:rsidR="00000D2F" w:rsidRPr="00103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0000000000000000000"/>
    <w:charset w:val="00"/>
    <w:family w:val="roman"/>
    <w:notTrueType/>
    <w:pitch w:val="variable"/>
    <w:sig w:usb0="00000001" w:usb1="02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K Nova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7F"/>
    <w:rsid w:val="00000D2F"/>
    <w:rsid w:val="00077405"/>
    <w:rsid w:val="0010391A"/>
    <w:rsid w:val="0030459A"/>
    <w:rsid w:val="00313932"/>
    <w:rsid w:val="00336DCE"/>
    <w:rsid w:val="003B2842"/>
    <w:rsid w:val="00672DF0"/>
    <w:rsid w:val="0077063D"/>
    <w:rsid w:val="007B6D2D"/>
    <w:rsid w:val="00CE4D7F"/>
    <w:rsid w:val="00D061DD"/>
    <w:rsid w:val="00D77982"/>
    <w:rsid w:val="00E657A2"/>
    <w:rsid w:val="00E67504"/>
    <w:rsid w:val="00F9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EDBCF"/>
  <w15:chartTrackingRefBased/>
  <w15:docId w15:val="{D2A7A6F7-A1D5-4046-81E7-3EED6F80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a-E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DCE"/>
    <w:pPr>
      <w:spacing w:after="0"/>
    </w:pPr>
    <w:rPr>
      <w:rFonts w:ascii="Source Serif Pro" w:hAnsi="Source Serif Pro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77982"/>
    <w:pPr>
      <w:keepNext/>
      <w:keepLines/>
      <w:spacing w:before="60" w:after="60" w:line="240" w:lineRule="auto"/>
      <w:outlineLvl w:val="0"/>
    </w:pPr>
    <w:rPr>
      <w:rFonts w:eastAsiaTheme="majorEastAsia" w:cstheme="majorBidi"/>
      <w:color w:val="767171" w:themeColor="background2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77982"/>
    <w:pPr>
      <w:keepNext/>
      <w:keepLines/>
      <w:spacing w:before="40" w:after="40" w:line="240" w:lineRule="auto"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B6D2D"/>
    <w:pPr>
      <w:keepNext/>
      <w:keepLines/>
      <w:spacing w:before="40" w:line="240" w:lineRule="auto"/>
      <w:outlineLvl w:val="2"/>
    </w:pPr>
    <w:rPr>
      <w:rFonts w:ascii="Cambria" w:eastAsiaTheme="majorEastAsia" w:hAnsi="Cambr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E657A2"/>
    <w:pPr>
      <w:spacing w:line="240" w:lineRule="auto"/>
      <w:contextualSpacing/>
      <w:jc w:val="center"/>
    </w:pPr>
    <w:rPr>
      <w:rFonts w:eastAsiaTheme="majorEastAsia" w:cstheme="majorBidi"/>
      <w:b/>
      <w:color w:val="808080" w:themeColor="background1" w:themeShade="8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A2"/>
    <w:rPr>
      <w:rFonts w:ascii="HK Nova" w:eastAsiaTheme="majorEastAsia" w:hAnsi="HK Nova" w:cstheme="majorBidi"/>
      <w:b/>
      <w:color w:val="808080" w:themeColor="background1" w:themeShade="80"/>
      <w:spacing w:val="-10"/>
      <w:kern w:val="28"/>
      <w:sz w:val="56"/>
      <w:szCs w:val="56"/>
    </w:rPr>
  </w:style>
  <w:style w:type="paragraph" w:styleId="NoSpacing">
    <w:name w:val="No Spacing"/>
    <w:autoRedefine/>
    <w:uiPriority w:val="1"/>
    <w:qFormat/>
    <w:rsid w:val="00E67504"/>
    <w:pPr>
      <w:spacing w:after="0" w:line="240" w:lineRule="auto"/>
    </w:pPr>
    <w:rPr>
      <w:rFonts w:ascii="Source Serif Pro" w:hAnsi="Source Serif Pro"/>
    </w:rPr>
  </w:style>
  <w:style w:type="character" w:customStyle="1" w:styleId="Heading1Char">
    <w:name w:val="Heading 1 Char"/>
    <w:basedOn w:val="DefaultParagraphFont"/>
    <w:link w:val="Heading1"/>
    <w:uiPriority w:val="9"/>
    <w:rsid w:val="00D77982"/>
    <w:rPr>
      <w:rFonts w:ascii="Cambria" w:eastAsiaTheme="majorEastAsia" w:hAnsi="Cambria" w:cstheme="majorBidi"/>
      <w:color w:val="767171" w:themeColor="background2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7982"/>
    <w:rPr>
      <w:rFonts w:ascii="Cambria" w:eastAsiaTheme="majorEastAsia" w:hAnsi="Cambria" w:cstheme="majorBidi"/>
      <w:b/>
      <w:color w:val="767171" w:themeColor="background2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6D2D"/>
    <w:rPr>
      <w:rFonts w:ascii="Cambria" w:eastAsiaTheme="majorEastAsia" w:hAnsi="Cambria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43E8CE65CC5D439DE689024444B251" ma:contentTypeVersion="14" ma:contentTypeDescription="Create a new document." ma:contentTypeScope="" ma:versionID="ae4eaa1913a10a5daff5d0dd08ef1efe">
  <xsd:schema xmlns:xsd="http://www.w3.org/2001/XMLSchema" xmlns:xs="http://www.w3.org/2001/XMLSchema" xmlns:p="http://schemas.microsoft.com/office/2006/metadata/properties" xmlns:ns2="127c987e-ba50-4c59-a4b4-9694716ad711" xmlns:ns3="7fb425bd-deed-4e12-991d-b02084295a8f" targetNamespace="http://schemas.microsoft.com/office/2006/metadata/properties" ma:root="true" ma:fieldsID="4e3498c3e598c079ff783e600807ba37" ns2:_="" ns3:_="">
    <xsd:import namespace="127c987e-ba50-4c59-a4b4-9694716ad711"/>
    <xsd:import namespace="7fb425bd-deed-4e12-991d-b02084295a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c987e-ba50-4c59-a4b4-9694716ad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acc8542-852f-46cd-ae9c-414d54847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425bd-deed-4e12-991d-b02084295a8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c0b21e-2a8d-42b5-b003-045b9bd15fb3}" ma:internalName="TaxCatchAll" ma:showField="CatchAllData" ma:web="7fb425bd-deed-4e12-991d-b02084295a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b425bd-deed-4e12-991d-b02084295a8f" xsi:nil="true"/>
    <lcf76f155ced4ddcb4097134ff3c332f xmlns="127c987e-ba50-4c59-a4b4-9694716ad71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EF246-167F-4D19-88E0-513FF92A6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c987e-ba50-4c59-a4b4-9694716ad711"/>
    <ds:schemaRef ds:uri="7fb425bd-deed-4e12-991d-b02084295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50D35D-7289-4154-8C92-8EA39DDFCBC8}">
  <ds:schemaRefs>
    <ds:schemaRef ds:uri="http://schemas.microsoft.com/office/2006/metadata/properties"/>
    <ds:schemaRef ds:uri="http://schemas.microsoft.com/office/infopath/2007/PartnerControls"/>
    <ds:schemaRef ds:uri="7fb425bd-deed-4e12-991d-b02084295a8f"/>
    <ds:schemaRef ds:uri="127c987e-ba50-4c59-a4b4-9694716ad711"/>
  </ds:schemaRefs>
</ds:datastoreItem>
</file>

<file path=customXml/itemProps3.xml><?xml version="1.0" encoding="utf-8"?>
<ds:datastoreItem xmlns:ds="http://schemas.openxmlformats.org/officeDocument/2006/customXml" ds:itemID="{DE23A8F7-20CA-42D6-8893-4CC55B135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Verdonck</dc:creator>
  <cp:keywords/>
  <dc:description/>
  <cp:lastModifiedBy>Priyanga Ramu</cp:lastModifiedBy>
  <cp:revision>8</cp:revision>
  <dcterms:created xsi:type="dcterms:W3CDTF">2024-02-05T13:35:00Z</dcterms:created>
  <dcterms:modified xsi:type="dcterms:W3CDTF">2024-04-08T09:20:00Z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0x010100B043E8CE65CC5D439DE689024444B251</vt:lpwstr>
  </property>
  <property fmtid="{D5CDD505-2E9C-101B-9397-08002B2CF9AE}" pid="3" name="MediaServiceImageTags">
    <vt:lpwstr/>
  </property>
</Properties>
</file>