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25FEA" w14:textId="152ED075" w:rsidR="002C5ABA" w:rsidRPr="00C83390" w:rsidRDefault="004759B6" w:rsidP="002C5ABA">
      <w:pPr>
        <w:spacing w:after="0" w:line="360" w:lineRule="auto"/>
        <w:jc w:val="center"/>
        <w:rPr>
          <w:rFonts w:ascii="Times New Roman" w:hAnsi="Times New Roman" w:cs="Times New Roman"/>
          <w:b/>
          <w:bCs/>
          <w:sz w:val="20"/>
          <w:szCs w:val="20"/>
          <w:lang w:val="en-US"/>
        </w:rPr>
      </w:pPr>
      <w:proofErr w:type="gramStart"/>
      <w:r w:rsidRPr="004759B6">
        <w:rPr>
          <w:rFonts w:ascii="Times New Roman" w:hAnsi="Times New Roman" w:cs="Times New Roman"/>
          <w:b/>
          <w:bCs/>
          <w:sz w:val="20"/>
          <w:szCs w:val="20"/>
          <w:lang w:val="en-US"/>
        </w:rPr>
        <w:t>Can the Combination Index Be Used</w:t>
      </w:r>
      <w:proofErr w:type="gramEnd"/>
      <w:r w:rsidRPr="004759B6">
        <w:rPr>
          <w:rFonts w:ascii="Times New Roman" w:hAnsi="Times New Roman" w:cs="Times New Roman"/>
          <w:b/>
          <w:bCs/>
          <w:sz w:val="20"/>
          <w:szCs w:val="20"/>
          <w:lang w:val="en-US"/>
        </w:rPr>
        <w:t xml:space="preserve"> as a New Perspective in Characterizing the Toxicity of Metal Mixtures?</w:t>
      </w:r>
      <w:bookmarkStart w:id="0" w:name="_GoBack"/>
      <w:bookmarkEnd w:id="0"/>
    </w:p>
    <w:p w14:paraId="27780C3F" w14:textId="53368274" w:rsidR="001E25E0" w:rsidRPr="00C57657" w:rsidRDefault="001E25E0" w:rsidP="001E25E0">
      <w:pPr>
        <w:spacing w:line="360" w:lineRule="auto"/>
        <w:jc w:val="center"/>
        <w:rPr>
          <w:rFonts w:ascii="Times New Roman" w:hAnsi="Times New Roman" w:cs="Times New Roman"/>
          <w:b/>
          <w:bCs/>
        </w:rPr>
      </w:pPr>
    </w:p>
    <w:p w14:paraId="437A8216" w14:textId="77777777" w:rsidR="00A354A2" w:rsidRDefault="00A354A2"/>
    <w:p w14:paraId="098F4E21" w14:textId="6BB73205" w:rsidR="00E31BB9" w:rsidRDefault="00E31BB9">
      <w:pPr>
        <w:rPr>
          <w:rFonts w:ascii="Times New Roman" w:hAnsi="Times New Roman" w:cs="Times New Roman"/>
          <w:b/>
          <w:bCs/>
          <w:sz w:val="20"/>
          <w:szCs w:val="20"/>
          <w:lang w:val="en-US"/>
        </w:rPr>
      </w:pPr>
    </w:p>
    <w:p w14:paraId="73179903" w14:textId="0A8A2067" w:rsidR="00D2525D" w:rsidRPr="00C57657" w:rsidRDefault="00D2525D" w:rsidP="00E31BB9">
      <w:pPr>
        <w:autoSpaceDE w:val="0"/>
        <w:autoSpaceDN w:val="0"/>
        <w:adjustRightInd w:val="0"/>
        <w:spacing w:after="0" w:line="360" w:lineRule="auto"/>
        <w:jc w:val="both"/>
        <w:rPr>
          <w:rFonts w:ascii="Times New Roman" w:hAnsi="Times New Roman" w:cs="Times New Roman"/>
          <w:highlight w:val="yellow"/>
          <w:lang w:val="en-US"/>
        </w:rPr>
      </w:pPr>
      <w:r w:rsidRPr="00C57657">
        <w:rPr>
          <w:rFonts w:ascii="Times New Roman" w:hAnsi="Times New Roman" w:cs="Times New Roman"/>
          <w:b/>
          <w:bCs/>
          <w:lang w:val="en-US"/>
        </w:rPr>
        <w:t xml:space="preserve">Table </w:t>
      </w:r>
      <w:r w:rsidR="00D172E1">
        <w:rPr>
          <w:rFonts w:ascii="Times New Roman" w:hAnsi="Times New Roman" w:cs="Times New Roman"/>
          <w:b/>
          <w:bCs/>
          <w:lang w:val="en-US"/>
        </w:rPr>
        <w:t>S</w:t>
      </w:r>
      <w:r w:rsidR="008E39F4">
        <w:rPr>
          <w:rFonts w:ascii="Times New Roman" w:hAnsi="Times New Roman" w:cs="Times New Roman"/>
          <w:b/>
          <w:bCs/>
          <w:lang w:val="en-US"/>
        </w:rPr>
        <w:t>1</w:t>
      </w:r>
      <w:r w:rsidR="00E523FB">
        <w:rPr>
          <w:rFonts w:ascii="Times New Roman" w:hAnsi="Times New Roman" w:cs="Times New Roman"/>
          <w:lang w:val="en-US"/>
        </w:rPr>
        <w:t>.</w:t>
      </w:r>
      <w:r w:rsidRPr="00C57657">
        <w:rPr>
          <w:rFonts w:ascii="Times New Roman" w:hAnsi="Times New Roman" w:cs="Times New Roman"/>
          <w:lang w:val="en-US"/>
        </w:rPr>
        <w:t xml:space="preserve"> Symbols for Synergism and Antagonism using CI analysis adapted by </w:t>
      </w:r>
      <w:r w:rsidRPr="00C57657">
        <w:rPr>
          <w:rFonts w:ascii="Times New Roman" w:hAnsi="Times New Roman" w:cs="Times New Roman"/>
          <w:lang w:val="en-US"/>
        </w:rPr>
        <w:fldChar w:fldCharType="begin" w:fldLock="1"/>
      </w:r>
      <w:r w:rsidRPr="00C57657">
        <w:rPr>
          <w:rFonts w:ascii="Times New Roman" w:hAnsi="Times New Roman" w:cs="Times New Roman"/>
          <w:lang w:val="en-US"/>
        </w:rPr>
        <w:instrText>ADDIN CSL_CITATION {"citationItems":[{"id":"ITEM-1","itemData":{"DOI":"10.1016/j.synres.2014.07.003","ISSN":"22137130","abstract":"Drug combinations have been widely used in the treatment of the most dreadful diseases, such as cancer and AIDS. In the search for synergistic combinations for therapy, numerous articles have been published during the past century. However, the term \"synergy\" has at least 20 different definitions in literature but none supports others. The confusion on synergy claims has far reaching consequences in biomedical research, drug discovery and development, regulation, and medical care of patients. This article reviews the current status and enlists the frequently occurred pit-falls, misconceptions and common errors in drug combination studies. The questions and issues are contemplated to be answered and clarified with the physico-chemical algorithms of the mass-action law, specifically with the unified theory of the median-effect equation and its combination index theorem for drug combinations. The derived theory, algorithm and its computer simulation lead to a quantitative indexed bioinformatics, and econo-green bio-research using small number of data points.","author":[{"dropping-particle":"","family":"Chou","given":"Ting Chao","non-dropping-particle":"","parse-names":false,"suffix":""}],"container-title":"Synergy","id":"ITEM-1","issue":"1","issued":{"date-parts":[["2014"]]},"page":"3-21","publisher":"Elsevier GmbH","title":"Frequently asked questions in drug combinations and the mass-action law-based answers","type":"article-journal","volume":"1"},"uris":["http://www.mendeley.com/documents/?uuid=5758d450-1610-45c9-bf3c-f16d64f7733d"]}],"mendeley":{"formattedCitation":"(Chou, 2014)","plainTextFormattedCitation":"(Chou, 2014)","previouslyFormattedCitation":"(Chou, 2014)"},"properties":{"noteIndex":0},"schema":"https://github.com/citation-style-language/schema/raw/master/csl-citation.json"}</w:instrText>
      </w:r>
      <w:r w:rsidRPr="00C57657">
        <w:rPr>
          <w:rFonts w:ascii="Times New Roman" w:hAnsi="Times New Roman" w:cs="Times New Roman"/>
          <w:lang w:val="en-US"/>
        </w:rPr>
        <w:fldChar w:fldCharType="separate"/>
      </w:r>
      <w:r w:rsidRPr="00C57657">
        <w:rPr>
          <w:rFonts w:ascii="Times New Roman" w:hAnsi="Times New Roman" w:cs="Times New Roman"/>
          <w:noProof/>
          <w:lang w:val="en-US"/>
        </w:rPr>
        <w:t>(Chou, 2014)</w:t>
      </w:r>
      <w:r w:rsidRPr="00C57657">
        <w:rPr>
          <w:rFonts w:ascii="Times New Roman" w:hAnsi="Times New Roman" w:cs="Times New Roman"/>
          <w:lang w:val="en-US"/>
        </w:rPr>
        <w:fldChar w:fldCharType="end"/>
      </w:r>
      <w:r w:rsidRPr="00C57657">
        <w:rPr>
          <w:rFonts w:ascii="Times New Roman" w:hAnsi="Times New Roman" w:cs="Times New Roman"/>
          <w:lang w:val="en-US"/>
        </w:rPr>
        <w:t>.</w:t>
      </w:r>
    </w:p>
    <w:tbl>
      <w:tblPr>
        <w:tblpPr w:leftFromText="141" w:rightFromText="141" w:vertAnchor="text" w:horzAnchor="margin" w:tblpXSpec="center" w:tblpY="176"/>
        <w:tblW w:w="3240" w:type="dxa"/>
        <w:tblCellMar>
          <w:left w:w="70" w:type="dxa"/>
          <w:right w:w="70" w:type="dxa"/>
        </w:tblCellMar>
        <w:tblLook w:val="04A0" w:firstRow="1" w:lastRow="0" w:firstColumn="1" w:lastColumn="0" w:noHBand="0" w:noVBand="1"/>
      </w:tblPr>
      <w:tblGrid>
        <w:gridCol w:w="1120"/>
        <w:gridCol w:w="2120"/>
      </w:tblGrid>
      <w:tr w:rsidR="005B17AA" w:rsidRPr="00C57657" w14:paraId="09B6D566" w14:textId="77777777" w:rsidTr="005B17AA">
        <w:trPr>
          <w:trHeight w:val="300"/>
        </w:trPr>
        <w:tc>
          <w:tcPr>
            <w:tcW w:w="1120" w:type="dxa"/>
            <w:tcBorders>
              <w:top w:val="single" w:sz="8" w:space="0" w:color="auto"/>
              <w:left w:val="single" w:sz="8" w:space="0" w:color="auto"/>
              <w:bottom w:val="single" w:sz="8" w:space="0" w:color="auto"/>
              <w:right w:val="nil"/>
            </w:tcBorders>
            <w:shd w:val="clear" w:color="auto" w:fill="auto"/>
            <w:noWrap/>
            <w:vAlign w:val="bottom"/>
            <w:hideMark/>
          </w:tcPr>
          <w:p w14:paraId="6B55F40F" w14:textId="77777777" w:rsidR="005B17AA" w:rsidRPr="00C57657" w:rsidRDefault="005B17AA" w:rsidP="007C2480">
            <w:pPr>
              <w:spacing w:after="0" w:line="240" w:lineRule="auto"/>
              <w:jc w:val="right"/>
              <w:rPr>
                <w:rFonts w:ascii="Times" w:eastAsia="Times New Roman" w:hAnsi="Times" w:cs="Times"/>
                <w:b/>
                <w:bCs/>
                <w:color w:val="000000"/>
                <w:kern w:val="0"/>
                <w:sz w:val="18"/>
                <w:szCs w:val="18"/>
                <w:lang w:val="en-US" w:eastAsia="tr-TR"/>
                <w14:ligatures w14:val="none"/>
              </w:rPr>
            </w:pPr>
            <w:r w:rsidRPr="00C57657">
              <w:rPr>
                <w:rFonts w:ascii="Times" w:eastAsia="Times New Roman" w:hAnsi="Times" w:cs="Times"/>
                <w:b/>
                <w:bCs/>
                <w:color w:val="000000"/>
                <w:kern w:val="0"/>
                <w:sz w:val="18"/>
                <w:szCs w:val="18"/>
                <w:lang w:val="en-US" w:eastAsia="tr-TR"/>
                <w14:ligatures w14:val="none"/>
              </w:rPr>
              <w:t>Rage of CI</w:t>
            </w:r>
          </w:p>
        </w:tc>
        <w:tc>
          <w:tcPr>
            <w:tcW w:w="21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B80D9E9" w14:textId="77777777" w:rsidR="005B17AA" w:rsidRPr="00C57657" w:rsidRDefault="005B17AA" w:rsidP="007C2480">
            <w:pPr>
              <w:spacing w:after="0" w:line="240" w:lineRule="auto"/>
              <w:rPr>
                <w:rFonts w:ascii="Times" w:eastAsia="Times New Roman" w:hAnsi="Times" w:cs="Times"/>
                <w:b/>
                <w:bCs/>
                <w:color w:val="000000"/>
                <w:kern w:val="0"/>
                <w:sz w:val="18"/>
                <w:szCs w:val="18"/>
                <w:lang w:val="en-US" w:eastAsia="tr-TR"/>
                <w14:ligatures w14:val="none"/>
              </w:rPr>
            </w:pPr>
            <w:r w:rsidRPr="00C57657">
              <w:rPr>
                <w:rFonts w:ascii="Times" w:eastAsia="Times New Roman" w:hAnsi="Times" w:cs="Times"/>
                <w:b/>
                <w:bCs/>
                <w:color w:val="000000"/>
                <w:kern w:val="0"/>
                <w:sz w:val="18"/>
                <w:szCs w:val="18"/>
                <w:lang w:val="en-US" w:eastAsia="tr-TR"/>
                <w14:ligatures w14:val="none"/>
              </w:rPr>
              <w:t>Description</w:t>
            </w:r>
          </w:p>
        </w:tc>
      </w:tr>
      <w:tr w:rsidR="005B17AA" w:rsidRPr="00C57657" w14:paraId="0AC1AB08"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46254D59"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&lt;0.1</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20151804"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Very strong synergism</w:t>
            </w:r>
          </w:p>
        </w:tc>
      </w:tr>
      <w:tr w:rsidR="005B17AA" w:rsidRPr="00C57657" w14:paraId="4F493965"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42CAF81F"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0.1-0.3</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7F9D8929"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Strong synergism</w:t>
            </w:r>
          </w:p>
        </w:tc>
      </w:tr>
      <w:tr w:rsidR="005B17AA" w:rsidRPr="00C57657" w14:paraId="1B6ECC42"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472BA64B"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0.3-0.7</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709761DC"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Synergism</w:t>
            </w:r>
          </w:p>
        </w:tc>
      </w:tr>
      <w:tr w:rsidR="005B17AA" w:rsidRPr="00C57657" w14:paraId="75125103"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049ECC8F"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0.7-0.85</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5B1A2F7D"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Moderate synergism</w:t>
            </w:r>
          </w:p>
        </w:tc>
      </w:tr>
      <w:tr w:rsidR="005B17AA" w:rsidRPr="00C57657" w14:paraId="3B11B7C8"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5ABAD50D"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0.85-0.90</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4C8C4264"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Slight synergism</w:t>
            </w:r>
          </w:p>
        </w:tc>
      </w:tr>
      <w:tr w:rsidR="005B17AA" w:rsidRPr="00C57657" w14:paraId="21D82686"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31C451FE"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0.90-1.10</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538A4B0C"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Nearly additive</w:t>
            </w:r>
          </w:p>
        </w:tc>
      </w:tr>
      <w:tr w:rsidR="005B17AA" w:rsidRPr="00C57657" w14:paraId="197AEA1B"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7C4AA5F6"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1.10-1.20</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56CDD2EA"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Slight antagonism</w:t>
            </w:r>
          </w:p>
        </w:tc>
      </w:tr>
      <w:tr w:rsidR="005B17AA" w:rsidRPr="00C57657" w14:paraId="7AA29B70"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1B73CD80"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1.20-1.45</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449F6A1C"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Moderate antagonism</w:t>
            </w:r>
          </w:p>
        </w:tc>
      </w:tr>
      <w:tr w:rsidR="005B17AA" w:rsidRPr="00C57657" w14:paraId="2E898F17"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4B321B56"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1.45-3.3</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5C4F91A0"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Antagonism</w:t>
            </w:r>
          </w:p>
        </w:tc>
      </w:tr>
      <w:tr w:rsidR="005B17AA" w:rsidRPr="00C57657" w14:paraId="1A17AF78" w14:textId="77777777" w:rsidTr="005B17AA">
        <w:trPr>
          <w:trHeight w:val="290"/>
        </w:trPr>
        <w:tc>
          <w:tcPr>
            <w:tcW w:w="1120" w:type="dxa"/>
            <w:tcBorders>
              <w:top w:val="nil"/>
              <w:left w:val="single" w:sz="8" w:space="0" w:color="auto"/>
              <w:bottom w:val="single" w:sz="4" w:space="0" w:color="auto"/>
              <w:right w:val="nil"/>
            </w:tcBorders>
            <w:shd w:val="clear" w:color="auto" w:fill="auto"/>
            <w:noWrap/>
            <w:vAlign w:val="bottom"/>
            <w:hideMark/>
          </w:tcPr>
          <w:p w14:paraId="6E434004" w14:textId="77777777" w:rsidR="005B17AA" w:rsidRPr="00C57657"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3.3-10.0</w:t>
            </w:r>
          </w:p>
        </w:tc>
        <w:tc>
          <w:tcPr>
            <w:tcW w:w="2120" w:type="dxa"/>
            <w:tcBorders>
              <w:top w:val="nil"/>
              <w:left w:val="single" w:sz="8" w:space="0" w:color="auto"/>
              <w:bottom w:val="single" w:sz="4" w:space="0" w:color="auto"/>
              <w:right w:val="single" w:sz="8" w:space="0" w:color="auto"/>
            </w:tcBorders>
            <w:shd w:val="clear" w:color="auto" w:fill="auto"/>
            <w:noWrap/>
            <w:vAlign w:val="bottom"/>
            <w:hideMark/>
          </w:tcPr>
          <w:p w14:paraId="24FBD16A" w14:textId="77777777" w:rsidR="005B17AA" w:rsidRPr="00C57657"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C57657">
              <w:rPr>
                <w:rFonts w:ascii="Times" w:eastAsia="Times New Roman" w:hAnsi="Times" w:cs="Times"/>
                <w:color w:val="000000"/>
                <w:kern w:val="0"/>
                <w:sz w:val="18"/>
                <w:szCs w:val="18"/>
                <w:lang w:val="en-US" w:eastAsia="tr-TR"/>
                <w14:ligatures w14:val="none"/>
              </w:rPr>
              <w:t>Strong antagonism</w:t>
            </w:r>
          </w:p>
        </w:tc>
      </w:tr>
      <w:tr w:rsidR="005B17AA" w:rsidRPr="00C57657" w14:paraId="06A1563F" w14:textId="77777777" w:rsidTr="005B17AA">
        <w:trPr>
          <w:trHeight w:val="300"/>
        </w:trPr>
        <w:tc>
          <w:tcPr>
            <w:tcW w:w="1120" w:type="dxa"/>
            <w:tcBorders>
              <w:top w:val="nil"/>
              <w:left w:val="single" w:sz="8" w:space="0" w:color="auto"/>
              <w:bottom w:val="single" w:sz="8" w:space="0" w:color="auto"/>
              <w:right w:val="nil"/>
            </w:tcBorders>
            <w:shd w:val="clear" w:color="auto" w:fill="auto"/>
            <w:noWrap/>
            <w:vAlign w:val="bottom"/>
            <w:hideMark/>
          </w:tcPr>
          <w:p w14:paraId="19B35E78" w14:textId="77777777" w:rsidR="005B17AA" w:rsidRPr="00597683" w:rsidRDefault="005B17AA" w:rsidP="007C2480">
            <w:pPr>
              <w:spacing w:after="0" w:line="240" w:lineRule="auto"/>
              <w:jc w:val="right"/>
              <w:rPr>
                <w:rFonts w:ascii="Times" w:eastAsia="Times New Roman" w:hAnsi="Times" w:cs="Times"/>
                <w:color w:val="000000"/>
                <w:kern w:val="0"/>
                <w:sz w:val="18"/>
                <w:szCs w:val="18"/>
                <w:lang w:val="en-US" w:eastAsia="tr-TR"/>
                <w14:ligatures w14:val="none"/>
              </w:rPr>
            </w:pPr>
            <w:r w:rsidRPr="00597683">
              <w:rPr>
                <w:rFonts w:ascii="Times" w:eastAsia="Times New Roman" w:hAnsi="Times" w:cs="Times"/>
                <w:color w:val="000000"/>
                <w:kern w:val="0"/>
                <w:sz w:val="18"/>
                <w:szCs w:val="18"/>
                <w:lang w:val="en-US" w:eastAsia="tr-TR"/>
                <w14:ligatures w14:val="none"/>
              </w:rPr>
              <w:t>&gt;10</w:t>
            </w:r>
          </w:p>
        </w:tc>
        <w:tc>
          <w:tcPr>
            <w:tcW w:w="2120" w:type="dxa"/>
            <w:tcBorders>
              <w:top w:val="nil"/>
              <w:left w:val="single" w:sz="8" w:space="0" w:color="auto"/>
              <w:bottom w:val="single" w:sz="8" w:space="0" w:color="auto"/>
              <w:right w:val="single" w:sz="8" w:space="0" w:color="auto"/>
            </w:tcBorders>
            <w:shd w:val="clear" w:color="auto" w:fill="auto"/>
            <w:noWrap/>
            <w:vAlign w:val="bottom"/>
            <w:hideMark/>
          </w:tcPr>
          <w:p w14:paraId="113BED33" w14:textId="77777777" w:rsidR="005B17AA" w:rsidRPr="00597683" w:rsidRDefault="005B17AA" w:rsidP="007C2480">
            <w:pPr>
              <w:spacing w:after="0" w:line="240" w:lineRule="auto"/>
              <w:rPr>
                <w:rFonts w:ascii="Times" w:eastAsia="Times New Roman" w:hAnsi="Times" w:cs="Times"/>
                <w:color w:val="000000"/>
                <w:kern w:val="0"/>
                <w:sz w:val="18"/>
                <w:szCs w:val="18"/>
                <w:lang w:val="en-US" w:eastAsia="tr-TR"/>
                <w14:ligatures w14:val="none"/>
              </w:rPr>
            </w:pPr>
            <w:r w:rsidRPr="00597683">
              <w:rPr>
                <w:rFonts w:ascii="Times" w:eastAsia="Times New Roman" w:hAnsi="Times" w:cs="Times"/>
                <w:color w:val="000000"/>
                <w:kern w:val="0"/>
                <w:sz w:val="18"/>
                <w:szCs w:val="18"/>
                <w:lang w:val="en-US" w:eastAsia="tr-TR"/>
                <w14:ligatures w14:val="none"/>
              </w:rPr>
              <w:t>Very strong antagonism</w:t>
            </w:r>
          </w:p>
        </w:tc>
      </w:tr>
    </w:tbl>
    <w:p w14:paraId="76766535"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3715968B" w14:textId="77777777" w:rsidR="00D2525D" w:rsidRPr="00C57657" w:rsidRDefault="00D2525D" w:rsidP="00D2525D">
      <w:pPr>
        <w:autoSpaceDE w:val="0"/>
        <w:autoSpaceDN w:val="0"/>
        <w:adjustRightInd w:val="0"/>
        <w:spacing w:after="0" w:line="360" w:lineRule="auto"/>
        <w:jc w:val="center"/>
        <w:rPr>
          <w:lang w:val="en-US"/>
        </w:rPr>
      </w:pPr>
      <w:r w:rsidRPr="00C57657">
        <w:rPr>
          <w:lang w:val="en-US"/>
        </w:rPr>
        <w:fldChar w:fldCharType="begin"/>
      </w:r>
      <w:r w:rsidRPr="00C57657">
        <w:rPr>
          <w:lang w:val="en-US"/>
        </w:rPr>
        <w:instrText xml:space="preserve"> LINK Excel.Sheet.12 https://d.docs.live.net/9db732daa7c3c433/Masaüstü/Kitap1.xlsx Sayfa1!R4C2:R15C5 \a \f 4 \h  \* MERGEFORMAT </w:instrText>
      </w:r>
      <w:r w:rsidRPr="00C57657">
        <w:rPr>
          <w:lang w:val="en-US"/>
        </w:rPr>
        <w:fldChar w:fldCharType="separate"/>
      </w:r>
    </w:p>
    <w:p w14:paraId="523D28BD"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r w:rsidRPr="00C57657">
        <w:rPr>
          <w:rFonts w:ascii="Times New Roman" w:hAnsi="Times New Roman" w:cs="Times New Roman"/>
          <w:lang w:val="en-US"/>
        </w:rPr>
        <w:fldChar w:fldCharType="end"/>
      </w:r>
    </w:p>
    <w:p w14:paraId="0F50B720"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268DFFA6"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30953F8C"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68B3B932"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51D49D1D"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649C353A"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57B2EE27"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06672038" w14:textId="77777777" w:rsidR="00D2525D" w:rsidRPr="00C57657" w:rsidRDefault="00D2525D" w:rsidP="00D2525D">
      <w:pPr>
        <w:autoSpaceDE w:val="0"/>
        <w:autoSpaceDN w:val="0"/>
        <w:adjustRightInd w:val="0"/>
        <w:spacing w:after="0" w:line="360" w:lineRule="auto"/>
        <w:jc w:val="center"/>
        <w:rPr>
          <w:rFonts w:ascii="Times New Roman" w:hAnsi="Times New Roman" w:cs="Times New Roman"/>
          <w:lang w:val="en-US"/>
        </w:rPr>
      </w:pPr>
    </w:p>
    <w:p w14:paraId="3D4BB3D9" w14:textId="77777777" w:rsidR="004A37A1" w:rsidRDefault="004A37A1"/>
    <w:p w14:paraId="1C3F6BD1" w14:textId="77777777" w:rsidR="00E31BB9" w:rsidRDefault="00E31BB9">
      <w:r>
        <w:br w:type="page"/>
      </w:r>
    </w:p>
    <w:p w14:paraId="4817FE8D" w14:textId="43698723" w:rsidR="00E31BB9" w:rsidRPr="00C57657" w:rsidRDefault="00E31BB9" w:rsidP="00E31BB9">
      <w:pPr>
        <w:pStyle w:val="NormalWeb"/>
        <w:spacing w:after="0" w:afterAutospacing="0" w:line="360" w:lineRule="auto"/>
        <w:jc w:val="both"/>
        <w:rPr>
          <w:sz w:val="22"/>
          <w:szCs w:val="22"/>
          <w:lang w:val="en-US"/>
        </w:rPr>
      </w:pPr>
      <w:r w:rsidRPr="00E31BB9">
        <w:rPr>
          <w:b/>
          <w:bCs/>
          <w:sz w:val="22"/>
          <w:szCs w:val="22"/>
          <w:lang w:val="en-US"/>
        </w:rPr>
        <w:lastRenderedPageBreak/>
        <w:t xml:space="preserve">Table </w:t>
      </w:r>
      <w:r w:rsidR="00D172E1">
        <w:rPr>
          <w:b/>
          <w:bCs/>
          <w:sz w:val="22"/>
          <w:szCs w:val="22"/>
          <w:lang w:val="en-US"/>
        </w:rPr>
        <w:t>S</w:t>
      </w:r>
      <w:r w:rsidR="008E39F4">
        <w:rPr>
          <w:b/>
          <w:bCs/>
          <w:sz w:val="22"/>
          <w:szCs w:val="22"/>
          <w:lang w:val="en-US"/>
        </w:rPr>
        <w:t>2</w:t>
      </w:r>
      <w:r w:rsidRPr="00E31BB9">
        <w:rPr>
          <w:b/>
          <w:bCs/>
          <w:sz w:val="22"/>
          <w:szCs w:val="22"/>
          <w:lang w:val="en-US"/>
        </w:rPr>
        <w:t xml:space="preserve">. </w:t>
      </w:r>
      <w:r w:rsidRPr="00E31BB9">
        <w:rPr>
          <w:sz w:val="22"/>
          <w:szCs w:val="22"/>
          <w:lang w:val="en-US"/>
        </w:rPr>
        <w:t>Studies using the Cl method for assessing the combined toxicity of different pollutants.</w:t>
      </w:r>
    </w:p>
    <w:tbl>
      <w:tblPr>
        <w:tblW w:w="0" w:type="auto"/>
        <w:jc w:val="center"/>
        <w:tblLayout w:type="fixed"/>
        <w:tblCellMar>
          <w:left w:w="70" w:type="dxa"/>
          <w:right w:w="70" w:type="dxa"/>
        </w:tblCellMar>
        <w:tblLook w:val="04A0" w:firstRow="1" w:lastRow="0" w:firstColumn="1" w:lastColumn="0" w:noHBand="0" w:noVBand="1"/>
      </w:tblPr>
      <w:tblGrid>
        <w:gridCol w:w="2689"/>
        <w:gridCol w:w="1559"/>
        <w:gridCol w:w="3260"/>
        <w:gridCol w:w="1552"/>
      </w:tblGrid>
      <w:tr w:rsidR="00E31BB9" w:rsidRPr="00C57657" w14:paraId="3FA142B5" w14:textId="77777777" w:rsidTr="007C2480">
        <w:trPr>
          <w:trHeight w:val="280"/>
          <w:jc w:val="cent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D47F4" w14:textId="77777777" w:rsidR="00E31BB9" w:rsidRPr="00C57657" w:rsidRDefault="00E31BB9" w:rsidP="007C2480">
            <w:pPr>
              <w:spacing w:after="0" w:line="240" w:lineRule="auto"/>
              <w:rPr>
                <w:rFonts w:ascii="Times New Roman" w:eastAsia="Times New Roman" w:hAnsi="Times New Roman" w:cs="Times New Roman"/>
                <w:b/>
                <w:bCs/>
                <w:color w:val="000000"/>
                <w:kern w:val="0"/>
                <w:sz w:val="20"/>
                <w:szCs w:val="20"/>
                <w:lang w:val="en-US" w:eastAsia="tr-TR"/>
                <w14:ligatures w14:val="none"/>
              </w:rPr>
            </w:pPr>
            <w:r w:rsidRPr="00C57657">
              <w:rPr>
                <w:rFonts w:ascii="Times New Roman" w:eastAsia="Times New Roman" w:hAnsi="Times New Roman" w:cs="Times New Roman"/>
                <w:b/>
                <w:bCs/>
                <w:color w:val="000000"/>
                <w:kern w:val="0"/>
                <w:sz w:val="20"/>
                <w:szCs w:val="20"/>
                <w:lang w:val="en-US" w:eastAsia="tr-TR"/>
                <w14:ligatures w14:val="none"/>
              </w:rPr>
              <w:t>Pollutants</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60E4896" w14:textId="77777777" w:rsidR="00E31BB9" w:rsidRPr="00C57657" w:rsidRDefault="00E31BB9" w:rsidP="007C2480">
            <w:pPr>
              <w:spacing w:after="0" w:line="240" w:lineRule="auto"/>
              <w:rPr>
                <w:rFonts w:ascii="Times New Roman" w:eastAsia="Times New Roman" w:hAnsi="Times New Roman" w:cs="Times New Roman"/>
                <w:b/>
                <w:bCs/>
                <w:color w:val="000000"/>
                <w:kern w:val="0"/>
                <w:sz w:val="20"/>
                <w:szCs w:val="20"/>
                <w:lang w:val="en-US" w:eastAsia="tr-TR"/>
                <w14:ligatures w14:val="none"/>
              </w:rPr>
            </w:pPr>
            <w:r w:rsidRPr="00C57657">
              <w:rPr>
                <w:rFonts w:ascii="Times New Roman" w:eastAsia="Times New Roman" w:hAnsi="Times New Roman" w:cs="Times New Roman"/>
                <w:b/>
                <w:bCs/>
                <w:color w:val="000000"/>
                <w:kern w:val="0"/>
                <w:sz w:val="20"/>
                <w:szCs w:val="20"/>
                <w:lang w:val="en-US" w:eastAsia="tr-TR"/>
                <w14:ligatures w14:val="none"/>
              </w:rPr>
              <w:t>Test organisms</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14:paraId="7D038060" w14:textId="77777777" w:rsidR="00E31BB9" w:rsidRPr="00C57657" w:rsidRDefault="00E31BB9" w:rsidP="007C2480">
            <w:pPr>
              <w:spacing w:after="0" w:line="240" w:lineRule="auto"/>
              <w:jc w:val="center"/>
              <w:rPr>
                <w:rFonts w:ascii="Times New Roman" w:eastAsia="Times New Roman" w:hAnsi="Times New Roman" w:cs="Times New Roman"/>
                <w:b/>
                <w:bCs/>
                <w:color w:val="000000"/>
                <w:kern w:val="0"/>
                <w:sz w:val="20"/>
                <w:szCs w:val="20"/>
                <w:lang w:val="en-US" w:eastAsia="tr-TR"/>
                <w14:ligatures w14:val="none"/>
              </w:rPr>
            </w:pPr>
            <w:r w:rsidRPr="00C57657">
              <w:rPr>
                <w:rFonts w:ascii="Times New Roman" w:eastAsia="Times New Roman" w:hAnsi="Times New Roman" w:cs="Times New Roman"/>
                <w:b/>
                <w:bCs/>
                <w:color w:val="000000"/>
                <w:kern w:val="0"/>
                <w:sz w:val="20"/>
                <w:szCs w:val="20"/>
                <w:lang w:val="en-US" w:eastAsia="tr-TR"/>
                <w14:ligatures w14:val="none"/>
              </w:rPr>
              <w:t>Results</w:t>
            </w:r>
          </w:p>
        </w:tc>
        <w:tc>
          <w:tcPr>
            <w:tcW w:w="1552" w:type="dxa"/>
            <w:tcBorders>
              <w:top w:val="single" w:sz="4" w:space="0" w:color="auto"/>
              <w:left w:val="nil"/>
              <w:bottom w:val="single" w:sz="4" w:space="0" w:color="auto"/>
              <w:right w:val="single" w:sz="4" w:space="0" w:color="auto"/>
            </w:tcBorders>
            <w:shd w:val="clear" w:color="auto" w:fill="auto"/>
            <w:noWrap/>
            <w:vAlign w:val="center"/>
            <w:hideMark/>
          </w:tcPr>
          <w:p w14:paraId="0A60D392" w14:textId="77777777" w:rsidR="00E31BB9" w:rsidRPr="00C57657" w:rsidRDefault="00E31BB9" w:rsidP="007C2480">
            <w:pPr>
              <w:spacing w:after="0" w:line="240" w:lineRule="auto"/>
              <w:rPr>
                <w:rFonts w:ascii="Times New Roman" w:eastAsia="Times New Roman" w:hAnsi="Times New Roman" w:cs="Times New Roman"/>
                <w:b/>
                <w:bCs/>
                <w:color w:val="000000"/>
                <w:kern w:val="0"/>
                <w:sz w:val="20"/>
                <w:szCs w:val="20"/>
                <w:lang w:val="en-US" w:eastAsia="tr-TR"/>
                <w14:ligatures w14:val="none"/>
              </w:rPr>
            </w:pPr>
            <w:r w:rsidRPr="00C57657">
              <w:rPr>
                <w:rFonts w:ascii="Times New Roman" w:eastAsia="Times New Roman" w:hAnsi="Times New Roman" w:cs="Times New Roman"/>
                <w:b/>
                <w:bCs/>
                <w:color w:val="000000"/>
                <w:kern w:val="0"/>
                <w:sz w:val="20"/>
                <w:szCs w:val="20"/>
                <w:lang w:val="en-US" w:eastAsia="tr-TR"/>
                <w14:ligatures w14:val="none"/>
              </w:rPr>
              <w:t>Reference</w:t>
            </w:r>
          </w:p>
        </w:tc>
      </w:tr>
      <w:tr w:rsidR="00E31BB9" w:rsidRPr="00C57657" w14:paraId="4E1A8B3E" w14:textId="77777777" w:rsidTr="007C2480">
        <w:trPr>
          <w:trHeight w:val="1610"/>
          <w:jc w:val="center"/>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2888FC36"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proofErr w:type="spellStart"/>
            <w:r w:rsidRPr="00C57657">
              <w:rPr>
                <w:rFonts w:ascii="Times New Roman" w:eastAsia="Times New Roman" w:hAnsi="Times New Roman" w:cs="Times New Roman"/>
                <w:color w:val="000000"/>
                <w:kern w:val="0"/>
                <w:sz w:val="18"/>
                <w:szCs w:val="18"/>
                <w:lang w:val="en-US" w:eastAsia="tr-TR"/>
                <w14:ligatures w14:val="none"/>
              </w:rPr>
              <w:t>Perfluorinated</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surfactants </w:t>
            </w:r>
            <w:proofErr w:type="spellStart"/>
            <w:r w:rsidRPr="00C57657">
              <w:rPr>
                <w:rFonts w:ascii="Times New Roman" w:eastAsia="Times New Roman" w:hAnsi="Times New Roman" w:cs="Times New Roman"/>
                <w:color w:val="000000"/>
                <w:kern w:val="0"/>
                <w:sz w:val="18"/>
                <w:szCs w:val="18"/>
                <w:lang w:val="en-US" w:eastAsia="tr-TR"/>
                <w14:ligatures w14:val="none"/>
              </w:rPr>
              <w:t>perfluorooctane</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sulfonic acid (PFOS), </w:t>
            </w:r>
            <w:proofErr w:type="spellStart"/>
            <w:r w:rsidRPr="00C57657">
              <w:rPr>
                <w:rFonts w:ascii="Times New Roman" w:eastAsia="Times New Roman" w:hAnsi="Times New Roman" w:cs="Times New Roman"/>
                <w:color w:val="000000"/>
                <w:kern w:val="0"/>
                <w:sz w:val="18"/>
                <w:szCs w:val="18"/>
                <w:lang w:val="en-US" w:eastAsia="tr-TR"/>
                <w14:ligatures w14:val="none"/>
              </w:rPr>
              <w:t>perfluorooctanoic</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acid (PFOA) and several pollutants (Hg2+, Cd2+, 2,4-D, </w:t>
            </w:r>
            <w:proofErr w:type="spellStart"/>
            <w:r w:rsidRPr="00C57657">
              <w:rPr>
                <w:rFonts w:ascii="Times New Roman" w:eastAsia="Times New Roman" w:hAnsi="Times New Roman" w:cs="Times New Roman"/>
                <w:color w:val="000000"/>
                <w:kern w:val="0"/>
                <w:sz w:val="18"/>
                <w:szCs w:val="18"/>
                <w:lang w:val="en-US" w:eastAsia="tr-TR"/>
                <w14:ligatures w14:val="none"/>
              </w:rPr>
              <w:t>propylparaben</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color w:val="000000"/>
                <w:kern w:val="0"/>
                <w:sz w:val="18"/>
                <w:szCs w:val="18"/>
                <w:lang w:val="en-US" w:eastAsia="tr-TR"/>
                <w14:ligatures w14:val="none"/>
              </w:rPr>
              <w:t>mitomycin</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C and </w:t>
            </w:r>
            <w:proofErr w:type="spellStart"/>
            <w:r w:rsidRPr="00C57657">
              <w:rPr>
                <w:rFonts w:ascii="Times New Roman" w:eastAsia="Times New Roman" w:hAnsi="Times New Roman" w:cs="Times New Roman"/>
                <w:color w:val="000000"/>
                <w:kern w:val="0"/>
                <w:sz w:val="18"/>
                <w:szCs w:val="18"/>
                <w:lang w:val="en-US" w:eastAsia="tr-TR"/>
                <w14:ligatures w14:val="none"/>
              </w:rPr>
              <w:t>furazolidone</w:t>
            </w:r>
            <w:proofErr w:type="spellEnd"/>
            <w:r w:rsidRPr="00C57657">
              <w:rPr>
                <w:rFonts w:ascii="Times New Roman" w:eastAsia="Times New Roman" w:hAnsi="Times New Roman" w:cs="Times New Roman"/>
                <w:color w:val="000000"/>
                <w:kern w:val="0"/>
                <w:sz w:val="18"/>
                <w:szCs w:val="18"/>
                <w:lang w:val="en-US" w:eastAsia="tr-TR"/>
                <w14:ligatures w14:val="none"/>
              </w:rPr>
              <w:t>)</w:t>
            </w:r>
          </w:p>
        </w:tc>
        <w:tc>
          <w:tcPr>
            <w:tcW w:w="1559" w:type="dxa"/>
            <w:tcBorders>
              <w:top w:val="nil"/>
              <w:left w:val="nil"/>
              <w:bottom w:val="single" w:sz="4" w:space="0" w:color="auto"/>
              <w:right w:val="single" w:sz="4" w:space="0" w:color="auto"/>
            </w:tcBorders>
            <w:shd w:val="clear" w:color="auto" w:fill="auto"/>
            <w:vAlign w:val="center"/>
            <w:hideMark/>
          </w:tcPr>
          <w:p w14:paraId="2A407105"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Bioluminescent cyanobacterial recombinant strain </w:t>
            </w:r>
            <w:r w:rsidRPr="00C57657">
              <w:rPr>
                <w:rFonts w:ascii="Times New Roman" w:eastAsia="Times New Roman" w:hAnsi="Times New Roman" w:cs="Times New Roman"/>
                <w:i/>
                <w:iCs/>
                <w:color w:val="000000"/>
                <w:kern w:val="0"/>
                <w:sz w:val="18"/>
                <w:szCs w:val="18"/>
                <w:lang w:val="en-US" w:eastAsia="tr-TR"/>
                <w14:ligatures w14:val="none"/>
              </w:rPr>
              <w:t>Anabaena</w:t>
            </w:r>
            <w:r w:rsidRPr="00C57657">
              <w:rPr>
                <w:rFonts w:ascii="Times New Roman" w:eastAsia="Times New Roman" w:hAnsi="Times New Roman" w:cs="Times New Roman"/>
                <w:color w:val="000000"/>
                <w:kern w:val="0"/>
                <w:sz w:val="18"/>
                <w:szCs w:val="18"/>
                <w:lang w:val="en-US" w:eastAsia="tr-TR"/>
                <w14:ligatures w14:val="none"/>
              </w:rPr>
              <w:t> CPB4337</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053C98A6"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The nature of the interaction between chemicals is strongly dependent on the effect level exerted by the mixture on the organism, so that the same pollutants can act synergistically at low effect levels and antagonistically at high effect levels.</w:t>
            </w:r>
          </w:p>
        </w:tc>
        <w:tc>
          <w:tcPr>
            <w:tcW w:w="1552" w:type="dxa"/>
            <w:tcBorders>
              <w:top w:val="nil"/>
              <w:left w:val="nil"/>
              <w:bottom w:val="single" w:sz="4" w:space="0" w:color="auto"/>
              <w:right w:val="single" w:sz="4" w:space="0" w:color="auto"/>
            </w:tcBorders>
            <w:shd w:val="clear" w:color="auto" w:fill="auto"/>
            <w:vAlign w:val="center"/>
            <w:hideMark/>
          </w:tcPr>
          <w:p w14:paraId="00B8C4E4"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p>
          <w:p w14:paraId="4B66153A" w14:textId="77777777" w:rsidR="00E31BB9" w:rsidRPr="00C57657" w:rsidRDefault="00E31BB9" w:rsidP="007C2480">
            <w:pPr>
              <w:jc w:val="center"/>
              <w:rPr>
                <w:rFonts w:ascii="Times New Roman" w:eastAsia="Times New Roman" w:hAnsi="Times New Roman" w:cs="Times New Roman"/>
                <w:color w:val="000000"/>
                <w:kern w:val="0"/>
                <w:sz w:val="18"/>
                <w:szCs w:val="18"/>
                <w:lang w:val="en-US" w:eastAsia="tr-TR"/>
                <w14:ligatures w14:val="none"/>
              </w:rPr>
            </w:pPr>
          </w:p>
          <w:p w14:paraId="264926F8" w14:textId="77777777" w:rsidR="00E31BB9" w:rsidRPr="00C57657" w:rsidRDefault="00E31BB9" w:rsidP="007C2480">
            <w:pPr>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jhazmat.2011.11.061","ISSN":"03043894","author":[{"dropping-particle":"","family":"Rodea-Palomares","given":"Ismael","non-dropping-particle":"","parse-names":false,"suffix":""},{"dropping-particle":"","family":"Leganés","given":"Francisco","non-dropping-particle":"","parse-names":false,"suffix":""},{"dropping-particle":"","family":"Rosal","given":"Roberto","non-dropping-particle":"","parse-names":false,"suffix":""},{"dropping-particle":"","family":"Fernández-Piñas","given":"Francisca","non-dropping-particle":"","parse-names":false,"suffix":""}],"container-title":"Journal of Hazardous Materials","id":"ITEM-1","issued":{"date-parts":[["2012","1"]]},"page":"209-218","title":"Toxicological interactions of perfluorooctane sulfonic acid (PFOS) and perfluorooctanoic acid (PFOA) with selected pollutants","type":"article-journal","volume":"201-202"},"uris":["http://www.mendeley.com/documents/?uuid=6c1650d8-e667-4b4f-a05b-5558270953e9"]}],"mendeley":{"formattedCitation":"(Rodea-Palomares et al., 2012)","plainTextFormattedCitation":"(Rodea-Palomares et al., 2012)","previouslyFormattedCitation":"(Rodea-Palomares et al., 2012)"},"properties":{"noteIndex":0},"schema":"https://github.com/citation-style-language/schema/raw/master/csl-citation.json"}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(Rodea-Palomares et al., 2012)</w:t>
            </w:r>
            <w:r w:rsidRPr="00C57657">
              <w:rPr>
                <w:rFonts w:ascii="Times New Roman" w:eastAsia="Times New Roman" w:hAnsi="Times New Roman" w:cs="Times New Roman"/>
                <w:color w:val="000000"/>
                <w:kern w:val="0"/>
                <w:sz w:val="18"/>
                <w:szCs w:val="18"/>
                <w:lang w:val="en-US" w:eastAsia="tr-TR"/>
                <w14:ligatures w14:val="none"/>
              </w:rPr>
              <w:fldChar w:fldCharType="end"/>
            </w:r>
          </w:p>
          <w:p w14:paraId="5F68AF50" w14:textId="77777777" w:rsidR="00E31BB9" w:rsidRPr="00C57657" w:rsidRDefault="00E31BB9" w:rsidP="007C2480">
            <w:pPr>
              <w:jc w:val="center"/>
              <w:rPr>
                <w:rFonts w:ascii="Times New Roman" w:eastAsia="Times New Roman" w:hAnsi="Times New Roman" w:cs="Times New Roman"/>
                <w:sz w:val="18"/>
                <w:szCs w:val="18"/>
                <w:lang w:val="en-US" w:eastAsia="tr-TR"/>
              </w:rPr>
            </w:pPr>
          </w:p>
        </w:tc>
      </w:tr>
      <w:tr w:rsidR="00E31BB9" w:rsidRPr="00C57657" w14:paraId="69E6C501" w14:textId="77777777" w:rsidTr="007C2480">
        <w:trPr>
          <w:trHeight w:val="1620"/>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B5CBB0A"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Gemfibrozil (Gm), </w:t>
            </w:r>
            <w:proofErr w:type="spellStart"/>
            <w:r w:rsidRPr="00C57657">
              <w:rPr>
                <w:rFonts w:ascii="Times New Roman" w:eastAsia="Times New Roman" w:hAnsi="Times New Roman" w:cs="Times New Roman"/>
                <w:color w:val="000000"/>
                <w:kern w:val="0"/>
                <w:sz w:val="18"/>
                <w:szCs w:val="18"/>
                <w:lang w:val="en-US" w:eastAsia="tr-TR"/>
                <w14:ligatures w14:val="none"/>
              </w:rPr>
              <w:t>bezafibrate</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color w:val="000000"/>
                <w:kern w:val="0"/>
                <w:sz w:val="18"/>
                <w:szCs w:val="18"/>
                <w:lang w:val="en-US" w:eastAsia="tr-TR"/>
                <w14:ligatures w14:val="none"/>
              </w:rPr>
              <w:t>Bz</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and </w:t>
            </w:r>
            <w:proofErr w:type="spellStart"/>
            <w:r w:rsidRPr="00C57657">
              <w:rPr>
                <w:rFonts w:ascii="Times New Roman" w:eastAsia="Times New Roman" w:hAnsi="Times New Roman" w:cs="Times New Roman"/>
                <w:color w:val="000000"/>
                <w:kern w:val="0"/>
                <w:sz w:val="18"/>
                <w:szCs w:val="18"/>
                <w:lang w:val="en-US" w:eastAsia="tr-TR"/>
                <w14:ligatures w14:val="none"/>
              </w:rPr>
              <w:t>fenofibric</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acid (</w:t>
            </w:r>
            <w:proofErr w:type="spellStart"/>
            <w:r w:rsidRPr="00C57657">
              <w:rPr>
                <w:rFonts w:ascii="Times New Roman" w:eastAsia="Times New Roman" w:hAnsi="Times New Roman" w:cs="Times New Roman"/>
                <w:color w:val="000000"/>
                <w:kern w:val="0"/>
                <w:sz w:val="18"/>
                <w:szCs w:val="18"/>
                <w:lang w:val="en-US" w:eastAsia="tr-TR"/>
                <w14:ligatures w14:val="none"/>
              </w:rPr>
              <w:t>Fn</w:t>
            </w:r>
            <w:proofErr w:type="spellEnd"/>
            <w:r w:rsidRPr="00C57657">
              <w:rPr>
                <w:rFonts w:ascii="Times New Roman" w:eastAsia="Times New Roman" w:hAnsi="Times New Roman" w:cs="Times New Roman"/>
                <w:color w:val="000000"/>
                <w:kern w:val="0"/>
                <w:sz w:val="18"/>
                <w:szCs w:val="18"/>
                <w:lang w:val="en-US" w:eastAsia="tr-TR"/>
                <w14:ligatures w14:val="none"/>
              </w:rPr>
              <w:t>)</w:t>
            </w:r>
          </w:p>
        </w:tc>
        <w:tc>
          <w:tcPr>
            <w:tcW w:w="1559" w:type="dxa"/>
            <w:tcBorders>
              <w:top w:val="nil"/>
              <w:left w:val="nil"/>
              <w:bottom w:val="single" w:sz="4" w:space="0" w:color="auto"/>
              <w:right w:val="single" w:sz="4" w:space="0" w:color="auto"/>
            </w:tcBorders>
            <w:shd w:val="clear" w:color="auto" w:fill="auto"/>
            <w:vAlign w:val="center"/>
            <w:hideMark/>
          </w:tcPr>
          <w:p w14:paraId="5F804F97"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Aquatic bioluminescent organisms, </w:t>
            </w:r>
            <w:r w:rsidRPr="00C57657">
              <w:rPr>
                <w:rFonts w:ascii="Times New Roman" w:eastAsia="Times New Roman" w:hAnsi="Times New Roman" w:cs="Times New Roman"/>
                <w:i/>
                <w:iCs/>
                <w:color w:val="000000"/>
                <w:kern w:val="0"/>
                <w:sz w:val="18"/>
                <w:szCs w:val="18"/>
                <w:lang w:val="en-US" w:eastAsia="tr-TR"/>
                <w14:ligatures w14:val="none"/>
              </w:rPr>
              <w:t>Vibrio fischer</w:t>
            </w:r>
            <w:r w:rsidRPr="00C57657">
              <w:rPr>
                <w:rFonts w:ascii="Times New Roman" w:eastAsia="Times New Roman" w:hAnsi="Times New Roman" w:cs="Times New Roman"/>
                <w:color w:val="000000"/>
                <w:kern w:val="0"/>
                <w:sz w:val="18"/>
                <w:szCs w:val="18"/>
                <w:lang w:val="en-US" w:eastAsia="tr-TR"/>
                <w14:ligatures w14:val="none"/>
              </w:rPr>
              <w:t>i and the self-luminescent cyanobacterial recombinant strain </w:t>
            </w:r>
            <w:r w:rsidRPr="00C57657">
              <w:rPr>
                <w:rFonts w:ascii="Times New Roman" w:eastAsia="Times New Roman" w:hAnsi="Times New Roman" w:cs="Times New Roman"/>
                <w:i/>
                <w:iCs/>
                <w:color w:val="000000"/>
                <w:kern w:val="0"/>
                <w:sz w:val="18"/>
                <w:szCs w:val="18"/>
                <w:lang w:val="en-US" w:eastAsia="tr-TR"/>
                <w14:ligatures w14:val="none"/>
              </w:rPr>
              <w:t>Anabaena</w:t>
            </w:r>
            <w:r w:rsidRPr="00C57657">
              <w:rPr>
                <w:rFonts w:ascii="Times New Roman" w:eastAsia="Times New Roman" w:hAnsi="Times New Roman" w:cs="Times New Roman"/>
                <w:color w:val="000000"/>
                <w:kern w:val="0"/>
                <w:sz w:val="18"/>
                <w:szCs w:val="18"/>
                <w:lang w:val="en-US" w:eastAsia="tr-TR"/>
                <w14:ligatures w14:val="none"/>
              </w:rPr>
              <w:t> CPB4337</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587A2F7E"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In the </w:t>
            </w:r>
            <w:r w:rsidRPr="00C57657">
              <w:rPr>
                <w:rFonts w:ascii="Times New Roman" w:eastAsia="Times New Roman" w:hAnsi="Times New Roman" w:cs="Times New Roman"/>
                <w:i/>
                <w:iCs/>
                <w:color w:val="000000"/>
                <w:kern w:val="0"/>
                <w:sz w:val="18"/>
                <w:szCs w:val="18"/>
                <w:lang w:val="en-US" w:eastAsia="tr-TR"/>
                <w14:ligatures w14:val="none"/>
              </w:rPr>
              <w:t>Vibrio</w:t>
            </w:r>
            <w:r w:rsidRPr="00C57657">
              <w:rPr>
                <w:rFonts w:ascii="Times New Roman" w:eastAsia="Times New Roman" w:hAnsi="Times New Roman" w:cs="Times New Roman"/>
                <w:color w:val="000000"/>
                <w:kern w:val="0"/>
                <w:sz w:val="18"/>
                <w:szCs w:val="18"/>
                <w:lang w:val="en-US" w:eastAsia="tr-TR"/>
                <w14:ligatures w14:val="none"/>
              </w:rPr>
              <w:t> test, the fibrate combinations showed antagonism at low effect levels that turned into an additive effect or synergism at higher effect levels; by contrast, in the </w:t>
            </w:r>
            <w:r w:rsidRPr="00C57657">
              <w:rPr>
                <w:rFonts w:ascii="Times New Roman" w:eastAsia="Times New Roman" w:hAnsi="Times New Roman" w:cs="Times New Roman"/>
                <w:i/>
                <w:iCs/>
                <w:color w:val="000000"/>
                <w:kern w:val="0"/>
                <w:sz w:val="18"/>
                <w:szCs w:val="18"/>
                <w:lang w:val="en-US" w:eastAsia="tr-TR"/>
                <w14:ligatures w14:val="none"/>
              </w:rPr>
              <w:t>Anabaena</w:t>
            </w:r>
            <w:r w:rsidRPr="00C57657">
              <w:rPr>
                <w:rFonts w:ascii="Times New Roman" w:eastAsia="Times New Roman" w:hAnsi="Times New Roman" w:cs="Times New Roman"/>
                <w:color w:val="000000"/>
                <w:kern w:val="0"/>
                <w:sz w:val="18"/>
                <w:szCs w:val="18"/>
                <w:lang w:val="en-US" w:eastAsia="tr-TR"/>
                <w14:ligatures w14:val="none"/>
              </w:rPr>
              <w:t> test, the fibrate combinations showed a strong synergism at the lowest effect levels and a very strong antagonism at high effect levels.</w:t>
            </w:r>
          </w:p>
        </w:tc>
        <w:tc>
          <w:tcPr>
            <w:tcW w:w="1552" w:type="dxa"/>
            <w:tcBorders>
              <w:top w:val="nil"/>
              <w:left w:val="nil"/>
              <w:bottom w:val="single" w:sz="4" w:space="0" w:color="auto"/>
              <w:right w:val="single" w:sz="4" w:space="0" w:color="auto"/>
            </w:tcBorders>
            <w:shd w:val="clear" w:color="auto" w:fill="auto"/>
            <w:vAlign w:val="center"/>
            <w:hideMark/>
          </w:tcPr>
          <w:p w14:paraId="627CD43B"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{"citationItems":[{"id":"ITEM-1","itemData":{"DOI":"10.1016/j.watres.2009.07.026","ISSN":"00431354","PMID":"19683324","abstract":"Pharmaceuticals in the aquatic environment do not appear singly and usually occur as complex mixtures, whose combined effect may exhibit toxicity to the aquatic biota. We report an environmental application of the combination index (CI)-isobologram equation, a method widely used in pharmacology to study drug interactions, to determine the nature of toxicological interactions of three fibrates toward two aquatic bioluminescent organisms, Vibrio fischeri and the self-luminescent cyanobacterial recombinant strain Anabaena CPB4337. The combination index-isobologram equation method allows computerized quantitation of synergism, additive effect and antagonism. In the Vibrio test, the fibrate combinations showed antagonism at low effect levels that turned into an additive effect or synergism at higher effect levels; by contrast, in the Anabaena test, the fibrate combinations showed a strong synergism at the lowest effect levels and a very strong antagonism at high effect levels. We also evaluated the nature of the interactions of the three fibrates with a real wastewater sample in the cyanobacterial test. We propose that the combination index-isobologram equation method can serve as a useful tool in ecotoxicological assessment. © 2009 Elsevier Ltd. All rights reserved.","author":[{"dropping-particle":"","family":"Rodea-Palomares","given":"Ismael","non-dropping-particle":"","parse-names":false,"suffix":""},{"dropping-particle":"","family":"Petre","given":"Alice L.","non-dropping-particle":"","parse-names":false,"suffix":""},{"dropping-particle":"","family":"Boltes","given":"Karina","non-dropping-particle":"","parse-names":false,"suffix":""},{"dropping-particle":"","family":"Leganés","given":"Francisco","non-dropping-particle":"","parse-names":false,"suffix":""},{"dropping-particle":"","family":"Perdigón-Melón","given":"José Antonio","non-dropping-particle":"","parse-names":false,"suffix":""},{"dropping-particle":"","family":"Rosal","given":"Roberto","non-dropping-particle":"","parse-names":false,"suffix":""},{"dropping-particle":"","family":"Fernández-Piñas","given":"Francisca","non-dropping-particle":"","parse-names":false,"suffix":""}],"container-title":"Water Research","id":"ITEM-1","issue":"2","issued":{"date-parts":[["2010"]]},"page":"427-438","title":"Application of the combination index (CI)-isobologram equation to study the toxicological interactions of lipid regulators in two aquatic bioluminescent organisms","type":"article-journal","volume":"44"},"uris":["http://www.mendeley.com/documents/?uuid=205ed3a3-3a1f-4b55-a7aa-3ddda788d3af"]}],"mendeley":{"formattedCitation":"(Rodea-Palomares et al., 2010)","plainTextFormattedCitation":"(Rodea-Palomares et al., 2010)","previouslyFormattedCitation":"(Rodea-Palomares et al., 2010)"},"properties":{"noteIndex":0},"schema":"https://github.com/citation-style-language/schema/raw/master/csl-citation.json"}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(Rodea-Palomares et al., 2010)</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3488112A" w14:textId="77777777" w:rsidTr="007C2480">
        <w:trPr>
          <w:trHeight w:val="1240"/>
          <w:jc w:val="center"/>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5520B4F1"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proofErr w:type="spellStart"/>
            <w:r w:rsidRPr="00C57657">
              <w:rPr>
                <w:rFonts w:ascii="Times New Roman" w:eastAsia="Times New Roman" w:hAnsi="Times New Roman" w:cs="Times New Roman"/>
                <w:color w:val="000000"/>
                <w:kern w:val="0"/>
                <w:sz w:val="18"/>
                <w:szCs w:val="18"/>
                <w:lang w:val="en-US" w:eastAsia="tr-TR"/>
                <w14:ligatures w14:val="none"/>
              </w:rPr>
              <w:t>Perfluorooctane</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sulfonic acid (PFOS), </w:t>
            </w:r>
            <w:proofErr w:type="spellStart"/>
            <w:r w:rsidRPr="00C57657">
              <w:rPr>
                <w:rFonts w:ascii="Times New Roman" w:eastAsia="Times New Roman" w:hAnsi="Times New Roman" w:cs="Times New Roman"/>
                <w:color w:val="000000"/>
                <w:kern w:val="0"/>
                <w:sz w:val="18"/>
                <w:szCs w:val="18"/>
                <w:lang w:val="en-US" w:eastAsia="tr-TR"/>
                <w14:ligatures w14:val="none"/>
              </w:rPr>
              <w:t>perfluorooctanoic</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acid (PFOA), </w:t>
            </w:r>
            <w:proofErr w:type="spellStart"/>
            <w:r w:rsidRPr="00C57657">
              <w:rPr>
                <w:rFonts w:ascii="Times New Roman" w:eastAsia="Times New Roman" w:hAnsi="Times New Roman" w:cs="Times New Roman"/>
                <w:color w:val="000000"/>
                <w:kern w:val="0"/>
                <w:sz w:val="18"/>
                <w:szCs w:val="18"/>
                <w:lang w:val="en-US" w:eastAsia="tr-TR"/>
                <w14:ligatures w14:val="none"/>
              </w:rPr>
              <w:t>perfluorobutane</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sulfonate (PFBS) and PF-656</w:t>
            </w:r>
          </w:p>
        </w:tc>
        <w:tc>
          <w:tcPr>
            <w:tcW w:w="1559" w:type="dxa"/>
            <w:tcBorders>
              <w:top w:val="nil"/>
              <w:left w:val="nil"/>
              <w:bottom w:val="single" w:sz="4" w:space="0" w:color="auto"/>
              <w:right w:val="single" w:sz="4" w:space="0" w:color="auto"/>
            </w:tcBorders>
            <w:shd w:val="clear" w:color="auto" w:fill="auto"/>
            <w:vAlign w:val="center"/>
            <w:hideMark/>
          </w:tcPr>
          <w:p w14:paraId="62CA6BDF"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Marine bacterium </w:t>
            </w:r>
            <w:r w:rsidRPr="00C57657">
              <w:rPr>
                <w:rFonts w:ascii="Times New Roman" w:eastAsia="Times New Roman" w:hAnsi="Times New Roman" w:cs="Times New Roman"/>
                <w:i/>
                <w:iCs/>
                <w:color w:val="000000"/>
                <w:kern w:val="0"/>
                <w:sz w:val="18"/>
                <w:szCs w:val="18"/>
                <w:lang w:val="en-US" w:eastAsia="tr-TR"/>
                <w14:ligatures w14:val="none"/>
              </w:rPr>
              <w:t>Vibrio fischer</w:t>
            </w:r>
            <w:r w:rsidRPr="00C57657">
              <w:rPr>
                <w:rFonts w:ascii="Times New Roman" w:eastAsia="Times New Roman" w:hAnsi="Times New Roman" w:cs="Times New Roman"/>
                <w:color w:val="000000"/>
                <w:kern w:val="0"/>
                <w:sz w:val="18"/>
                <w:szCs w:val="18"/>
                <w:lang w:val="en-US" w:eastAsia="tr-TR"/>
                <w14:ligatures w14:val="none"/>
              </w:rPr>
              <w:t>i and the self-luminescent cyanobacterial recombinant strain </w:t>
            </w:r>
            <w:r w:rsidRPr="00C57657">
              <w:rPr>
                <w:rFonts w:ascii="Times New Roman" w:eastAsia="Times New Roman" w:hAnsi="Times New Roman" w:cs="Times New Roman"/>
                <w:i/>
                <w:iCs/>
                <w:color w:val="000000"/>
                <w:kern w:val="0"/>
                <w:sz w:val="18"/>
                <w:szCs w:val="18"/>
                <w:lang w:val="en-US" w:eastAsia="tr-TR"/>
                <w14:ligatures w14:val="none"/>
              </w:rPr>
              <w:t>Anabaena</w:t>
            </w:r>
            <w:r w:rsidRPr="00C57657">
              <w:rPr>
                <w:rFonts w:ascii="Times New Roman" w:eastAsia="Times New Roman" w:hAnsi="Times New Roman" w:cs="Times New Roman"/>
                <w:color w:val="000000"/>
                <w:kern w:val="0"/>
                <w:sz w:val="18"/>
                <w:szCs w:val="18"/>
                <w:lang w:val="en-US" w:eastAsia="tr-TR"/>
                <w14:ligatures w14:val="none"/>
              </w:rPr>
              <w:t> CPB4337</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0A99408D"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The nature of the interaction between chemicals is strongly dependent on the test species</w:t>
            </w:r>
          </w:p>
        </w:tc>
        <w:tc>
          <w:tcPr>
            <w:tcW w:w="1552" w:type="dxa"/>
            <w:tcBorders>
              <w:top w:val="nil"/>
              <w:left w:val="nil"/>
              <w:bottom w:val="single" w:sz="4" w:space="0" w:color="auto"/>
              <w:right w:val="single" w:sz="4" w:space="0" w:color="auto"/>
            </w:tcBorders>
            <w:shd w:val="clear" w:color="auto" w:fill="auto"/>
            <w:vAlign w:val="center"/>
            <w:hideMark/>
          </w:tcPr>
          <w:p w14:paraId="344E2256"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chemosphere.2010.05.050","ISSN":"00456535","author":[{"dropping-particle":"","family":"Rosal","given":"Roberto","non-dropping-particle":"","parse-names":false,"suffix":""},{"dropping-particle":"","family":"Rodea-Palomares","given":"Ismael","non-dropping-particle":"","parse-names":false,"suffix":""},{"dropping-particle":"","family":"Boltes","given":"Karina","non-dropping-particle":"","parse-names":false,"suffix":""},{"dropping-particle":"","family":"Fernández-Piñas","given":"Francisca","non-dropping-particle":"","parse-names":false,"suffix":""},{"dropping-particle":"","family":"Leganés","given":"Francisco","non-dropping-particle":"","parse-names":false,"suffix":""},{"dropping-particle":"","family":"Petre","given":"Alice","non-dropping-particle":"","parse-names":false,"suffix":""}],"container-title":"Chemosphere","id":"ITEM-1","issue":"2","issued":{"date-parts":[["2010","9"]]},"page":"288-293","title":"Ecotoxicological assessment of surfactants in the aquatic environment: Combined toxicity of docusate sodium with chlorinated pollutants","type":"article-journal","volume":"81"},"uris":["http://www.mendeley.com/documents/?uuid=2606c742-997f-4b2b-b11f-47ccad742b06"]}],"mendeley":{"formattedCitation":"(Rosal et al., 2010)","plainTextFormattedCitation":"(Rosal et al., 2010)","previouslyFormattedCitation":"(Rosal et al., 2010)"},"properties":{"noteIndex":0},"schema":"https://github.com/citation-style-language/schema/raw/master/csl-citation.json"}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(Rosal et al., 2010)</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1E0419D7" w14:textId="77777777" w:rsidTr="007C2480">
        <w:trPr>
          <w:trHeight w:val="1620"/>
          <w:jc w:val="center"/>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63073C84"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Five insecticides (</w:t>
            </w:r>
            <w:proofErr w:type="spellStart"/>
            <w:r w:rsidRPr="00C57657">
              <w:rPr>
                <w:rFonts w:ascii="Times New Roman" w:eastAsia="Times New Roman" w:hAnsi="Times New Roman" w:cs="Times New Roman"/>
                <w:color w:val="000000"/>
                <w:kern w:val="0"/>
                <w:sz w:val="18"/>
                <w:szCs w:val="18"/>
                <w:lang w:val="en-US" w:eastAsia="tr-TR"/>
                <w14:ligatures w14:val="none"/>
              </w:rPr>
              <w:t>chlorpyrifos</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color w:val="000000"/>
                <w:kern w:val="0"/>
                <w:sz w:val="18"/>
                <w:szCs w:val="18"/>
                <w:lang w:val="en-US" w:eastAsia="tr-TR"/>
                <w14:ligatures w14:val="none"/>
              </w:rPr>
              <w:t>avermectin</w:t>
            </w:r>
            <w:proofErr w:type="spellEnd"/>
            <w:r w:rsidRPr="00C57657">
              <w:rPr>
                <w:rFonts w:ascii="Times New Roman" w:eastAsia="Times New Roman" w:hAnsi="Times New Roman" w:cs="Times New Roman"/>
                <w:color w:val="000000"/>
                <w:kern w:val="0"/>
                <w:sz w:val="18"/>
                <w:szCs w:val="18"/>
                <w:lang w:val="en-US" w:eastAsia="tr-TR"/>
                <w14:ligatures w14:val="none"/>
              </w:rPr>
              <w:t>, imidacloprid, λ-</w:t>
            </w:r>
            <w:proofErr w:type="spellStart"/>
            <w:r w:rsidRPr="00C57657">
              <w:rPr>
                <w:rFonts w:ascii="Times New Roman" w:eastAsia="Times New Roman" w:hAnsi="Times New Roman" w:cs="Times New Roman"/>
                <w:color w:val="000000"/>
                <w:kern w:val="0"/>
                <w:sz w:val="18"/>
                <w:szCs w:val="18"/>
                <w:lang w:val="en-US" w:eastAsia="tr-TR"/>
                <w14:ligatures w14:val="none"/>
              </w:rPr>
              <w:t>cyhalothrin</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and </w:t>
            </w:r>
            <w:proofErr w:type="spellStart"/>
            <w:r w:rsidRPr="00C57657">
              <w:rPr>
                <w:rFonts w:ascii="Times New Roman" w:eastAsia="Times New Roman" w:hAnsi="Times New Roman" w:cs="Times New Roman"/>
                <w:color w:val="000000"/>
                <w:kern w:val="0"/>
                <w:sz w:val="18"/>
                <w:szCs w:val="18"/>
                <w:lang w:val="en-US" w:eastAsia="tr-TR"/>
                <w14:ligatures w14:val="none"/>
              </w:rPr>
              <w:t>phoxim</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two herbicides (atrazine and </w:t>
            </w:r>
            <w:proofErr w:type="spellStart"/>
            <w:r w:rsidRPr="00C57657">
              <w:rPr>
                <w:rFonts w:ascii="Times New Roman" w:eastAsia="Times New Roman" w:hAnsi="Times New Roman" w:cs="Times New Roman"/>
                <w:color w:val="000000"/>
                <w:kern w:val="0"/>
                <w:sz w:val="18"/>
                <w:szCs w:val="18"/>
                <w:lang w:val="en-US" w:eastAsia="tr-TR"/>
                <w14:ligatures w14:val="none"/>
              </w:rPr>
              <w:t>butachlor</w:t>
            </w:r>
            <w:proofErr w:type="spellEnd"/>
            <w:r w:rsidRPr="00C57657">
              <w:rPr>
                <w:rFonts w:ascii="Times New Roman" w:eastAsia="Times New Roman" w:hAnsi="Times New Roman" w:cs="Times New Roman"/>
                <w:color w:val="000000"/>
                <w:kern w:val="0"/>
                <w:sz w:val="18"/>
                <w:szCs w:val="18"/>
                <w:lang w:val="en-US" w:eastAsia="tr-TR"/>
                <w14:ligatures w14:val="none"/>
              </w:rPr>
              <w:t>), and a heavy metal (cadmium) </w:t>
            </w:r>
          </w:p>
        </w:tc>
        <w:tc>
          <w:tcPr>
            <w:tcW w:w="1559" w:type="dxa"/>
            <w:tcBorders>
              <w:top w:val="nil"/>
              <w:left w:val="nil"/>
              <w:bottom w:val="single" w:sz="4" w:space="0" w:color="auto"/>
              <w:right w:val="single" w:sz="4" w:space="0" w:color="auto"/>
            </w:tcBorders>
            <w:shd w:val="clear" w:color="auto" w:fill="auto"/>
            <w:noWrap/>
            <w:vAlign w:val="center"/>
            <w:hideMark/>
          </w:tcPr>
          <w:p w14:paraId="27A98000"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Earthworm </w:t>
            </w:r>
            <w:proofErr w:type="spellStart"/>
            <w:r w:rsidRPr="00C57657">
              <w:rPr>
                <w:rFonts w:ascii="Times New Roman" w:eastAsia="Times New Roman" w:hAnsi="Times New Roman" w:cs="Times New Roman"/>
                <w:i/>
                <w:iCs/>
                <w:color w:val="000000"/>
                <w:kern w:val="0"/>
                <w:sz w:val="18"/>
                <w:szCs w:val="18"/>
                <w:lang w:val="en-US" w:eastAsia="tr-TR"/>
                <w14:ligatures w14:val="none"/>
              </w:rPr>
              <w:t>Eisenia</w:t>
            </w:r>
            <w:proofErr w:type="spellEnd"/>
            <w:r w:rsidRPr="00C57657">
              <w:rPr>
                <w:rFonts w:ascii="Times New Roman" w:eastAsia="Times New Roman" w:hAnsi="Times New Roman" w:cs="Times New Roman"/>
                <w:i/>
                <w:iCs/>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i/>
                <w:iCs/>
                <w:color w:val="000000"/>
                <w:kern w:val="0"/>
                <w:sz w:val="18"/>
                <w:szCs w:val="18"/>
                <w:lang w:val="en-US" w:eastAsia="tr-TR"/>
                <w14:ligatures w14:val="none"/>
              </w:rPr>
              <w:t>fetida</w:t>
            </w:r>
            <w:proofErr w:type="spellEnd"/>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2CA056FE"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Twenty-one ternary mixtures exhibited various interactive effects, in which 11 combinations showed synergistic effects, four led to dual synergistic/additive behaviors, one exhibited an additive effect, and five showed increasing antagonism within the entire range of effects.</w:t>
            </w:r>
          </w:p>
        </w:tc>
        <w:tc>
          <w:tcPr>
            <w:tcW w:w="1552" w:type="dxa"/>
            <w:tcBorders>
              <w:top w:val="nil"/>
              <w:left w:val="nil"/>
              <w:bottom w:val="single" w:sz="4" w:space="0" w:color="auto"/>
              <w:right w:val="single" w:sz="4" w:space="0" w:color="auto"/>
            </w:tcBorders>
            <w:shd w:val="clear" w:color="auto" w:fill="auto"/>
            <w:vAlign w:val="center"/>
            <w:hideMark/>
          </w:tcPr>
          <w:p w14:paraId="1E3623B2"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jhazmat.2014.11.017","ISSN":"03043894","author":[{"dropping-particle":"","family":"Wang","given":"Yanhua","non-dropping-particle":"","parse-names":false,"suffix":""},{"dropping-particle":"","family":"Chen","given":"Chen","non-dropping-particle":"","parse-names":false,"suffix":""},{"dropping-particle":"","family":"Qian","given":"Yongzhong","non-dropping-particle":"","parse-names":false,"suffix":""},{"dropping-particle":"","family":"Zhao","given":"Xueping","non-dropping-particle":"","parse-names":false,"suffix":""},{"dropping-particle":"","family":"Wang","given":"Qiang","non-dropping-particle":"","parse-names":false,"suffix":""}],"container-title":"Journal of Hazardous Materials","id":"ITEM-1","issued":{"date-parts":[["2015","3"]]},"page":"233-240","title":"Ternary toxicological interactions of insecticides, herbicides, and a heavy metal on the earthworm Eisenia fetida","type":"article-journal","volume":"284"},"uris":["http://www.mendeley.com/documents/?uuid=039c5131-bfbc-4a5f-a24a-ad481c5dfa1f"]}],"mendeley":{"formattedCitation":"(Y. Wang et al., 2015a)","manualFormatting":"Wang et al., 2015a)","plainTextFormattedCitation":"(Y. Wang et al., 2015a)","previouslyFormattedCitation":"(Y. Wang et al., 2015a)"},"properties":{"noteIndex":0},"schema":"https://github.com/citation-style-language/schema/raw/master/csl-citation.json"}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Wang et al., 2015a)</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34FD39F7" w14:textId="77777777" w:rsidTr="007C2480">
        <w:trPr>
          <w:trHeight w:val="1370"/>
          <w:jc w:val="center"/>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E600D19"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Two pesticides λ-</w:t>
            </w:r>
            <w:proofErr w:type="spellStart"/>
            <w:r w:rsidRPr="00C57657">
              <w:rPr>
                <w:rFonts w:ascii="Times New Roman" w:eastAsia="Times New Roman" w:hAnsi="Times New Roman" w:cs="Times New Roman"/>
                <w:color w:val="000000"/>
                <w:kern w:val="0"/>
                <w:sz w:val="18"/>
                <w:szCs w:val="18"/>
                <w:lang w:val="en-US" w:eastAsia="tr-TR"/>
                <w14:ligatures w14:val="none"/>
              </w:rPr>
              <w:t>cyhalothrin</w:t>
            </w:r>
            <w:proofErr w:type="spellEnd"/>
            <w:r w:rsidRPr="00C57657">
              <w:rPr>
                <w:rFonts w:ascii="Times New Roman" w:eastAsia="Times New Roman" w:hAnsi="Times New Roman" w:cs="Times New Roman"/>
                <w:color w:val="000000"/>
                <w:kern w:val="0"/>
                <w:sz w:val="18"/>
                <w:szCs w:val="18"/>
                <w:lang w:val="en-US" w:eastAsia="tr-TR"/>
                <w14:ligatures w14:val="none"/>
              </w:rPr>
              <w:t>, imidacloprid, and heavy metal cadmium</w:t>
            </w:r>
          </w:p>
        </w:tc>
        <w:tc>
          <w:tcPr>
            <w:tcW w:w="1559" w:type="dxa"/>
            <w:tcBorders>
              <w:top w:val="nil"/>
              <w:left w:val="nil"/>
              <w:bottom w:val="single" w:sz="4" w:space="0" w:color="auto"/>
              <w:right w:val="single" w:sz="4" w:space="0" w:color="auto"/>
            </w:tcBorders>
            <w:shd w:val="clear" w:color="auto" w:fill="auto"/>
            <w:noWrap/>
            <w:vAlign w:val="center"/>
            <w:hideMark/>
          </w:tcPr>
          <w:p w14:paraId="65E33034"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Earthworm </w:t>
            </w:r>
            <w:proofErr w:type="spellStart"/>
            <w:r w:rsidRPr="00C57657">
              <w:rPr>
                <w:rFonts w:ascii="Times New Roman" w:eastAsia="Times New Roman" w:hAnsi="Times New Roman" w:cs="Times New Roman"/>
                <w:i/>
                <w:iCs/>
                <w:color w:val="000000"/>
                <w:kern w:val="0"/>
                <w:sz w:val="18"/>
                <w:szCs w:val="18"/>
                <w:lang w:val="en-US" w:eastAsia="tr-TR"/>
                <w14:ligatures w14:val="none"/>
              </w:rPr>
              <w:t>Eisenia</w:t>
            </w:r>
            <w:proofErr w:type="spellEnd"/>
            <w:r w:rsidRPr="00C57657">
              <w:rPr>
                <w:rFonts w:ascii="Times New Roman" w:eastAsia="Times New Roman" w:hAnsi="Times New Roman" w:cs="Times New Roman"/>
                <w:i/>
                <w:iCs/>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i/>
                <w:iCs/>
                <w:color w:val="000000"/>
                <w:kern w:val="0"/>
                <w:sz w:val="18"/>
                <w:szCs w:val="18"/>
                <w:lang w:val="en-US" w:eastAsia="tr-TR"/>
                <w14:ligatures w14:val="none"/>
              </w:rPr>
              <w:t>fetida</w:t>
            </w:r>
            <w:proofErr w:type="spellEnd"/>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57BD169A"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Mixtures of λ-</w:t>
            </w:r>
            <w:proofErr w:type="spellStart"/>
            <w:r w:rsidRPr="00C57657">
              <w:rPr>
                <w:rFonts w:ascii="Times New Roman" w:eastAsia="Times New Roman" w:hAnsi="Times New Roman" w:cs="Times New Roman"/>
                <w:color w:val="000000"/>
                <w:kern w:val="0"/>
                <w:sz w:val="18"/>
                <w:szCs w:val="18"/>
                <w:lang w:val="en-US" w:eastAsia="tr-TR"/>
                <w14:ligatures w14:val="none"/>
              </w:rPr>
              <w:t>cyhalothrin</w:t>
            </w:r>
            <w:proofErr w:type="spellEnd"/>
            <w:r w:rsidRPr="00C57657">
              <w:rPr>
                <w:rFonts w:ascii="Times New Roman" w:eastAsia="Times New Roman" w:hAnsi="Times New Roman" w:cs="Times New Roman"/>
                <w:color w:val="000000"/>
                <w:kern w:val="0"/>
                <w:sz w:val="18"/>
                <w:szCs w:val="18"/>
                <w:lang w:val="en-US" w:eastAsia="tr-TR"/>
                <w14:ligatures w14:val="none"/>
              </w:rPr>
              <w:t>, imidacloprid and Cd towards the earthworm </w:t>
            </w:r>
            <w:r w:rsidRPr="00C57657">
              <w:rPr>
                <w:rFonts w:ascii="Times New Roman" w:eastAsia="Times New Roman" w:hAnsi="Times New Roman" w:cs="Times New Roman"/>
                <w:i/>
                <w:iCs/>
                <w:color w:val="000000"/>
                <w:kern w:val="0"/>
                <w:sz w:val="18"/>
                <w:szCs w:val="18"/>
                <w:lang w:val="en-US" w:eastAsia="tr-TR"/>
                <w14:ligatures w14:val="none"/>
              </w:rPr>
              <w:t xml:space="preserve">E. </w:t>
            </w:r>
            <w:proofErr w:type="spellStart"/>
            <w:r w:rsidRPr="00C57657">
              <w:rPr>
                <w:rFonts w:ascii="Times New Roman" w:eastAsia="Times New Roman" w:hAnsi="Times New Roman" w:cs="Times New Roman"/>
                <w:i/>
                <w:iCs/>
                <w:color w:val="000000"/>
                <w:kern w:val="0"/>
                <w:sz w:val="18"/>
                <w:szCs w:val="18"/>
                <w:lang w:val="en-US" w:eastAsia="tr-TR"/>
                <w14:ligatures w14:val="none"/>
              </w:rPr>
              <w:t>fetida</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showed that </w:t>
            </w:r>
            <w:proofErr w:type="gramStart"/>
            <w:r w:rsidRPr="00C57657">
              <w:rPr>
                <w:rFonts w:ascii="Times New Roman" w:eastAsia="Times New Roman" w:hAnsi="Times New Roman" w:cs="Times New Roman"/>
                <w:color w:val="000000"/>
                <w:kern w:val="0"/>
                <w:sz w:val="18"/>
                <w:szCs w:val="18"/>
                <w:lang w:val="en-US" w:eastAsia="tr-TR"/>
                <w14:ligatures w14:val="none"/>
              </w:rPr>
              <w:t>most binary</w:t>
            </w:r>
            <w:proofErr w:type="gramEnd"/>
            <w:r w:rsidRPr="00C57657">
              <w:rPr>
                <w:rFonts w:ascii="Times New Roman" w:eastAsia="Times New Roman" w:hAnsi="Times New Roman" w:cs="Times New Roman"/>
                <w:color w:val="000000"/>
                <w:kern w:val="0"/>
                <w:sz w:val="18"/>
                <w:szCs w:val="18"/>
                <w:lang w:val="en-US" w:eastAsia="tr-TR"/>
                <w14:ligatures w14:val="none"/>
              </w:rPr>
              <w:t xml:space="preserve"> and ternary mixtures behaved antagonistically towards survival of the earthworms. Although the λ-</w:t>
            </w:r>
            <w:proofErr w:type="spellStart"/>
            <w:r w:rsidRPr="00C57657">
              <w:rPr>
                <w:rFonts w:ascii="Times New Roman" w:eastAsia="Times New Roman" w:hAnsi="Times New Roman" w:cs="Times New Roman"/>
                <w:color w:val="000000"/>
                <w:kern w:val="0"/>
                <w:sz w:val="18"/>
                <w:szCs w:val="18"/>
                <w:lang w:val="en-US" w:eastAsia="tr-TR"/>
                <w14:ligatures w14:val="none"/>
              </w:rPr>
              <w:t>cyhalothrin</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and Cd combination behaved slightly synergistic for a certain range of effect levels in artificial soil test, the global picture of interaction is that antagonism clearly predominated in the earthworm acute toxicity test.</w:t>
            </w:r>
          </w:p>
        </w:tc>
        <w:tc>
          <w:tcPr>
            <w:tcW w:w="1552" w:type="dxa"/>
            <w:tcBorders>
              <w:top w:val="nil"/>
              <w:left w:val="nil"/>
              <w:bottom w:val="single" w:sz="4" w:space="0" w:color="auto"/>
              <w:right w:val="single" w:sz="4" w:space="0" w:color="auto"/>
            </w:tcBorders>
            <w:shd w:val="clear" w:color="auto" w:fill="auto"/>
            <w:vAlign w:val="center"/>
            <w:hideMark/>
          </w:tcPr>
          <w:p w14:paraId="0C18F860"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ecoenv.2014.10.015","ISSN":"01476513","author":[{"dropping-particle":"","family":"Wang","given":"Yanhua","non-dropping-particle":"","parse-names":false,"suffix":""},{"dropping-particle":"","family":"Chen","given":"Chen","non-dropping-particle":"","parse-names":false,"suffix":""},{"dropping-particle":"","family":"Qian","given":"Yongzhong","non-dropping-particle":"","parse-names":false,"suffix":""},{"dropping-particle":"","family":"Zhao","given":"Xueping","non-dropping-particle":"","parse-names":false,"suffix":""},{"dropping-particle":"","family":"Wang","given":"Qiang","non-dropping-particle":"","parse-names":false,"suffix":""},{"dropping-particle":"","family":"Kong","given":"Xiangzhen","non-dropping-particle":"","parse-names":false,"suffix":""}],"container-title":"Ecotoxicology and Environmental Safety","id":"ITEM-1","issued":{"date-parts":[["2015","1"]]},"page":"242-247","title":"Toxicity of mixtures of λ-cyhalothrin, imidacloprid and cadmium on the earthworm Eisenia fetida by combination index (CI)-isobologram method","type":"article-journal","volume":"111"},"uris":["http://www.mendeley.com/documents/?uuid=23277c39-4718-4b90-aa10-b31938f0141b"]}],"mendeley":{"formattedCitation":"(Y. Wang et al., 2015b)","manualFormatting":"(Wang et al., 2015b)","plainTextFormattedCitation":"(Y. Wang et al., 2015b)","previouslyFormattedCitation":"(Y. Wang et al., 2015b)"},"properties":{"noteIndex":0},"schema":"https://github.com/citation-style-language/schema/raw/master/csl-citation.json"}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(Wang et al., 2015b)</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0AE358B3" w14:textId="77777777" w:rsidTr="007C2480">
        <w:trPr>
          <w:trHeight w:val="1140"/>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1A59052"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Amoxicillin, erythromycin, levofloxacin, </w:t>
            </w:r>
            <w:proofErr w:type="spellStart"/>
            <w:r w:rsidRPr="00C57657">
              <w:rPr>
                <w:rFonts w:ascii="Times New Roman" w:eastAsia="Times New Roman" w:hAnsi="Times New Roman" w:cs="Times New Roman"/>
                <w:color w:val="000000"/>
                <w:kern w:val="0"/>
                <w:sz w:val="18"/>
                <w:szCs w:val="18"/>
                <w:lang w:val="en-US" w:eastAsia="tr-TR"/>
                <w14:ligatures w14:val="none"/>
              </w:rPr>
              <w:t>norfloxacin</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and tetracycline</w:t>
            </w:r>
          </w:p>
        </w:tc>
        <w:tc>
          <w:tcPr>
            <w:tcW w:w="1559" w:type="dxa"/>
            <w:tcBorders>
              <w:top w:val="nil"/>
              <w:left w:val="nil"/>
              <w:bottom w:val="single" w:sz="4" w:space="0" w:color="auto"/>
              <w:right w:val="single" w:sz="4" w:space="0" w:color="auto"/>
            </w:tcBorders>
            <w:shd w:val="clear" w:color="auto" w:fill="auto"/>
            <w:vAlign w:val="center"/>
            <w:hideMark/>
          </w:tcPr>
          <w:p w14:paraId="779E8096"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The cyanobacterium    </w:t>
            </w:r>
            <w:r w:rsidRPr="00C57657">
              <w:rPr>
                <w:rFonts w:ascii="Times New Roman" w:eastAsia="Times New Roman" w:hAnsi="Times New Roman" w:cs="Times New Roman"/>
                <w:i/>
                <w:iCs/>
                <w:color w:val="000000"/>
                <w:kern w:val="0"/>
                <w:sz w:val="18"/>
                <w:szCs w:val="18"/>
                <w:lang w:val="en-US" w:eastAsia="tr-TR"/>
                <w14:ligatures w14:val="none"/>
              </w:rPr>
              <w:t>Anabaena</w:t>
            </w:r>
            <w:r w:rsidRPr="00C57657">
              <w:rPr>
                <w:rFonts w:ascii="Times New Roman" w:eastAsia="Times New Roman" w:hAnsi="Times New Roman" w:cs="Times New Roman"/>
                <w:color w:val="000000"/>
                <w:kern w:val="0"/>
                <w:sz w:val="18"/>
                <w:szCs w:val="18"/>
                <w:lang w:val="en-US" w:eastAsia="tr-TR"/>
                <w14:ligatures w14:val="none"/>
              </w:rPr>
              <w:t>             CPB4337 as a target organism and the green alga </w:t>
            </w:r>
            <w:proofErr w:type="spellStart"/>
            <w:r w:rsidRPr="00C57657">
              <w:rPr>
                <w:rFonts w:ascii="Times New Roman" w:eastAsia="Times New Roman" w:hAnsi="Times New Roman" w:cs="Times New Roman"/>
                <w:i/>
                <w:iCs/>
                <w:color w:val="000000"/>
                <w:kern w:val="0"/>
                <w:sz w:val="18"/>
                <w:szCs w:val="18"/>
                <w:lang w:val="en-US" w:eastAsia="tr-TR"/>
                <w14:ligatures w14:val="none"/>
              </w:rPr>
              <w:t>Pseudokirchneriella</w:t>
            </w:r>
            <w:proofErr w:type="spellEnd"/>
            <w:r w:rsidRPr="00C57657">
              <w:rPr>
                <w:rFonts w:ascii="Times New Roman" w:eastAsia="Times New Roman" w:hAnsi="Times New Roman" w:cs="Times New Roman"/>
                <w:i/>
                <w:iCs/>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i/>
                <w:iCs/>
                <w:color w:val="000000"/>
                <w:kern w:val="0"/>
                <w:sz w:val="18"/>
                <w:szCs w:val="18"/>
                <w:lang w:val="en-US" w:eastAsia="tr-TR"/>
                <w14:ligatures w14:val="none"/>
              </w:rPr>
              <w:t>subcapitata</w:t>
            </w:r>
            <w:proofErr w:type="spellEnd"/>
            <w:r w:rsidRPr="00C57657">
              <w:rPr>
                <w:rFonts w:ascii="Times New Roman" w:eastAsia="Times New Roman" w:hAnsi="Times New Roman" w:cs="Times New Roman"/>
                <w:color w:val="000000"/>
                <w:kern w:val="0"/>
                <w:sz w:val="18"/>
                <w:szCs w:val="18"/>
                <w:lang w:val="en-US" w:eastAsia="tr-TR"/>
                <w14:ligatures w14:val="none"/>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16B802CA"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In most cases, synergism clearly predominated </w:t>
            </w:r>
            <w:proofErr w:type="gramStart"/>
            <w:r w:rsidRPr="00C57657">
              <w:rPr>
                <w:rFonts w:ascii="Times New Roman" w:eastAsia="Times New Roman" w:hAnsi="Times New Roman" w:cs="Times New Roman"/>
                <w:color w:val="000000"/>
                <w:kern w:val="0"/>
                <w:sz w:val="18"/>
                <w:szCs w:val="18"/>
                <w:lang w:val="en-US" w:eastAsia="tr-TR"/>
                <w14:ligatures w14:val="none"/>
              </w:rPr>
              <w:t>both for the green alga and the</w:t>
            </w:r>
            <w:proofErr w:type="gramEnd"/>
            <w:r w:rsidRPr="00C57657">
              <w:rPr>
                <w:rFonts w:ascii="Times New Roman" w:eastAsia="Times New Roman" w:hAnsi="Times New Roman" w:cs="Times New Roman"/>
                <w:color w:val="000000"/>
                <w:kern w:val="0"/>
                <w:sz w:val="18"/>
                <w:szCs w:val="18"/>
                <w:lang w:val="en-US" w:eastAsia="tr-TR"/>
                <w14:ligatures w14:val="none"/>
              </w:rPr>
              <w:t xml:space="preserve"> cyanobacterium.</w:t>
            </w:r>
          </w:p>
        </w:tc>
        <w:tc>
          <w:tcPr>
            <w:tcW w:w="1552" w:type="dxa"/>
            <w:tcBorders>
              <w:top w:val="nil"/>
              <w:left w:val="nil"/>
              <w:bottom w:val="single" w:sz="4" w:space="0" w:color="auto"/>
              <w:right w:val="single" w:sz="4" w:space="0" w:color="auto"/>
            </w:tcBorders>
            <w:shd w:val="clear" w:color="auto" w:fill="auto"/>
            <w:vAlign w:val="center"/>
            <w:hideMark/>
          </w:tcPr>
          <w:p w14:paraId="2C4FC272"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watres.2013.01.020","ISSN":"00431354","author":[{"dropping-particle":"","family":"González-Pleiter","given":"Miguel","non-dropping-particle":"","parse-names":false,"suffix":""},{"dropping-particle":"","family":"Gonzalo","given":"Soledad","non-dropping-particle":"","parse-names":false,"suffix":""},{"dropping-particle":"","family":"Rodea-Palomares","given":"Ismael","non-dropping-particle":"","parse-names":false,"suffix":""},{"dropping-particle":"","family":"Leganés","given":"Francisco","non-dropping-particle":"","parse-names":false,"suffix":""},{"dropping-particle":"","family":"Rosal","given":"Roberto","non-dropping-particle":"","parse-names":false,"suffix":""},{"dropping-particle":"","family":"Boltes","given":"Karina","non-dropping-particle":"","parse-names":false,"suffix":""},{"dropping-particle":"","family":"Marco","given":"Eduardo","non-dropping-particle":"","parse-names":false,"suffix":""},{"dropping-particle":"","family":"Fernández-Piñas","given":"Francisca","non-dropping-particle":"","parse-names":false,"suffix":""}],"container-title":"Water Research","id":"ITEM-1","issue":"6","issued":{"date-parts":[["2013","4"]]},"page":"2050-2064","title":"Toxicity of five antibiotics and their mixtures towards photosynthetic aquatic organisms: Implications for environmental risk assessment","type":"article-journal","volume":"47"},"uris":["http://www.mendeley.com/documents/?uuid=a98a17bf-6a55-4e30-826c-11246b795c76"]}],"mendeley":{"formattedCitation":"(González-Pleiter et al., 2013)","plainTextFormattedCitation":"(González-Pleiter et al., 2013)","previouslyFormattedCitation":"(González-Pleiter et al., 2013)"},"properties":{"noteIndex":0},"schema":"https://github.com/citation-style-language/schema/raw/master/csl-citation.json"}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(González-Pleiter et al., 2013)</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7E165FDB" w14:textId="77777777" w:rsidTr="007C2480">
        <w:trPr>
          <w:trHeight w:val="1060"/>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ECE70DE" w14:textId="77777777" w:rsidR="00E31BB9" w:rsidRPr="00C57657" w:rsidRDefault="00E31BB9" w:rsidP="007C2480">
            <w:pPr>
              <w:spacing w:after="0" w:line="240" w:lineRule="auto"/>
              <w:rPr>
                <w:rFonts w:ascii="Times New Roman" w:eastAsia="Times New Roman" w:hAnsi="Times New Roman" w:cs="Times New Roman"/>
                <w:color w:val="FF0000"/>
                <w:kern w:val="0"/>
                <w:sz w:val="18"/>
                <w:szCs w:val="18"/>
                <w:lang w:val="en-US" w:eastAsia="tr-TR"/>
                <w14:ligatures w14:val="none"/>
              </w:rPr>
            </w:pPr>
            <w:r w:rsidRPr="00C57657">
              <w:rPr>
                <w:rFonts w:ascii="Times New Roman" w:eastAsia="Times New Roman" w:hAnsi="Times New Roman" w:cs="Times New Roman"/>
                <w:kern w:val="0"/>
                <w:sz w:val="18"/>
                <w:szCs w:val="18"/>
                <w:lang w:val="en-US" w:eastAsia="tr-TR"/>
                <w14:ligatures w14:val="none"/>
              </w:rPr>
              <w:t>Cd, Cu and Zn</w:t>
            </w:r>
          </w:p>
        </w:tc>
        <w:tc>
          <w:tcPr>
            <w:tcW w:w="1559" w:type="dxa"/>
            <w:tcBorders>
              <w:top w:val="nil"/>
              <w:left w:val="nil"/>
              <w:bottom w:val="single" w:sz="4" w:space="0" w:color="auto"/>
              <w:right w:val="single" w:sz="4" w:space="0" w:color="auto"/>
            </w:tcBorders>
            <w:shd w:val="clear" w:color="auto" w:fill="auto"/>
            <w:vAlign w:val="center"/>
            <w:hideMark/>
          </w:tcPr>
          <w:p w14:paraId="60CCC412"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a self-luminescent strain of the freshwater cyanobacterium </w:t>
            </w:r>
            <w:r w:rsidRPr="00C57657">
              <w:rPr>
                <w:rFonts w:ascii="Times New Roman" w:eastAsia="Times New Roman" w:hAnsi="Times New Roman" w:cs="Times New Roman"/>
                <w:i/>
                <w:iCs/>
                <w:color w:val="000000"/>
                <w:kern w:val="0"/>
                <w:sz w:val="18"/>
                <w:szCs w:val="18"/>
                <w:lang w:val="en-US" w:eastAsia="tr-TR"/>
                <w14:ligatures w14:val="none"/>
              </w:rPr>
              <w:t>Anabaena</w:t>
            </w:r>
            <w:r w:rsidRPr="00C57657">
              <w:rPr>
                <w:rFonts w:ascii="Times New Roman" w:eastAsia="Times New Roman" w:hAnsi="Times New Roman" w:cs="Times New Roman"/>
                <w:color w:val="000000"/>
                <w:kern w:val="0"/>
                <w:sz w:val="18"/>
                <w:szCs w:val="18"/>
                <w:lang w:val="en-US" w:eastAsia="tr-TR"/>
                <w14:ligatures w14:val="none"/>
              </w:rPr>
              <w:t xml:space="preserve"> sp. PCC 7120 w</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2A8AD50F"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In general, the toxicity of binary and ternary combinations of Cd, Cu and Zn was antagonistic at low effect levels but synergistic at high effect levels.</w:t>
            </w:r>
          </w:p>
        </w:tc>
        <w:tc>
          <w:tcPr>
            <w:tcW w:w="1552" w:type="dxa"/>
            <w:tcBorders>
              <w:top w:val="nil"/>
              <w:left w:val="nil"/>
              <w:bottom w:val="single" w:sz="4" w:space="0" w:color="auto"/>
              <w:right w:val="single" w:sz="4" w:space="0" w:color="auto"/>
            </w:tcBorders>
            <w:shd w:val="clear" w:color="auto" w:fill="auto"/>
            <w:vAlign w:val="center"/>
            <w:hideMark/>
          </w:tcPr>
          <w:p w14:paraId="2B1C7738"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highlight w:val="yellow"/>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{"citationItems":[{"id":"ITEM-1","itemData":{"author":[{"dropping-particle":"","family":"Ismael Rodea-Palomares","given":"Francisca Fernández-Piñas","non-dropping-particle":"","parse-names":false,"suffix":""},{"dropping-particle":"","family":"Leganés","given":"Coral González-García and Francisco","non-dropping-particle":"","parse-names":false,"suffix":""}],"container-title":"Handbook on Cyanobacteria","id":"ITEM-1","issued":{"date-parts":[["2009"]]},"page":"283-304","title":"USE OF LUX-MARKED CYANOBACTERIAL BIOREPORTERS FOR ASSESSMENT OF INDIVIDUAL AND COMBINED TOXICITIES OF METALS IN AQUEOUS SAMPLES","type":"chapter"},"uris":["http://www.mendeley.com/documents/?uuid=43c67393-55c2-44f1-9b94-d7fb2f2f2582"]}],"mendeley":{"formattedCitation":"(Ismael Rodea-Palomares and Leganés, 2009)","plainTextFormattedCitation":"(Ismael Rodea-Palomares and Leganés, 2009)","previouslyFormattedCitation":"(Ismael Rodea-Palomares and Leganés, 2009)"},"properties":{"noteIndex":0},"schema":"https://github.com/citation-style-language/schema/raw/master/csl-citation.json"}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(Ismael Rodea-Palomares and Leganés, 2009)</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4F165324" w14:textId="77777777" w:rsidTr="007C2480">
        <w:trPr>
          <w:trHeight w:val="750"/>
          <w:jc w:val="center"/>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3B683D75"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proofErr w:type="spellStart"/>
            <w:r w:rsidRPr="00C57657">
              <w:rPr>
                <w:rFonts w:ascii="Times New Roman" w:eastAsia="Times New Roman" w:hAnsi="Times New Roman" w:cs="Times New Roman"/>
                <w:color w:val="000000"/>
                <w:kern w:val="0"/>
                <w:sz w:val="18"/>
                <w:szCs w:val="18"/>
                <w:lang w:val="en-US" w:eastAsia="tr-TR"/>
                <w14:ligatures w14:val="none"/>
              </w:rPr>
              <w:t>Perfluorooctane</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color w:val="000000"/>
                <w:kern w:val="0"/>
                <w:sz w:val="18"/>
                <w:szCs w:val="18"/>
                <w:lang w:val="en-US" w:eastAsia="tr-TR"/>
                <w14:ligatures w14:val="none"/>
              </w:rPr>
              <w:t>sulphonic</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acid (PFOS) with the chlorinated pollutants </w:t>
            </w:r>
            <w:proofErr w:type="spellStart"/>
            <w:r w:rsidRPr="00C57657">
              <w:rPr>
                <w:rFonts w:ascii="Times New Roman" w:eastAsia="Times New Roman" w:hAnsi="Times New Roman" w:cs="Times New Roman"/>
                <w:color w:val="000000"/>
                <w:kern w:val="0"/>
                <w:sz w:val="18"/>
                <w:szCs w:val="18"/>
                <w:lang w:val="en-US" w:eastAsia="tr-TR"/>
                <w14:ligatures w14:val="none"/>
              </w:rPr>
              <w:t>triclosan</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and 2,4,6-trichlorophenol and the lipid regulators gemfibrozil and </w:t>
            </w:r>
            <w:proofErr w:type="spellStart"/>
            <w:r w:rsidRPr="00C57657">
              <w:rPr>
                <w:rFonts w:ascii="Times New Roman" w:eastAsia="Times New Roman" w:hAnsi="Times New Roman" w:cs="Times New Roman"/>
                <w:color w:val="000000"/>
                <w:kern w:val="0"/>
                <w:sz w:val="18"/>
                <w:szCs w:val="18"/>
                <w:lang w:val="en-US" w:eastAsia="tr-TR"/>
                <w14:ligatures w14:val="none"/>
              </w:rPr>
              <w:t>bezafibrate</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290A96BC"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Green microalgae </w:t>
            </w:r>
            <w:proofErr w:type="spellStart"/>
            <w:r w:rsidRPr="00C57657">
              <w:rPr>
                <w:rFonts w:ascii="Times New Roman" w:eastAsia="Times New Roman" w:hAnsi="Times New Roman" w:cs="Times New Roman"/>
                <w:i/>
                <w:iCs/>
                <w:color w:val="000000"/>
                <w:kern w:val="0"/>
                <w:sz w:val="18"/>
                <w:szCs w:val="18"/>
                <w:lang w:val="en-US" w:eastAsia="tr-TR"/>
                <w14:ligatures w14:val="none"/>
              </w:rPr>
              <w:t>Pseudokirchneriella</w:t>
            </w:r>
            <w:proofErr w:type="spellEnd"/>
            <w:r w:rsidRPr="00C57657">
              <w:rPr>
                <w:rFonts w:ascii="Times New Roman" w:eastAsia="Times New Roman" w:hAnsi="Times New Roman" w:cs="Times New Roman"/>
                <w:i/>
                <w:iCs/>
                <w:color w:val="000000"/>
                <w:kern w:val="0"/>
                <w:sz w:val="18"/>
                <w:szCs w:val="18"/>
                <w:lang w:val="en-US" w:eastAsia="tr-TR"/>
                <w14:ligatures w14:val="none"/>
              </w:rPr>
              <w:t xml:space="preserve"> </w:t>
            </w:r>
            <w:proofErr w:type="spellStart"/>
            <w:r w:rsidRPr="00C57657">
              <w:rPr>
                <w:rFonts w:ascii="Times New Roman" w:eastAsia="Times New Roman" w:hAnsi="Times New Roman" w:cs="Times New Roman"/>
                <w:i/>
                <w:iCs/>
                <w:color w:val="000000"/>
                <w:kern w:val="0"/>
                <w:sz w:val="18"/>
                <w:szCs w:val="18"/>
                <w:lang w:val="en-US" w:eastAsia="tr-TR"/>
                <w14:ligatures w14:val="none"/>
              </w:rPr>
              <w:t>subcapitata</w:t>
            </w:r>
            <w:proofErr w:type="spellEnd"/>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16456CFC"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The results showed that most of the binary combinations assayed exhibited antagonism at all effect levels. The addition of a third component induced a less antagonistic or even synergistic </w:t>
            </w:r>
            <w:proofErr w:type="spellStart"/>
            <w:r w:rsidRPr="00C57657">
              <w:rPr>
                <w:rFonts w:ascii="Times New Roman" w:eastAsia="Times New Roman" w:hAnsi="Times New Roman" w:cs="Times New Roman"/>
                <w:color w:val="000000"/>
                <w:kern w:val="0"/>
                <w:sz w:val="18"/>
                <w:szCs w:val="18"/>
                <w:lang w:val="en-US" w:eastAsia="tr-TR"/>
                <w14:ligatures w14:val="none"/>
              </w:rPr>
              <w:t>behaviour</w:t>
            </w:r>
            <w:proofErr w:type="spellEnd"/>
          </w:p>
        </w:tc>
        <w:tc>
          <w:tcPr>
            <w:tcW w:w="1552" w:type="dxa"/>
            <w:tcBorders>
              <w:top w:val="nil"/>
              <w:left w:val="nil"/>
              <w:bottom w:val="single" w:sz="4" w:space="0" w:color="auto"/>
              <w:right w:val="single" w:sz="4" w:space="0" w:color="auto"/>
            </w:tcBorders>
            <w:shd w:val="clear" w:color="auto" w:fill="auto"/>
            <w:noWrap/>
            <w:vAlign w:val="center"/>
            <w:hideMark/>
          </w:tcPr>
          <w:p w14:paraId="0072CC5A"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chemosphere.2011.08.041","ISSN":"00456535","author":[{"dropping-particle":"","family":"Boltes","given":"Karina","non-dropping-particle":"","parse-names":false,"suffix":""},{"dropping-particle":"","family":"Rosal","given":"Roberto","non-dropping-particle":"","parse-names":false,"suffix":""},{"dropping-particle":"","family":"García-Calvo","given":"Eloy","non-dropping-particle":"","parse-names":false,"suffix":""}],"container-title":"Chemosphere","id":"ITEM-1","issue":"1","issued":{"date-parts":[["2012","1"]]},"page":"24-29","title":"Toxicity of mixtures of perfluorooctane sulphonic acid with chlorinated chemicals and lipid regulators","type":"article-journal","volume":"86"},"uris":["http://www.mendeley.com/documents/?uuid=d58a2adc-ca04-4d2f-9f2c-0bb488b73fd4"]}],"mendeley":{"formattedCitation":"(Boltes et al., 2012)","plainTextFormattedCitation":"(Boltes et al., 2012)","previouslyFormattedCitation":"(Boltes et al., 2012)"},"properties":{"noteIndex":0},"schema":"https://github.com/citation-style-language/schema/raw/master/csl-citation.json"}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(Boltes et al., 2012)</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2C9B0710" w14:textId="77777777" w:rsidTr="007C2480">
        <w:trPr>
          <w:trHeight w:val="1090"/>
          <w:jc w:val="center"/>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268059A2"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lastRenderedPageBreak/>
              <w:t xml:space="preserve">Pesticides, pharmaceuticals, heavy metals, </w:t>
            </w:r>
            <w:proofErr w:type="spellStart"/>
            <w:r w:rsidRPr="00C57657">
              <w:rPr>
                <w:rFonts w:ascii="Times New Roman" w:eastAsia="Times New Roman" w:hAnsi="Times New Roman" w:cs="Times New Roman"/>
                <w:color w:val="000000"/>
                <w:kern w:val="0"/>
                <w:sz w:val="18"/>
                <w:szCs w:val="18"/>
                <w:lang w:val="en-US" w:eastAsia="tr-TR"/>
                <w14:ligatures w14:val="none"/>
              </w:rPr>
              <w:t>polyaromatic</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hydrocarbons, a surfactant, and a plasticizer)</w:t>
            </w:r>
          </w:p>
        </w:tc>
        <w:tc>
          <w:tcPr>
            <w:tcW w:w="1559" w:type="dxa"/>
            <w:tcBorders>
              <w:top w:val="nil"/>
              <w:left w:val="nil"/>
              <w:bottom w:val="single" w:sz="4" w:space="0" w:color="auto"/>
              <w:right w:val="single" w:sz="4" w:space="0" w:color="auto"/>
            </w:tcBorders>
            <w:shd w:val="clear" w:color="auto" w:fill="auto"/>
            <w:vAlign w:val="center"/>
            <w:hideMark/>
          </w:tcPr>
          <w:p w14:paraId="24FB5AB8"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11 organisms representing different trophic levels</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59D40787"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 The results highlight the need of precautionary actions on the assessment of chemical mixtures even in cases where </w:t>
            </w:r>
            <w:r>
              <w:rPr>
                <w:rFonts w:ascii="Times New Roman" w:eastAsia="Times New Roman" w:hAnsi="Times New Roman" w:cs="Times New Roman"/>
                <w:color w:val="000000"/>
                <w:kern w:val="0"/>
                <w:sz w:val="18"/>
                <w:szCs w:val="18"/>
                <w:lang w:val="en-US" w:eastAsia="tr-TR"/>
                <w14:ligatures w14:val="none"/>
              </w:rPr>
              <w:t>single</w:t>
            </w:r>
            <w:r w:rsidRPr="00C57657">
              <w:rPr>
                <w:rFonts w:ascii="Times New Roman" w:eastAsia="Times New Roman" w:hAnsi="Times New Roman" w:cs="Times New Roman"/>
                <w:color w:val="000000"/>
                <w:kern w:val="0"/>
                <w:sz w:val="18"/>
                <w:szCs w:val="18"/>
                <w:lang w:val="en-US" w:eastAsia="tr-TR"/>
                <w14:ligatures w14:val="none"/>
              </w:rPr>
              <w:t xml:space="preserve"> toxicants are present at seemingly harmless concentrations</w:t>
            </w:r>
          </w:p>
        </w:tc>
        <w:tc>
          <w:tcPr>
            <w:tcW w:w="1552" w:type="dxa"/>
            <w:tcBorders>
              <w:top w:val="nil"/>
              <w:left w:val="nil"/>
              <w:bottom w:val="single" w:sz="4" w:space="0" w:color="auto"/>
              <w:right w:val="single" w:sz="4" w:space="0" w:color="auto"/>
            </w:tcBorders>
            <w:shd w:val="clear" w:color="auto" w:fill="auto"/>
            <w:noWrap/>
            <w:vAlign w:val="center"/>
            <w:hideMark/>
          </w:tcPr>
          <w:p w14:paraId="3631B935"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{"citationItems":[{"id":"ITEM-1","itemData":{"DOI":"10.1093/toxsci/kfu118","ISSN":"1096-6080","author":[{"dropping-particle":"","family":"Carvalho","given":"Raquel N.","non-dropping-particle":"","parse-names":false,"suffix":""},{"dropping-particle":"","family":"Arukwe","given":"Augustine","non-dropping-particle":"","parse-names":false,"suffix":""},{"dropping-particle":"","family":"Ait-Aissa","given":"Selim","non-dropping-particle":"","parse-names":false,"suffix":""},{"dropping-particle":"","family":"Bado-Nilles","given":"Anne","non-dropping-particle":"","parse-names":false,"suffix":""},{"dropping-particle":"","family":"Balzamo","given":"Stefania","non-dropping-particle":"","parse-names":false,"suffix":""},{"dropping-particle":"","family":"Baun","given":"Anders","non-dropping-particle":"","parse-names":false,"suffix":""},{"dropping-particle":"","family":"Belkin","given":"Shimshon","non-dropping-particle":"","parse-names":false,"suffix":""},{"dropping-particle":"","family":"Blaha","given":"Ludek","non-dropping-particle":"","parse-names":false,"suffix":""},{"dropping-particle":"","family":"Brion","given":"François","non-dropping-particle":"","parse-names":false,"suffix":""},{"dropping-particle":"","family":"Conti","given":"Daniela","non-dropping-particle":"","parse-names":false,"suffix":""},{"dropping-particle":"","family":"Creusot","given":"Nicolas","non-dropping-particle":"","parse-names":false,"suffix":""},{"dropping-particle":"","family":"Essig","given":"Yona","non-dropping-particle":"","parse-names":false,"suffix":""},{"dropping-particle":"V.","family":"Ferrero","given":"Valentina E.","non-dropping-particle":"","parse-names":false,"suffix":""},{"dropping-particle":"","family":"Flander-Putrle","given":"Vesna","non-dropping-particle":"","parse-names":false,"suffix":""},{"dropping-particle":"","family":"Fürhacker","given":"Maria","non-dropping-particle":"","parse-names":false,"suffix":""},{"dropping-particle":"","family":"Grillari-Voglauer","given":"Regina","non-dropping-particle":"","parse-names":false,"suffix":""},{"dropping-particle":"","family":"Hogstrand","given":"Christer","non-dropping-particle":"","parse-names":false,"suffix":""},{"dropping-particle":"","family":"Jonáš","given":"Adam","non-dropping-particle":"","parse-names":false,"suffix":""},{"dropping-particle":"","family":"Kharlyngdoh","given":"Joubert B.","non-dropping-particle":"","parse-names":false,"suffix":""},{"dropping-particle":"","family":"Loos","given":"Robert","non-dropping-particle":"","parse-names":false,"suffix":""},{"dropping-particle":"","family":"Lundebye","given":"Anne-Katrine","non-dropping-particle":"","parse-names":false,"suffix":""},{"dropping-particle":"","family":"Modig","given":"Carina","non-dropping-particle":"","parse-names":false,"suffix":""},{"dropping-particle":"","family":"Olsson","given":"Per-Erik","non-dropping-particle":"","parse-names":false,"suffix":""},{"dropping-particle":"","family":"Pillai","given":"Smitha","non-dropping-particle":"","parse-names":false,"suffix":""},{"dropping-particle":"","family":"Polak","given":"Natasa","non-dropping-particle":"","parse-names":false,"suffix":""},{"dropping-particle":"","family":"Potalivo","given":"Monica","non-dropping-particle":"","parse-names":false,"suffix":""},{"dropping-particle":"","family":"Sanchez","given":"Wilfried","non-dropping-particle":"","parse-names":false,"suffix":""},{"dropping-particle":"","family":"Schifferli","given":"Andrea","non-dropping-particle":"","parse-names":false,"suffix":""},{"dropping-particle":"","family":"Schirmer","given":"Kristin","non-dropping-particle":"","parse-names":false,"suffix":""},{"dropping-particle":"","family":"Sforzini","given":"Susanna","non-dropping-particle":"","parse-names":false,"suffix":""},{"dropping-particle":"","family":"Stürzenbaum","given":"Stephen R.","non-dropping-particle":"","parse-names":false,"suffix":""},{"dropping-particle":"","family":"Søfteland","given":"Liv","non-dropping-particle":"","parse-names":false,"suffix":""},{"dropping-particle":"","family":"Turk","given":"Valentina","non-dropping-particle":"","parse-names":false,"suffix":""},{"dropping-particle":"","family":"Viarengo","given":"Aldo","non-dropping-particle":"","parse-names":false,"suffix":""},{"dropping-particle":"","family":"Werner","given":"Inge","non-dropping-particle":"","parse-names":false,"suffix":""},{"dropping-particle":"","family":"Yagur-Kroll","given":"Sharon","non-dropping-particle":"","parse-names":false,"suffix":""},{"dropping-particle":"","family":"Zounková","given":"Radka","non-dropping-particle":"","parse-names":false,"suffix":""},{"dropping-particle":"","family":"Lettieri","given":"Teresa","non-dropping-particle":"","parse-names":false,"suffix":""}],"container-title":"Toxicological Sciences","id":"ITEM-1","issue":"1","issued":{"date-parts":[["2014","9","1"]]},"page":"218-233","title":"Mixtures of Chemical Pollutants at European Legislation Safety Concentrations: How Safe Are They?","type":"article-journal","volume":"141"},"uris":["http://www.mendeley.com/documents/?uuid=e37d78a2-dae9-49bd-9825-daaf3dcfb8c6"]}],"mendeley":{"formattedCitation":"(Carvalho et al., 2014)","plainTextFormattedCitation":"(Carvalho et al., 2014)","previouslyFormattedCitation":"(Carvalho et al., 2014)"},"properties":{"noteIndex":0},"schema":"https://github.com/citation-style-language/schema/raw/master/csl-citation.json"}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(Carvalho et al., 2014)</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7262F985" w14:textId="77777777" w:rsidTr="007C2480">
        <w:trPr>
          <w:trHeight w:val="840"/>
          <w:jc w:val="center"/>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6ABE5D"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Sulfonamides (SAs)</w:t>
            </w:r>
          </w:p>
        </w:tc>
        <w:tc>
          <w:tcPr>
            <w:tcW w:w="1559" w:type="dxa"/>
            <w:tcBorders>
              <w:top w:val="nil"/>
              <w:left w:val="nil"/>
              <w:bottom w:val="single" w:sz="4" w:space="0" w:color="auto"/>
              <w:right w:val="single" w:sz="4" w:space="0" w:color="auto"/>
            </w:tcBorders>
            <w:shd w:val="clear" w:color="auto" w:fill="auto"/>
            <w:noWrap/>
            <w:vAlign w:val="center"/>
            <w:hideMark/>
          </w:tcPr>
          <w:p w14:paraId="6415CF8C" w14:textId="77777777" w:rsidR="00E31BB9" w:rsidRPr="00C57657" w:rsidRDefault="00E31BB9" w:rsidP="007C2480">
            <w:pPr>
              <w:spacing w:after="0" w:line="240" w:lineRule="auto"/>
              <w:rPr>
                <w:rFonts w:ascii="Times New Roman" w:eastAsia="Times New Roman" w:hAnsi="Times New Roman" w:cs="Times New Roman"/>
                <w:i/>
                <w:iCs/>
                <w:color w:val="000000"/>
                <w:kern w:val="0"/>
                <w:sz w:val="18"/>
                <w:szCs w:val="18"/>
                <w:lang w:val="en-US" w:eastAsia="tr-TR"/>
                <w14:ligatures w14:val="none"/>
              </w:rPr>
            </w:pPr>
            <w:r w:rsidRPr="00C57657">
              <w:rPr>
                <w:rFonts w:ascii="Times New Roman" w:eastAsia="Times New Roman" w:hAnsi="Times New Roman" w:cs="Times New Roman"/>
                <w:i/>
                <w:iCs/>
                <w:color w:val="000000"/>
                <w:kern w:val="0"/>
                <w:sz w:val="18"/>
                <w:szCs w:val="18"/>
                <w:lang w:val="en-US" w:eastAsia="tr-TR"/>
                <w14:ligatures w14:val="none"/>
              </w:rPr>
              <w:t>Daphnia magna</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14:paraId="33C81EED"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Results indicate that most of the selected mixtures exhibit a synergistic effect using the CI methodology. For binary mixtures, these findings </w:t>
            </w:r>
            <w:proofErr w:type="gramStart"/>
            <w:r w:rsidRPr="00C57657">
              <w:rPr>
                <w:rFonts w:ascii="Times New Roman" w:eastAsia="Times New Roman" w:hAnsi="Times New Roman" w:cs="Times New Roman"/>
                <w:color w:val="000000"/>
                <w:kern w:val="0"/>
                <w:sz w:val="18"/>
                <w:szCs w:val="18"/>
                <w:lang w:val="en-US" w:eastAsia="tr-TR"/>
                <w14:ligatures w14:val="none"/>
              </w:rPr>
              <w:t>were also confirmed</w:t>
            </w:r>
            <w:proofErr w:type="gramEnd"/>
            <w:r w:rsidRPr="00C57657">
              <w:rPr>
                <w:rFonts w:ascii="Times New Roman" w:eastAsia="Times New Roman" w:hAnsi="Times New Roman" w:cs="Times New Roman"/>
                <w:color w:val="000000"/>
                <w:kern w:val="0"/>
                <w:sz w:val="18"/>
                <w:szCs w:val="18"/>
                <w:lang w:val="en-US" w:eastAsia="tr-TR"/>
                <w14:ligatures w14:val="none"/>
              </w:rPr>
              <w:t xml:space="preserve"> by isobologram analysis. Detected synergies indicate that the CA is not always precautionary as a reference model for the evaluation of the aquatic toxicity of SAs mixtures</w:t>
            </w:r>
          </w:p>
        </w:tc>
        <w:tc>
          <w:tcPr>
            <w:tcW w:w="1552" w:type="dxa"/>
            <w:tcBorders>
              <w:top w:val="nil"/>
              <w:left w:val="nil"/>
              <w:bottom w:val="single" w:sz="4" w:space="0" w:color="auto"/>
              <w:right w:val="single" w:sz="4" w:space="0" w:color="auto"/>
            </w:tcBorders>
            <w:shd w:val="clear" w:color="auto" w:fill="auto"/>
            <w:noWrap/>
            <w:vAlign w:val="center"/>
            <w:hideMark/>
          </w:tcPr>
          <w:p w14:paraId="1F57479C"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10.1016/j.ecoenv.2018.08.011","ISSN":"01476513","author":[{"dropping-particle":"","family":"Liguoro","given":"Marco","non-dropping-particle":"De","parse-names":false,"suffix":""},{"dropping-particle":"","family":"Riga","given":"Alessia","non-dropping-particle":"","parse-names":false,"suffix":""},{"dropping-particle":"","family":"Fariselli","given":"Piero","non-dropping-particle":"","parse-names":false,"suffix":""}],"container-title":"Ecotoxicology and Environmental Safety","id":"ITEM-1","issued":{"date-parts":[["2018","11"]]},"page":"84-91","title":"Synergistic toxicity of some sulfonamide mixtures on Daphnia magna","type":"article-journal","volume":"164"},"uris":["http://www.mendeley.com/documents/?uuid=23ec60cb-1cda-4f54-8d15-9bf53f4d5e1f"]}],"mendeley":{"formattedCitation":"(De Liguoro et al., 2018)","plainTextFormattedCitation":"(De Liguoro et al., 2018)","previouslyFormattedCitation":"(De Liguoro et al., 2018)"},"properties":{"noteIndex":0},"schema":"https://github.com/citation-style-language/schema/raw/master/csl-citation.json"}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(De Liguoro et al., 2018)</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43CD2106" w14:textId="77777777" w:rsidTr="007C2480">
        <w:trPr>
          <w:trHeight w:val="840"/>
          <w:jc w:val="center"/>
        </w:trPr>
        <w:tc>
          <w:tcPr>
            <w:tcW w:w="2689" w:type="dxa"/>
            <w:tcBorders>
              <w:top w:val="nil"/>
              <w:left w:val="single" w:sz="4" w:space="0" w:color="auto"/>
              <w:bottom w:val="single" w:sz="4" w:space="0" w:color="auto"/>
              <w:right w:val="single" w:sz="4" w:space="0" w:color="auto"/>
            </w:tcBorders>
            <w:shd w:val="clear" w:color="auto" w:fill="auto"/>
            <w:noWrap/>
            <w:vAlign w:val="center"/>
          </w:tcPr>
          <w:p w14:paraId="5A0B58F4" w14:textId="77777777" w:rsidR="00E31BB9" w:rsidRPr="00C57657" w:rsidRDefault="00E31BB9" w:rsidP="007C2480">
            <w:pPr>
              <w:spacing w:after="0" w:line="240" w:lineRule="auto"/>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kern w:val="0"/>
                <w:sz w:val="18"/>
                <w:szCs w:val="18"/>
                <w:lang w:val="en-US" w:eastAsia="tr-TR"/>
                <w14:ligatures w14:val="none"/>
              </w:rPr>
              <w:t>Mercury chloride (HgCl</w:t>
            </w:r>
            <w:r w:rsidRPr="00C57657">
              <w:rPr>
                <w:rFonts w:ascii="Times New Roman" w:eastAsia="Times New Roman" w:hAnsi="Times New Roman" w:cs="Times New Roman"/>
                <w:kern w:val="0"/>
                <w:sz w:val="18"/>
                <w:szCs w:val="18"/>
                <w:vertAlign w:val="subscript"/>
                <w:lang w:val="en-US" w:eastAsia="tr-TR"/>
                <w14:ligatures w14:val="none"/>
              </w:rPr>
              <w:t>2</w:t>
            </w:r>
            <w:r w:rsidRPr="00C57657">
              <w:rPr>
                <w:rFonts w:ascii="Times New Roman" w:eastAsia="Times New Roman" w:hAnsi="Times New Roman" w:cs="Times New Roman"/>
                <w:kern w:val="0"/>
                <w:sz w:val="18"/>
                <w:szCs w:val="18"/>
                <w:lang w:val="en-US" w:eastAsia="tr-TR"/>
                <w14:ligatures w14:val="none"/>
              </w:rPr>
              <w:t>) and cadmium chloride (CdCl</w:t>
            </w:r>
            <w:r w:rsidRPr="00C57657">
              <w:rPr>
                <w:rFonts w:ascii="Times New Roman" w:eastAsia="Times New Roman" w:hAnsi="Times New Roman" w:cs="Times New Roman"/>
                <w:kern w:val="0"/>
                <w:sz w:val="18"/>
                <w:szCs w:val="18"/>
                <w:vertAlign w:val="subscript"/>
                <w:lang w:val="en-US" w:eastAsia="tr-TR"/>
                <w14:ligatures w14:val="none"/>
              </w:rPr>
              <w:t>2</w:t>
            </w:r>
            <w:r w:rsidRPr="00C57657">
              <w:rPr>
                <w:rFonts w:ascii="Times New Roman" w:eastAsia="Times New Roman" w:hAnsi="Times New Roman" w:cs="Times New Roman"/>
                <w:kern w:val="0"/>
                <w:sz w:val="18"/>
                <w:szCs w:val="18"/>
                <w:lang w:val="en-US" w:eastAsia="tr-TR"/>
                <w14:ligatures w14:val="none"/>
              </w:rPr>
              <w:t>) with AMD</w:t>
            </w:r>
          </w:p>
        </w:tc>
        <w:tc>
          <w:tcPr>
            <w:tcW w:w="1559" w:type="dxa"/>
            <w:tcBorders>
              <w:top w:val="nil"/>
              <w:left w:val="nil"/>
              <w:bottom w:val="single" w:sz="4" w:space="0" w:color="auto"/>
              <w:right w:val="single" w:sz="4" w:space="0" w:color="auto"/>
            </w:tcBorders>
            <w:shd w:val="clear" w:color="auto" w:fill="auto"/>
            <w:noWrap/>
            <w:vAlign w:val="center"/>
          </w:tcPr>
          <w:p w14:paraId="00606961" w14:textId="77777777" w:rsidR="00E31BB9" w:rsidRPr="00C57657" w:rsidRDefault="00E31BB9" w:rsidP="007C2480">
            <w:pPr>
              <w:spacing w:after="0" w:line="240" w:lineRule="auto"/>
              <w:rPr>
                <w:rFonts w:ascii="Times New Roman" w:eastAsia="Times New Roman" w:hAnsi="Times New Roman" w:cs="Times New Roman"/>
                <w:i/>
                <w:iCs/>
                <w:color w:val="000000"/>
                <w:kern w:val="0"/>
                <w:sz w:val="18"/>
                <w:szCs w:val="18"/>
                <w:lang w:val="en-US" w:eastAsia="tr-TR"/>
                <w14:ligatures w14:val="none"/>
              </w:rPr>
            </w:pPr>
            <w:r w:rsidRPr="00C57657">
              <w:rPr>
                <w:rFonts w:ascii="Times New Roman" w:eastAsia="Times New Roman" w:hAnsi="Times New Roman" w:cs="Times New Roman"/>
                <w:i/>
                <w:iCs/>
                <w:color w:val="000000"/>
                <w:kern w:val="0"/>
                <w:sz w:val="18"/>
                <w:szCs w:val="18"/>
                <w:lang w:val="en-US" w:eastAsia="tr-TR"/>
                <w14:ligatures w14:val="none"/>
              </w:rPr>
              <w:t>Saccharomyces cerevisiae</w:t>
            </w:r>
          </w:p>
        </w:tc>
        <w:tc>
          <w:tcPr>
            <w:tcW w:w="3260" w:type="dxa"/>
            <w:tcBorders>
              <w:top w:val="single" w:sz="4" w:space="0" w:color="auto"/>
              <w:left w:val="nil"/>
              <w:bottom w:val="single" w:sz="4" w:space="0" w:color="auto"/>
              <w:right w:val="single" w:sz="4" w:space="0" w:color="auto"/>
            </w:tcBorders>
            <w:shd w:val="clear" w:color="auto" w:fill="auto"/>
            <w:vAlign w:val="center"/>
          </w:tcPr>
          <w:p w14:paraId="0DB74E76"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An antagonistic effect appeared at lower doses with both heavy metals </w:t>
            </w:r>
          </w:p>
        </w:tc>
        <w:tc>
          <w:tcPr>
            <w:tcW w:w="1552" w:type="dxa"/>
            <w:tcBorders>
              <w:top w:val="nil"/>
              <w:left w:val="nil"/>
              <w:bottom w:val="single" w:sz="4" w:space="0" w:color="auto"/>
              <w:right w:val="single" w:sz="4" w:space="0" w:color="auto"/>
            </w:tcBorders>
            <w:shd w:val="clear" w:color="auto" w:fill="auto"/>
            <w:noWrap/>
            <w:vAlign w:val="center"/>
          </w:tcPr>
          <w:p w14:paraId="4C49BC64"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fldChar w:fldCharType="begin" w:fldLock="1"/>
            </w:r>
            <w:r w:rsidRPr="00C57657">
              <w:rPr>
                <w:rFonts w:ascii="Times New Roman" w:eastAsia="Times New Roman" w:hAnsi="Times New Roman" w:cs="Times New Roman"/>
                <w:color w:val="000000"/>
                <w:kern w:val="0"/>
                <w:sz w:val="18"/>
                <w:szCs w:val="18"/>
                <w:lang w:val="en-US" w:eastAsia="tr-TR"/>
                <w14:ligatures w14:val="none"/>
              </w:rPr>
              <w:instrText>ADDIN CSL_CITATION {"citationItems":[{"id":"ITEM-1","itemData":{"DOI":"10.1177/07482337221088354","ISSN":"0748-2337","abstract":"Amiodarone (AMD) is an antiarrhythmic drug that induces idiosyncratic toxicity. Environmental pollutants, including heavy metals, could interact with its toxicity by affecting pharmacokinetics and pharmacodynamics. Other levels of interaction could exist in yeast, such as oxidative stress and the general stress response. In this study, we investigated the interaction of mercury chloride (HgCl 2 ) and cadmium chloride (CdCl 2 ) with AMD toxicity on Saccharomyces cerevisiae. Interaction type - synergistic, additive, or antagonistic - was determined by median drug effect analysis using “CompuSyn”. HgCl 2 potentiated AMD toxicity at high doses (≥ 71.4 μm, which yielded more than 60% inhibition). CdCl 2 acted similarly at high doses (≥ 57.9 μm). An antagonistic effect appeared at lower doses with both heavy metals (≤ 49.4 μm for HgCl 2 and AMD; ≤ 18.9 μm for CdCl 2 and AMD). The threshold concentrations (HgCl 2 or CdCl 2 combined with AMD) that switched the interaction from antagonistic to additive, and then to synergistic, were decreased in the yeast strain mutant in catalase ( CTT1), suggesting an important role for this enzyme. Moreover, mutation of the nutrient sensing receptor gene GPR1 caused the synergistic interaction of CdCl 2 , but not HgCl 2 , with AMD to occur at the lowest tested concentrations (1.2 μm). The reverse was obtained with the mutant strain in calcium–manganese transporter gene PMR1, where the synergistic interaction of HgCl 2 with AMD occurred at concentrations (20.7 μm) lower than that of the wild type (71.4 μm). These results demonstrated a dose-dependent interaction between the two heavy metals with AMD toxicity, and the involvement of oxidative stress, calcium homeostasis, and nutrient sensing in the observed interaction.","author":[{"dropping-particle":"","family":"Halloum","given":"Iman","non-dropping-particle":"","parse-names":false,"suffix":""},{"dropping-particle":"","family":"Al-Attrache","given":"Houssein","non-dropping-particle":"","parse-names":false,"suffix":""},{"dropping-particle":"","family":"El-Ghoz","given":"Katia","non-dropping-particle":"","parse-names":false,"suffix":""},{"dropping-particle":"","family":"Hammoud","given":"Lara","non-dropping-particle":"","parse-names":false,"suffix":""},{"dropping-particle":"","family":"Abdel-Razzak","given":"Ziad","non-dropping-particle":"","parse-names":false,"suffix":""}],"container-title":"Toxicology and Industrial Health","id":"ITEM-1","issue":"5","issued":{"date-parts":[["2022","5","5"]]},"page":"249-258","title":"Dose-dependent interaction of two heavy metals with amiodarone toxicity in Saccharomyces cerevisiae","type":"article-journal","volume":"38"},"uris":["http://www.mendeley.com/documents/?uuid=6f52a985-43ca-4886-a24d-e544e27fc54b"]}],"mendeley":{"formattedCitation":"(Halloum et al., 2022)","plainTextFormattedCitation":"(Halloum et al., 2022)","previouslyFormattedCitation":"(Halloum et al., 2022)"},"properties":{"noteIndex":0},"schema":"https://github.com/citation-style-language/schema/raw/master/csl-citation.json"}</w:instrText>
            </w:r>
            <w:r w:rsidRPr="00C57657">
              <w:rPr>
                <w:rFonts w:ascii="Times New Roman" w:eastAsia="Times New Roman" w:hAnsi="Times New Roman" w:cs="Times New Roman"/>
                <w:color w:val="000000"/>
                <w:kern w:val="0"/>
                <w:sz w:val="18"/>
                <w:szCs w:val="18"/>
                <w:lang w:val="en-US" w:eastAsia="tr-TR"/>
                <w14:ligatures w14:val="none"/>
              </w:rPr>
              <w:fldChar w:fldCharType="separate"/>
            </w:r>
            <w:r w:rsidRPr="00C57657">
              <w:rPr>
                <w:rFonts w:ascii="Times New Roman" w:eastAsia="Times New Roman" w:hAnsi="Times New Roman" w:cs="Times New Roman"/>
                <w:noProof/>
                <w:color w:val="000000"/>
                <w:kern w:val="0"/>
                <w:sz w:val="18"/>
                <w:szCs w:val="18"/>
                <w:lang w:val="en-US" w:eastAsia="tr-TR"/>
                <w14:ligatures w14:val="none"/>
              </w:rPr>
              <w:t>(Halloum et al., 2022)</w:t>
            </w:r>
            <w:r w:rsidRPr="00C57657">
              <w:rPr>
                <w:rFonts w:ascii="Times New Roman" w:eastAsia="Times New Roman" w:hAnsi="Times New Roman" w:cs="Times New Roman"/>
                <w:color w:val="000000"/>
                <w:kern w:val="0"/>
                <w:sz w:val="18"/>
                <w:szCs w:val="18"/>
                <w:lang w:val="en-US" w:eastAsia="tr-TR"/>
                <w14:ligatures w14:val="none"/>
              </w:rPr>
              <w:fldChar w:fldCharType="end"/>
            </w:r>
          </w:p>
        </w:tc>
      </w:tr>
      <w:tr w:rsidR="00E31BB9" w:rsidRPr="00C57657" w14:paraId="78126CD0" w14:textId="77777777" w:rsidTr="007C2480">
        <w:trPr>
          <w:trHeight w:val="560"/>
          <w:jc w:val="center"/>
        </w:trPr>
        <w:tc>
          <w:tcPr>
            <w:tcW w:w="2689" w:type="dxa"/>
            <w:tcBorders>
              <w:top w:val="nil"/>
              <w:left w:val="single" w:sz="4" w:space="0" w:color="auto"/>
              <w:bottom w:val="single" w:sz="4" w:space="0" w:color="auto"/>
              <w:right w:val="single" w:sz="4" w:space="0" w:color="auto"/>
            </w:tcBorders>
            <w:shd w:val="clear" w:color="auto" w:fill="auto"/>
            <w:vAlign w:val="center"/>
          </w:tcPr>
          <w:p w14:paraId="2F78C749" w14:textId="77777777" w:rsidR="00E31BB9" w:rsidRPr="00C57657" w:rsidRDefault="00E31BB9" w:rsidP="007C2480">
            <w:pPr>
              <w:spacing w:after="0" w:line="240" w:lineRule="auto"/>
              <w:rPr>
                <w:rFonts w:ascii="Times New Roman" w:eastAsia="Times New Roman" w:hAnsi="Times New Roman" w:cs="Times New Roman"/>
                <w:color w:val="FF0000"/>
                <w:kern w:val="0"/>
                <w:sz w:val="18"/>
                <w:szCs w:val="18"/>
                <w:lang w:val="en-US" w:eastAsia="tr-TR"/>
                <w14:ligatures w14:val="none"/>
              </w:rPr>
            </w:pPr>
            <w:r w:rsidRPr="00C57657">
              <w:rPr>
                <w:rFonts w:ascii="Times New Roman" w:eastAsia="Times New Roman" w:hAnsi="Times New Roman" w:cs="Times New Roman"/>
                <w:kern w:val="0"/>
                <w:sz w:val="18"/>
                <w:szCs w:val="18"/>
                <w:lang w:val="en-US" w:eastAsia="tr-TR"/>
                <w14:ligatures w14:val="none"/>
              </w:rPr>
              <w:t>Ni, Co, and Fe</w:t>
            </w:r>
          </w:p>
        </w:tc>
        <w:tc>
          <w:tcPr>
            <w:tcW w:w="1559" w:type="dxa"/>
            <w:tcBorders>
              <w:top w:val="nil"/>
              <w:left w:val="nil"/>
              <w:bottom w:val="single" w:sz="4" w:space="0" w:color="auto"/>
              <w:right w:val="single" w:sz="4" w:space="0" w:color="auto"/>
            </w:tcBorders>
            <w:shd w:val="clear" w:color="auto" w:fill="auto"/>
            <w:noWrap/>
            <w:vAlign w:val="center"/>
          </w:tcPr>
          <w:p w14:paraId="478208C5" w14:textId="77777777" w:rsidR="00E31BB9" w:rsidRPr="00C57657" w:rsidRDefault="00E31BB9" w:rsidP="007C2480">
            <w:pPr>
              <w:spacing w:after="0" w:line="240" w:lineRule="auto"/>
              <w:rPr>
                <w:rFonts w:ascii="Times New Roman" w:eastAsia="Times New Roman" w:hAnsi="Times New Roman" w:cs="Times New Roman"/>
                <w:i/>
                <w:iCs/>
                <w:color w:val="000000"/>
                <w:kern w:val="0"/>
                <w:sz w:val="18"/>
                <w:szCs w:val="18"/>
                <w:lang w:val="en-US" w:eastAsia="tr-TR"/>
                <w14:ligatures w14:val="none"/>
              </w:rPr>
            </w:pPr>
            <w:r w:rsidRPr="00C57657">
              <w:rPr>
                <w:rFonts w:ascii="Times New Roman" w:eastAsia="Times New Roman" w:hAnsi="Times New Roman" w:cs="Times New Roman"/>
                <w:i/>
                <w:iCs/>
                <w:color w:val="000000"/>
                <w:kern w:val="0"/>
                <w:sz w:val="18"/>
                <w:szCs w:val="18"/>
                <w:lang w:val="en-US" w:eastAsia="tr-TR"/>
                <w14:ligatures w14:val="none"/>
              </w:rPr>
              <w:t xml:space="preserve">Aliivibrio </w:t>
            </w:r>
            <w:proofErr w:type="spellStart"/>
            <w:r w:rsidRPr="00C57657">
              <w:rPr>
                <w:rFonts w:ascii="Times New Roman" w:eastAsia="Times New Roman" w:hAnsi="Times New Roman" w:cs="Times New Roman"/>
                <w:i/>
                <w:iCs/>
                <w:color w:val="000000"/>
                <w:kern w:val="0"/>
                <w:sz w:val="18"/>
                <w:szCs w:val="18"/>
                <w:lang w:val="en-US" w:eastAsia="tr-TR"/>
                <w14:ligatures w14:val="none"/>
              </w:rPr>
              <w:t>fisheri</w:t>
            </w:r>
            <w:proofErr w:type="spellEnd"/>
          </w:p>
          <w:p w14:paraId="629751D2" w14:textId="77777777" w:rsidR="00E31BB9" w:rsidRPr="00C57657" w:rsidRDefault="00E31BB9" w:rsidP="007C2480">
            <w:pPr>
              <w:spacing w:after="0" w:line="240" w:lineRule="auto"/>
              <w:rPr>
                <w:rFonts w:ascii="Times New Roman" w:eastAsia="Times New Roman" w:hAnsi="Times New Roman" w:cs="Times New Roman"/>
                <w:i/>
                <w:iCs/>
                <w:color w:val="000000"/>
                <w:kern w:val="0"/>
                <w:sz w:val="18"/>
                <w:szCs w:val="18"/>
                <w:lang w:val="en-US" w:eastAsia="tr-TR"/>
                <w14:ligatures w14:val="none"/>
              </w:rPr>
            </w:pPr>
            <w:r w:rsidRPr="00C57657">
              <w:rPr>
                <w:rFonts w:ascii="Times New Roman" w:eastAsia="Times New Roman" w:hAnsi="Times New Roman" w:cs="Times New Roman"/>
                <w:i/>
                <w:iCs/>
                <w:color w:val="000000"/>
                <w:kern w:val="0"/>
                <w:sz w:val="18"/>
                <w:szCs w:val="18"/>
                <w:lang w:val="en-US" w:eastAsia="tr-TR"/>
                <w14:ligatures w14:val="none"/>
              </w:rPr>
              <w:t>Daphnia magna</w:t>
            </w:r>
          </w:p>
        </w:tc>
        <w:tc>
          <w:tcPr>
            <w:tcW w:w="3260" w:type="dxa"/>
            <w:tcBorders>
              <w:top w:val="single" w:sz="4" w:space="0" w:color="auto"/>
              <w:left w:val="nil"/>
              <w:bottom w:val="single" w:sz="4" w:space="0" w:color="auto"/>
              <w:right w:val="single" w:sz="4" w:space="0" w:color="auto"/>
            </w:tcBorders>
            <w:shd w:val="clear" w:color="auto" w:fill="auto"/>
            <w:vAlign w:val="center"/>
          </w:tcPr>
          <w:p w14:paraId="622AC07A"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color w:val="000000"/>
                <w:kern w:val="0"/>
                <w:sz w:val="18"/>
                <w:szCs w:val="18"/>
                <w:lang w:val="en-US" w:eastAsia="tr-TR"/>
                <w14:ligatures w14:val="none"/>
              </w:rPr>
              <w:t xml:space="preserve">The combination index-isobologram equation has been proven </w:t>
            </w:r>
            <w:proofErr w:type="gramStart"/>
            <w:r w:rsidRPr="00C57657">
              <w:rPr>
                <w:rFonts w:ascii="Times New Roman" w:eastAsia="Times New Roman" w:hAnsi="Times New Roman" w:cs="Times New Roman"/>
                <w:color w:val="000000"/>
                <w:kern w:val="0"/>
                <w:sz w:val="18"/>
                <w:szCs w:val="18"/>
                <w:lang w:val="en-US" w:eastAsia="tr-TR"/>
                <w14:ligatures w14:val="none"/>
              </w:rPr>
              <w:t>to be a</w:t>
            </w:r>
            <w:proofErr w:type="gramEnd"/>
            <w:r w:rsidRPr="00C57657">
              <w:rPr>
                <w:rFonts w:ascii="Times New Roman" w:eastAsia="Times New Roman" w:hAnsi="Times New Roman" w:cs="Times New Roman"/>
                <w:color w:val="000000"/>
                <w:kern w:val="0"/>
                <w:sz w:val="18"/>
                <w:szCs w:val="18"/>
                <w:lang w:val="en-US" w:eastAsia="tr-TR"/>
                <w14:ligatures w14:val="none"/>
              </w:rPr>
              <w:t xml:space="preserve"> suitable method for assessing the toxicity of metal interactions in </w:t>
            </w:r>
            <w:r w:rsidRPr="00C57657">
              <w:rPr>
                <w:rFonts w:ascii="Times New Roman" w:eastAsia="Times New Roman" w:hAnsi="Times New Roman" w:cs="Times New Roman"/>
                <w:i/>
                <w:iCs/>
                <w:color w:val="000000"/>
                <w:kern w:val="0"/>
                <w:sz w:val="18"/>
                <w:szCs w:val="18"/>
                <w:lang w:val="en-US" w:eastAsia="tr-TR"/>
                <w14:ligatures w14:val="none"/>
              </w:rPr>
              <w:t>A. fischeri.</w:t>
            </w:r>
            <w:r w:rsidRPr="00C57657">
              <w:rPr>
                <w:rFonts w:ascii="Times New Roman" w:eastAsia="Times New Roman" w:hAnsi="Times New Roman" w:cs="Times New Roman"/>
                <w:color w:val="000000"/>
                <w:kern w:val="0"/>
                <w:sz w:val="18"/>
                <w:szCs w:val="18"/>
                <w:lang w:val="en-US" w:eastAsia="tr-TR"/>
                <w14:ligatures w14:val="none"/>
              </w:rPr>
              <w:t xml:space="preserve"> Overall, while the toxicity of Ni, Co, and Fe binary and ternary combinations was antagonistic at low effect levels, it was synergistic at high effect levels in the </w:t>
            </w:r>
            <w:proofErr w:type="spellStart"/>
            <w:r w:rsidRPr="00C57657">
              <w:rPr>
                <w:rFonts w:ascii="Times New Roman" w:eastAsia="Times New Roman" w:hAnsi="Times New Roman" w:cs="Times New Roman"/>
                <w:color w:val="000000"/>
                <w:kern w:val="0"/>
                <w:sz w:val="18"/>
                <w:szCs w:val="18"/>
                <w:lang w:val="en-US" w:eastAsia="tr-TR"/>
                <w14:ligatures w14:val="none"/>
              </w:rPr>
              <w:t>Ni+Co</w:t>
            </w:r>
            <w:proofErr w:type="spellEnd"/>
            <w:r w:rsidRPr="00C57657">
              <w:rPr>
                <w:rFonts w:ascii="Times New Roman" w:eastAsia="Times New Roman" w:hAnsi="Times New Roman" w:cs="Times New Roman"/>
                <w:color w:val="000000"/>
                <w:kern w:val="0"/>
                <w:sz w:val="18"/>
                <w:szCs w:val="18"/>
                <w:lang w:val="en-US" w:eastAsia="tr-TR"/>
                <w14:ligatures w14:val="none"/>
              </w:rPr>
              <w:t xml:space="preserve"> binary combination.</w:t>
            </w:r>
          </w:p>
        </w:tc>
        <w:tc>
          <w:tcPr>
            <w:tcW w:w="1552" w:type="dxa"/>
            <w:tcBorders>
              <w:top w:val="nil"/>
              <w:left w:val="nil"/>
              <w:bottom w:val="single" w:sz="4" w:space="0" w:color="auto"/>
              <w:right w:val="single" w:sz="4" w:space="0" w:color="auto"/>
            </w:tcBorders>
            <w:shd w:val="clear" w:color="auto" w:fill="auto"/>
            <w:noWrap/>
            <w:vAlign w:val="center"/>
          </w:tcPr>
          <w:p w14:paraId="1D26E456" w14:textId="77777777" w:rsidR="00E31BB9" w:rsidRPr="00C57657" w:rsidRDefault="00E31BB9" w:rsidP="007C2480">
            <w:pPr>
              <w:spacing w:after="0" w:line="240" w:lineRule="auto"/>
              <w:jc w:val="center"/>
              <w:rPr>
                <w:rFonts w:ascii="Times New Roman" w:eastAsia="Times New Roman" w:hAnsi="Times New Roman" w:cs="Times New Roman"/>
                <w:color w:val="000000"/>
                <w:kern w:val="0"/>
                <w:sz w:val="18"/>
                <w:szCs w:val="18"/>
                <w:lang w:val="en-US" w:eastAsia="tr-TR"/>
                <w14:ligatures w14:val="none"/>
              </w:rPr>
            </w:pPr>
            <w:r w:rsidRPr="00C57657">
              <w:rPr>
                <w:rFonts w:ascii="Times New Roman" w:eastAsia="Times New Roman" w:hAnsi="Times New Roman" w:cs="Times New Roman"/>
                <w:kern w:val="0"/>
                <w:sz w:val="18"/>
                <w:szCs w:val="18"/>
                <w:lang w:val="en-US" w:eastAsia="tr-TR"/>
                <w14:ligatures w14:val="none"/>
              </w:rPr>
              <w:t>This study</w:t>
            </w:r>
          </w:p>
        </w:tc>
      </w:tr>
    </w:tbl>
    <w:p w14:paraId="75E562E4" w14:textId="77777777" w:rsidR="001E25E0" w:rsidRDefault="001E25E0">
      <w:r>
        <w:br w:type="page"/>
      </w:r>
    </w:p>
    <w:p w14:paraId="7C0FC46D" w14:textId="77777777" w:rsidR="00E523FB" w:rsidRDefault="00E523FB"/>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964"/>
        <w:gridCol w:w="572"/>
        <w:gridCol w:w="3969"/>
      </w:tblGrid>
      <w:tr w:rsidR="00E523FB" w14:paraId="06D24DBC" w14:textId="77777777" w:rsidTr="007C2480">
        <w:tc>
          <w:tcPr>
            <w:tcW w:w="567" w:type="dxa"/>
          </w:tcPr>
          <w:p w14:paraId="03EF96B1" w14:textId="77777777" w:rsidR="00E523FB" w:rsidRPr="00692238" w:rsidRDefault="00E523FB" w:rsidP="007C2480">
            <w:pPr>
              <w:pStyle w:val="NormalWeb"/>
              <w:spacing w:line="360" w:lineRule="auto"/>
              <w:jc w:val="both"/>
              <w:rPr>
                <w:b/>
                <w:sz w:val="22"/>
                <w:szCs w:val="22"/>
                <w:lang w:val="en-US"/>
              </w:rPr>
            </w:pPr>
            <w:r w:rsidRPr="00692238">
              <w:rPr>
                <w:b/>
                <w:sz w:val="18"/>
                <w:szCs w:val="22"/>
                <w:lang w:val="en-US"/>
              </w:rPr>
              <w:t>(</w:t>
            </w:r>
            <w:r>
              <w:rPr>
                <w:b/>
                <w:sz w:val="18"/>
                <w:szCs w:val="22"/>
                <w:lang w:val="en-US"/>
              </w:rPr>
              <w:t>a</w:t>
            </w:r>
            <w:r w:rsidRPr="00692238">
              <w:rPr>
                <w:b/>
                <w:sz w:val="18"/>
                <w:szCs w:val="22"/>
                <w:lang w:val="en-US"/>
              </w:rPr>
              <w:t>)</w:t>
            </w:r>
          </w:p>
        </w:tc>
        <w:tc>
          <w:tcPr>
            <w:tcW w:w="3964" w:type="dxa"/>
          </w:tcPr>
          <w:p w14:paraId="1974B8FA" w14:textId="77777777" w:rsidR="00E523FB" w:rsidRDefault="00E523FB" w:rsidP="007C2480">
            <w:pPr>
              <w:pStyle w:val="NormalWeb"/>
              <w:spacing w:line="360" w:lineRule="auto"/>
              <w:jc w:val="both"/>
              <w:rPr>
                <w:sz w:val="22"/>
                <w:szCs w:val="22"/>
                <w:lang w:val="en-US"/>
              </w:rPr>
            </w:pPr>
            <w:r>
              <w:rPr>
                <w:noProof/>
                <w:sz w:val="22"/>
                <w:szCs w:val="22"/>
              </w:rPr>
              <w:drawing>
                <wp:inline distT="0" distB="0" distL="0" distR="0" wp14:anchorId="0B27B309" wp14:editId="0D0C098F">
                  <wp:extent cx="2520000" cy="2011266"/>
                  <wp:effectExtent l="0" t="0" r="0" b="825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20000" cy="2011266"/>
                          </a:xfrm>
                          <a:prstGeom prst="rect">
                            <a:avLst/>
                          </a:prstGeom>
                          <a:noFill/>
                        </pic:spPr>
                      </pic:pic>
                    </a:graphicData>
                  </a:graphic>
                </wp:inline>
              </w:drawing>
            </w:r>
          </w:p>
        </w:tc>
        <w:tc>
          <w:tcPr>
            <w:tcW w:w="572" w:type="dxa"/>
          </w:tcPr>
          <w:p w14:paraId="2DE91CE6" w14:textId="77777777" w:rsidR="00E523FB" w:rsidRPr="00692238" w:rsidRDefault="00E523FB" w:rsidP="007C2480">
            <w:pPr>
              <w:pStyle w:val="NormalWeb"/>
              <w:spacing w:line="360" w:lineRule="auto"/>
              <w:jc w:val="both"/>
              <w:rPr>
                <w:b/>
                <w:sz w:val="18"/>
                <w:szCs w:val="22"/>
                <w:lang w:val="en-US"/>
              </w:rPr>
            </w:pPr>
            <w:r w:rsidRPr="00692238">
              <w:rPr>
                <w:b/>
                <w:sz w:val="18"/>
                <w:szCs w:val="22"/>
                <w:lang w:val="en-US"/>
              </w:rPr>
              <w:t>(b)</w:t>
            </w:r>
          </w:p>
        </w:tc>
        <w:tc>
          <w:tcPr>
            <w:tcW w:w="3969" w:type="dxa"/>
          </w:tcPr>
          <w:p w14:paraId="6306615E" w14:textId="77777777" w:rsidR="00E523FB" w:rsidRDefault="00E523FB" w:rsidP="007C2480">
            <w:pPr>
              <w:pStyle w:val="NormalWeb"/>
              <w:spacing w:line="360" w:lineRule="auto"/>
              <w:jc w:val="both"/>
              <w:rPr>
                <w:sz w:val="22"/>
                <w:szCs w:val="22"/>
                <w:lang w:val="en-US"/>
              </w:rPr>
            </w:pPr>
            <w:r>
              <w:rPr>
                <w:noProof/>
                <w:sz w:val="22"/>
                <w:szCs w:val="22"/>
              </w:rPr>
              <w:drawing>
                <wp:inline distT="0" distB="0" distL="0" distR="0" wp14:anchorId="21D769A6" wp14:editId="5FFCCFB5">
                  <wp:extent cx="2520000" cy="2145137"/>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0000" cy="2145137"/>
                          </a:xfrm>
                          <a:prstGeom prst="rect">
                            <a:avLst/>
                          </a:prstGeom>
                          <a:noFill/>
                        </pic:spPr>
                      </pic:pic>
                    </a:graphicData>
                  </a:graphic>
                </wp:inline>
              </w:drawing>
            </w:r>
          </w:p>
        </w:tc>
      </w:tr>
    </w:tbl>
    <w:p w14:paraId="4CFCDF11" w14:textId="77777777" w:rsidR="00E523FB" w:rsidRPr="00C57657" w:rsidRDefault="00E523FB" w:rsidP="00E523FB">
      <w:pPr>
        <w:pStyle w:val="NormalWeb"/>
        <w:spacing w:line="360" w:lineRule="auto"/>
        <w:jc w:val="both"/>
        <w:rPr>
          <w:sz w:val="22"/>
          <w:szCs w:val="22"/>
          <w:lang w:val="en-US"/>
        </w:rPr>
      </w:pPr>
      <w:r w:rsidRPr="00C57657">
        <w:rPr>
          <w:b/>
          <w:bCs/>
          <w:sz w:val="22"/>
          <w:szCs w:val="22"/>
          <w:lang w:val="en-US"/>
        </w:rPr>
        <w:t xml:space="preserve">Figure </w:t>
      </w:r>
      <w:r w:rsidR="00D172E1">
        <w:rPr>
          <w:b/>
          <w:bCs/>
          <w:sz w:val="22"/>
          <w:szCs w:val="22"/>
          <w:lang w:val="en-US"/>
        </w:rPr>
        <w:t>S</w:t>
      </w:r>
      <w:r>
        <w:rPr>
          <w:b/>
          <w:bCs/>
          <w:sz w:val="22"/>
          <w:szCs w:val="22"/>
          <w:lang w:val="en-US"/>
        </w:rPr>
        <w:t>1.</w:t>
      </w:r>
      <w:r w:rsidRPr="00C57657">
        <w:rPr>
          <w:b/>
          <w:bCs/>
          <w:sz w:val="22"/>
          <w:szCs w:val="22"/>
          <w:lang w:val="en-US"/>
        </w:rPr>
        <w:t xml:space="preserve"> </w:t>
      </w:r>
      <w:r w:rsidRPr="00C57657">
        <w:rPr>
          <w:sz w:val="22"/>
          <w:szCs w:val="22"/>
          <w:lang w:val="en-US"/>
        </w:rPr>
        <w:t xml:space="preserve">The time-dependent bioluminescence levels of </w:t>
      </w:r>
      <w:r w:rsidRPr="00C57657">
        <w:rPr>
          <w:i/>
          <w:iCs/>
          <w:sz w:val="22"/>
          <w:szCs w:val="22"/>
          <w:lang w:val="en-US"/>
        </w:rPr>
        <w:t>A</w:t>
      </w:r>
      <w:r>
        <w:rPr>
          <w:i/>
          <w:iCs/>
          <w:sz w:val="22"/>
          <w:szCs w:val="22"/>
          <w:lang w:val="en-US"/>
        </w:rPr>
        <w:t>.</w:t>
      </w:r>
      <w:r w:rsidRPr="00C57657">
        <w:rPr>
          <w:i/>
          <w:iCs/>
          <w:sz w:val="22"/>
          <w:szCs w:val="22"/>
          <w:lang w:val="en-US"/>
        </w:rPr>
        <w:t xml:space="preserve"> fischeri</w:t>
      </w:r>
      <w:r w:rsidRPr="00C57657">
        <w:rPr>
          <w:sz w:val="22"/>
          <w:szCs w:val="22"/>
          <w:lang w:val="en-US"/>
        </w:rPr>
        <w:t xml:space="preserve"> exposed to different chemical structures: </w:t>
      </w:r>
      <w:r w:rsidRPr="00C57657">
        <w:rPr>
          <w:b/>
          <w:bCs/>
          <w:sz w:val="22"/>
          <w:szCs w:val="22"/>
          <w:lang w:val="en-US"/>
        </w:rPr>
        <w:t>a)</w:t>
      </w:r>
      <w:r w:rsidRPr="00C57657">
        <w:rPr>
          <w:sz w:val="22"/>
          <w:szCs w:val="22"/>
          <w:lang w:val="en-US"/>
        </w:rPr>
        <w:t xml:space="preserve"> Exposure to organic matter </w:t>
      </w:r>
      <w:r w:rsidRPr="00C57657">
        <w:rPr>
          <w:b/>
          <w:bCs/>
          <w:sz w:val="22"/>
          <w:szCs w:val="22"/>
          <w:lang w:val="en-US"/>
        </w:rPr>
        <w:t xml:space="preserve">b) </w:t>
      </w:r>
      <w:r w:rsidRPr="00C57657">
        <w:rPr>
          <w:sz w:val="22"/>
          <w:szCs w:val="22"/>
          <w:lang w:val="en-US"/>
        </w:rPr>
        <w:t xml:space="preserve">Exposure to inorganic matter </w:t>
      </w:r>
      <w:r w:rsidRPr="00C57657">
        <w:rPr>
          <w:sz w:val="22"/>
          <w:szCs w:val="22"/>
          <w:lang w:val="en-US"/>
        </w:rPr>
        <w:fldChar w:fldCharType="begin" w:fldLock="1"/>
      </w:r>
      <w:r w:rsidRPr="00C57657">
        <w:rPr>
          <w:sz w:val="22"/>
          <w:szCs w:val="22"/>
          <w:lang w:val="en-US"/>
        </w:rPr>
        <w:instrText>ADDIN CSL_CITATION {"citationItems":[{"id":"ITEM-1","itemData":{"author":[{"dropping-particle":"","family":"Microtox Guide","given":"","non-dropping-particle":"","parse-names":false,"suffix":""}],"id":"ITEM-1","issued":{"date-parts":[["1992"]]},"title":"Microtox","type":"report"},"uris":["http://www.mendeley.com/documents/?uuid=a5f91b37-78cd-4f8c-bd14-3796fa446bbc"]}],"mendeley":{"formattedCitation":"(Microtox Guide, 1992)","plainTextFormattedCitation":"(Microtox Guide, 1992)","previouslyFormattedCitation":"(Microtox Guide, 1992)"},"properties":{"noteIndex":0},"schema":"https://github.com/citation-style-language/schema/raw/master/csl-citation.json"}</w:instrText>
      </w:r>
      <w:r w:rsidRPr="00C57657">
        <w:rPr>
          <w:sz w:val="22"/>
          <w:szCs w:val="22"/>
          <w:lang w:val="en-US"/>
        </w:rPr>
        <w:fldChar w:fldCharType="separate"/>
      </w:r>
      <w:r w:rsidRPr="00C57657">
        <w:rPr>
          <w:noProof/>
          <w:sz w:val="22"/>
          <w:szCs w:val="22"/>
          <w:lang w:val="en-US"/>
        </w:rPr>
        <w:t>(Microtox Guide, 1992)</w:t>
      </w:r>
      <w:r w:rsidRPr="00C57657">
        <w:rPr>
          <w:sz w:val="22"/>
          <w:szCs w:val="22"/>
          <w:lang w:val="en-US"/>
        </w:rPr>
        <w:fldChar w:fldCharType="end"/>
      </w:r>
      <w:r w:rsidRPr="00C57657">
        <w:rPr>
          <w:sz w:val="22"/>
          <w:szCs w:val="22"/>
          <w:lang w:val="en-US"/>
        </w:rPr>
        <w:t>.</w:t>
      </w:r>
    </w:p>
    <w:p w14:paraId="1C066ABE" w14:textId="77777777" w:rsidR="00E523FB" w:rsidRDefault="00E523FB"/>
    <w:sectPr w:rsidR="00E52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7A1"/>
    <w:rsid w:val="0006748A"/>
    <w:rsid w:val="001442E1"/>
    <w:rsid w:val="001E25E0"/>
    <w:rsid w:val="002C5ABA"/>
    <w:rsid w:val="003319BB"/>
    <w:rsid w:val="00391E81"/>
    <w:rsid w:val="003968B3"/>
    <w:rsid w:val="004759B6"/>
    <w:rsid w:val="004A37A1"/>
    <w:rsid w:val="00597683"/>
    <w:rsid w:val="005B17AA"/>
    <w:rsid w:val="00682E69"/>
    <w:rsid w:val="00690E94"/>
    <w:rsid w:val="006C3CF2"/>
    <w:rsid w:val="00702B51"/>
    <w:rsid w:val="008E38B3"/>
    <w:rsid w:val="008E39F4"/>
    <w:rsid w:val="00931D67"/>
    <w:rsid w:val="00A354A2"/>
    <w:rsid w:val="00A74E64"/>
    <w:rsid w:val="00B52F56"/>
    <w:rsid w:val="00D172E1"/>
    <w:rsid w:val="00D23F33"/>
    <w:rsid w:val="00D2525D"/>
    <w:rsid w:val="00E31BB9"/>
    <w:rsid w:val="00E33A7E"/>
    <w:rsid w:val="00E523FB"/>
    <w:rsid w:val="00ED0338"/>
    <w:rsid w:val="00FA0537"/>
    <w:rsid w:val="00FE13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02AA6"/>
  <w15:chartTrackingRefBased/>
  <w15:docId w15:val="{92B1FF66-51D0-4454-956D-60899E0F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7A1"/>
    <w:rPr>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523FB"/>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table" w:styleId="TabloKlavuzu">
    <w:name w:val="Table Grid"/>
    <w:basedOn w:val="NormalTablo"/>
    <w:uiPriority w:val="59"/>
    <w:rsid w:val="00E523FB"/>
    <w:pPr>
      <w:spacing w:after="0" w:line="240" w:lineRule="auto"/>
    </w:pPr>
    <w:rPr>
      <w:kern w:val="2"/>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4649</Words>
  <Characters>26500</Characters>
  <Application>Microsoft Office Word</Application>
  <DocSecurity>0</DocSecurity>
  <Lines>220</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ceyhun akarsu</dc:creator>
  <cp:keywords/>
  <dc:description/>
  <cp:lastModifiedBy>ceyhun akarsu</cp:lastModifiedBy>
  <cp:revision>19</cp:revision>
  <dcterms:created xsi:type="dcterms:W3CDTF">2024-05-18T12:13:00Z</dcterms:created>
  <dcterms:modified xsi:type="dcterms:W3CDTF">2024-08-16T12:46:00Z</dcterms:modified>
</cp:coreProperties>
</file>