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CFA9" w14:textId="5A8DE514" w:rsidR="00421BC9" w:rsidRDefault="00421BC9" w:rsidP="00421BC9">
      <w:pPr>
        <w:pStyle w:val="Heading1"/>
        <w:spacing w:before="0" w:after="0" w:line="480" w:lineRule="auto"/>
        <w:jc w:val="center"/>
        <w:rPr>
          <w:rFonts w:ascii="Times New Roman" w:hAnsi="Times New Roman" w:cs="Times New Roman"/>
          <w:color w:val="auto"/>
          <w:lang w:val="en-US"/>
        </w:rPr>
      </w:pPr>
      <w:r w:rsidRPr="00421BC9">
        <w:rPr>
          <w:rFonts w:ascii="Times New Roman" w:hAnsi="Times New Roman" w:cs="Times New Roman"/>
          <w:color w:val="auto"/>
          <w:lang w:val="en-US"/>
        </w:rPr>
        <w:t>Macrophage paracrine signalling differentially affects fibroblast-induced collagenous tissue remodelling</w:t>
      </w:r>
    </w:p>
    <w:p w14:paraId="0DA85913" w14:textId="1FC54DA1" w:rsidR="00421BC9" w:rsidRDefault="00421BC9" w:rsidP="00421BC9">
      <w:pPr>
        <w:pStyle w:val="Heading1"/>
        <w:spacing w:before="0" w:after="0" w:line="480" w:lineRule="auto"/>
        <w:jc w:val="center"/>
        <w:rPr>
          <w:rFonts w:ascii="Times New Roman" w:eastAsia="Yu Gothic Light" w:hAnsi="Times New Roman" w:cs="Times New Roman"/>
          <w:b/>
          <w:bCs/>
          <w:color w:val="auto"/>
        </w:rPr>
      </w:pPr>
      <w:r w:rsidRPr="00421BC9">
        <w:rPr>
          <w:rFonts w:ascii="Times New Roman" w:eastAsia="Yu Gothic Light" w:hAnsi="Times New Roman" w:cs="Times New Roman"/>
          <w:b/>
          <w:bCs/>
          <w:color w:val="auto"/>
        </w:rPr>
        <w:t>Supplementary</w:t>
      </w:r>
      <w:r w:rsidRPr="00421BC9">
        <w:rPr>
          <w:rFonts w:ascii="Times New Roman" w:eastAsia="Yu Gothic Light" w:hAnsi="Times New Roman" w:cs="Times New Roman"/>
          <w:b/>
          <w:bCs/>
          <w:color w:val="auto"/>
        </w:rPr>
        <w:t xml:space="preserve"> information</w:t>
      </w:r>
    </w:p>
    <w:p w14:paraId="04F1EC67" w14:textId="77777777" w:rsidR="00421BC9" w:rsidRPr="00421BC9" w:rsidRDefault="00421BC9" w:rsidP="00421BC9">
      <w:pPr>
        <w:rPr>
          <w:lang w:val="nl-NL"/>
        </w:rPr>
      </w:pPr>
    </w:p>
    <w:p w14:paraId="0B222DE9" w14:textId="18591804" w:rsidR="00421BC9" w:rsidRDefault="00421BC9" w:rsidP="00421BC9">
      <w:pPr>
        <w:pStyle w:val="Caption"/>
        <w:spacing w:after="0" w:line="480" w:lineRule="auto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noProof/>
          <w:color w:val="auto"/>
          <w:sz w:val="22"/>
          <w:szCs w:val="22"/>
          <w14:ligatures w14:val="standardContextual"/>
        </w:rPr>
        <w:drawing>
          <wp:inline distT="0" distB="0" distL="0" distR="0" wp14:anchorId="2CFB065B" wp14:editId="6BF19B7C">
            <wp:extent cx="5750560" cy="2668016"/>
            <wp:effectExtent l="0" t="0" r="2540" b="0"/>
            <wp:docPr id="1077499005" name="Picture 1" descr="A graph of green bar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99005" name="Picture 1" descr="A graph of green bars and numbers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0560" cy="266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E4224" w14:textId="18157B26" w:rsidR="00421BC9" w:rsidRDefault="00421BC9" w:rsidP="00421BC9">
      <w:pPr>
        <w:pStyle w:val="Caption"/>
        <w:spacing w:after="0" w:line="480" w:lineRule="auto"/>
        <w:rPr>
          <w:rFonts w:ascii="Times New Roman" w:hAnsi="Times New Roman" w:cs="Times New Roman"/>
          <w:color w:val="auto"/>
          <w:sz w:val="22"/>
          <w:szCs w:val="22"/>
        </w:rPr>
      </w:pP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Supplementary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Fig. </w:t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t>Ranking of the reference genes tested for stability in RT-qPCR analysis.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6D3C63">
        <w:rPr>
          <w:rFonts w:ascii="Times New Roman" w:hAnsi="Times New Roman" w:cs="Times New Roman"/>
          <w:b/>
          <w:bCs/>
          <w:color w:val="auto"/>
          <w:sz w:val="22"/>
          <w:szCs w:val="22"/>
        </w:rPr>
        <w:t>A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nalysis was performed on 48h CM and RPMI control groups, </w:t>
      </w:r>
      <w:r w:rsidRPr="006D3C63">
        <w:rPr>
          <w:rFonts w:ascii="Times New Roman" w:hAnsi="Times New Roman" w:cs="Times New Roman"/>
          <w:b/>
          <w:bCs/>
          <w:color w:val="auto"/>
          <w:sz w:val="22"/>
          <w:szCs w:val="22"/>
        </w:rPr>
        <w:t>B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nalysis was performed on PF, </w:t>
      </w:r>
      <w:r>
        <w:rPr>
          <w:rFonts w:ascii="Times New Roman" w:hAnsi="Times New Roman" w:cs="Times New Roman"/>
          <w:color w:val="auto"/>
          <w:sz w:val="22"/>
          <w:szCs w:val="22"/>
        </w:rPr>
        <w:t>CE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>
        <w:rPr>
          <w:rFonts w:ascii="Times New Roman" w:hAnsi="Times New Roman" w:cs="Times New Roman"/>
          <w:color w:val="auto"/>
          <w:sz w:val="22"/>
          <w:szCs w:val="22"/>
        </w:rPr>
        <w:t>CE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+PF, </w:t>
      </w:r>
      <w:r>
        <w:rPr>
          <w:rFonts w:ascii="Times New Roman" w:hAnsi="Times New Roman" w:cs="Times New Roman"/>
          <w:color w:val="auto"/>
          <w:sz w:val="22"/>
          <w:szCs w:val="22"/>
        </w:rPr>
        <w:t>CE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2.5%, 24h CM and  RPMI control groups. N=3</w:t>
      </w:r>
    </w:p>
    <w:p w14:paraId="4B3D7430" w14:textId="6897EBF4" w:rsidR="00421BC9" w:rsidRPr="008C475C" w:rsidRDefault="00421BC9" w:rsidP="00421BC9">
      <w:pPr>
        <w:spacing w:before="0" w:after="0"/>
      </w:pPr>
      <w:r>
        <w:rPr>
          <w:noProof/>
        </w:rPr>
        <w:lastRenderedPageBreak/>
        <w:drawing>
          <wp:inline distT="0" distB="0" distL="0" distR="0" wp14:anchorId="2743EB93" wp14:editId="5D143993">
            <wp:extent cx="4834255" cy="5760720"/>
            <wp:effectExtent l="0" t="0" r="4445" b="0"/>
            <wp:docPr id="68918871" name="Picture 2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18871" name="Picture 2" descr="A screenshot of a graph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425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A39B9" w14:textId="77777777" w:rsidR="00421BC9" w:rsidRPr="002A20FD" w:rsidRDefault="00421BC9" w:rsidP="00421BC9">
      <w:pPr>
        <w:pStyle w:val="Caption"/>
        <w:spacing w:after="0" w:line="48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Fig. </w:t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fldChar w:fldCharType="begin"/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instrText xml:space="preserve"> SEQ Figure \* ARABIC </w:instrText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fldChar w:fldCharType="separate"/>
      </w:r>
      <w:r w:rsidRPr="008C475C">
        <w:rPr>
          <w:rFonts w:ascii="Times New Roman" w:hAnsi="Times New Roman" w:cs="Times New Roman"/>
          <w:b/>
          <w:bCs/>
          <w:noProof/>
          <w:color w:val="auto"/>
          <w:sz w:val="22"/>
          <w:szCs w:val="22"/>
        </w:rPr>
        <w:t>2</w:t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fldChar w:fldCharType="end"/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A comparison between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conditioned (24h CM)</w:t>
      </w:r>
      <w:r w:rsidRPr="00086CF4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media</w:t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that was produced directly from macrophages and also contained PFs shows minor difference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between cytokine-enriched</w:t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+ polarising factor media</w:t>
      </w:r>
      <w:r w:rsidRPr="008C475C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. </w:t>
      </w:r>
      <w:r w:rsidRPr="006D3C63">
        <w:rPr>
          <w:rFonts w:ascii="Times New Roman" w:hAnsi="Times New Roman" w:cs="Times New Roman"/>
          <w:b/>
          <w:bCs/>
          <w:color w:val="auto"/>
          <w:sz w:val="22"/>
          <w:szCs w:val="22"/>
        </w:rPr>
        <w:t>A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Percentage of tissue compaction at 24, 48 and 72 hours, tissues stimulated with M1, M2a, M2c 24h CM</w:t>
      </w:r>
      <w:r>
        <w:rPr>
          <w:rFonts w:ascii="Times New Roman" w:hAnsi="Times New Roman" w:cs="Times New Roman"/>
          <w:color w:val="auto"/>
          <w:sz w:val="22"/>
          <w:szCs w:val="22"/>
        </w:rPr>
        <w:t>, PF, 2.5% CE, 10% CE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and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CE+PF 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>medium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Pr="00CF3C91">
        <w:rPr>
          <w:rFonts w:ascii="Times New Roman" w:hAnsi="Times New Roman" w:cs="Times New Roman"/>
          <w:color w:val="auto"/>
          <w:sz w:val="22"/>
          <w:szCs w:val="22"/>
          <w:lang w:val="en-US"/>
        </w:rPr>
        <w:t>calculated using masking in green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. Statistical analysis was performed on 72h data. N=16-21 for each condition. </w:t>
      </w:r>
      <w:r w:rsidRPr="006D3C63">
        <w:rPr>
          <w:rFonts w:ascii="Times New Roman" w:hAnsi="Times New Roman" w:cs="Times New Roman"/>
          <w:b/>
          <w:bCs/>
          <w:color w:val="auto"/>
          <w:sz w:val="22"/>
          <w:szCs w:val="22"/>
        </w:rPr>
        <w:t>B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Gene expression profiles of fibroblasts in M1, M2a, M2c 24h CM</w:t>
      </w:r>
      <w:r>
        <w:rPr>
          <w:rFonts w:ascii="Times New Roman" w:hAnsi="Times New Roman" w:cs="Times New Roman"/>
          <w:color w:val="auto"/>
          <w:sz w:val="22"/>
          <w:szCs w:val="22"/>
        </w:rPr>
        <w:t>, PF, 2.5% CE, 10% CE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and </w:t>
      </w:r>
      <w:r>
        <w:rPr>
          <w:rFonts w:ascii="Times New Roman" w:hAnsi="Times New Roman" w:cs="Times New Roman"/>
          <w:color w:val="auto"/>
          <w:sz w:val="22"/>
          <w:szCs w:val="22"/>
        </w:rPr>
        <w:t>CE+PF</w:t>
      </w:r>
      <w:r w:rsidRPr="008C475C">
        <w:rPr>
          <w:rFonts w:ascii="Times New Roman" w:hAnsi="Times New Roman" w:cs="Times New Roman"/>
          <w:color w:val="auto"/>
          <w:sz w:val="22"/>
          <w:szCs w:val="22"/>
        </w:rPr>
        <w:t xml:space="preserve"> medium. Fold changes in relative expression of production, degradation and contraction related genes, compared to the RPMI control. N=3 for each condition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  <w:r w:rsidRPr="002A20FD">
        <w:rPr>
          <w:rFonts w:ascii="Times New Roman" w:hAnsi="Times New Roman" w:cs="Times New Roman"/>
          <w:color w:val="auto"/>
          <w:sz w:val="22"/>
          <w:szCs w:val="22"/>
        </w:rPr>
        <w:t>CE: Cytokine-enriched</w:t>
      </w:r>
      <w:r>
        <w:rPr>
          <w:rFonts w:ascii="Times New Roman" w:hAnsi="Times New Roman" w:cs="Times New Roman"/>
          <w:color w:val="auto"/>
          <w:sz w:val="22"/>
          <w:szCs w:val="22"/>
        </w:rPr>
        <w:t>, PF: Polarising Factors</w:t>
      </w:r>
    </w:p>
    <w:p w14:paraId="7269FC3A" w14:textId="77777777" w:rsidR="00421BC9" w:rsidRDefault="00421BC9" w:rsidP="00421BC9">
      <w:pPr>
        <w:keepNext/>
        <w:spacing w:before="0" w:after="0" w:line="480" w:lineRule="auto"/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</w:p>
    <w:p w14:paraId="6A065768" w14:textId="77777777" w:rsidR="00421BC9" w:rsidRDefault="00421BC9">
      <w:pPr>
        <w:spacing w:before="0" w:after="160"/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r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br w:type="page"/>
      </w:r>
    </w:p>
    <w:p w14:paraId="6C126055" w14:textId="43DC7997" w:rsidR="00421BC9" w:rsidRPr="00421BC9" w:rsidRDefault="00421BC9" w:rsidP="00421BC9">
      <w:pPr>
        <w:keepNext/>
        <w:spacing w:before="0" w:after="0" w:line="480" w:lineRule="auto"/>
        <w:rPr>
          <w:rFonts w:ascii="Times New Roman" w:eastAsia="Aptos" w:hAnsi="Times New Roman" w:cs="Times New Roman"/>
          <w:i/>
          <w:iCs/>
          <w:kern w:val="0"/>
          <w:sz w:val="18"/>
          <w:szCs w:val="18"/>
          <w14:ligatures w14:val="none"/>
        </w:rPr>
      </w:pP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lastRenderedPageBreak/>
        <w:t xml:space="preserve">Supplementary Table </w:t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fldChar w:fldCharType="begin"/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instrText xml:space="preserve"> SEQ Table \* ARABIC </w:instrText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fldChar w:fldCharType="separate"/>
      </w:r>
      <w:r w:rsidRPr="00421BC9">
        <w:rPr>
          <w:rFonts w:ascii="Times New Roman" w:eastAsia="Aptos" w:hAnsi="Times New Roman" w:cs="Times New Roman"/>
          <w:b/>
          <w:bCs/>
          <w:i/>
          <w:iCs/>
          <w:noProof/>
          <w:kern w:val="0"/>
          <w:sz w:val="18"/>
          <w:szCs w:val="18"/>
          <w14:ligatures w14:val="none"/>
        </w:rPr>
        <w:t>1</w:t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fldChar w:fldCharType="end"/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t>.</w:t>
      </w:r>
      <w:r w:rsidRPr="00421BC9">
        <w:rPr>
          <w:rFonts w:ascii="Times New Roman" w:eastAsia="Aptos" w:hAnsi="Times New Roman" w:cs="Times New Roman"/>
          <w:i/>
          <w:iCs/>
          <w:kern w:val="0"/>
          <w:sz w:val="18"/>
          <w:szCs w:val="18"/>
          <w14:ligatures w14:val="none"/>
        </w:rPr>
        <w:t xml:space="preserve"> Protein secretion profiles of polarized macrophages (M1, M2a, M2c) after 24 and 48 hours, measured using Multiplex ELISA. N=3</w:t>
      </w:r>
    </w:p>
    <w:tbl>
      <w:tblPr>
        <w:tblW w:w="1410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077"/>
        <w:gridCol w:w="966"/>
        <w:gridCol w:w="1020"/>
        <w:gridCol w:w="1066"/>
        <w:gridCol w:w="1020"/>
        <w:gridCol w:w="1134"/>
        <w:gridCol w:w="1191"/>
        <w:gridCol w:w="1077"/>
        <w:gridCol w:w="1134"/>
        <w:gridCol w:w="1077"/>
        <w:gridCol w:w="1020"/>
        <w:gridCol w:w="1020"/>
      </w:tblGrid>
      <w:tr w:rsidR="00421BC9" w:rsidRPr="00421BC9" w14:paraId="14E6CF53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80685D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D49E87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IFNg (53)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768092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IL4 (34)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33000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IL13 (39)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89583A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IL10 (37)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E89FD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IL12 (38)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48025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TGFb (58)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A8DE51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MCP1 (54)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09BAE4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IFNg (53)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7AAA3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TNFa (60)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FE115E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IL1b (12)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912773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IL8 (212)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475591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IL18 (29)</w:t>
            </w:r>
          </w:p>
        </w:tc>
      </w:tr>
      <w:tr w:rsidR="00421BC9" w:rsidRPr="00421BC9" w14:paraId="2D6EF087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5AC571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Description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F956F6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2DEE9A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B5960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6D49BB3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0A05F6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781F2C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250BC6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E58274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E7147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A0A403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64DCC3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A0B5E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pg/ml</w:t>
            </w:r>
          </w:p>
        </w:tc>
      </w:tr>
      <w:tr w:rsidR="00421BC9" w:rsidRPr="00421BC9" w14:paraId="73B56C2C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40E38D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M1 24h (1)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0A6989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238E3E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1,13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8CB35F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3,35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4FCA124C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4,69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2CDA7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5,46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C507B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EC5586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DC993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EDD4B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*9576,51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F06BAF0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1330,15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03E5B1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3392E6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401,84</w:t>
            </w:r>
          </w:p>
        </w:tc>
      </w:tr>
      <w:tr w:rsidR="00421BC9" w:rsidRPr="00421BC9" w14:paraId="2B81A05A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203C4E8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M1 24h (2)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5A5A19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E3414B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F0C6111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4,71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38F48AD0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3,81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7E2BE6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6,21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66E45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552592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*89730,46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33444C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3F64E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*9895,19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60FC1D3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606,20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8B7A7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2E52323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311,83</w:t>
            </w:r>
          </w:p>
        </w:tc>
      </w:tr>
      <w:tr w:rsidR="00421BC9" w:rsidRPr="00421BC9" w14:paraId="2AB1FA3D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6F15DBD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M1 24h (3)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4A5D94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98C51E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1,30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72FDD98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3,70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6254EAA8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3,64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BB121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4,86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B1B4C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171079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83D08C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862A08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*10683,06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E07653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588,85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C3204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B97B0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303,82</w:t>
            </w:r>
          </w:p>
        </w:tc>
      </w:tr>
      <w:tr w:rsidR="00421BC9" w:rsidRPr="00421BC9" w14:paraId="08F0375F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8D9B43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M1 48h (1)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2E2F1A7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494,67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775D676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*0,63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556105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61BF00E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916E9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*3,24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4C48D6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6461,19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692F33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*11199,97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E8944AB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494,67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1C3D1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11,36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D60ADE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39,78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FCCEF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D9BB15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18,02</w:t>
            </w:r>
          </w:p>
        </w:tc>
      </w:tr>
      <w:tr w:rsidR="00421BC9" w:rsidRPr="00421BC9" w14:paraId="7A06F869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288F14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M1 48h (2)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A9D32B8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823,19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BAF955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*0,51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00E293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1,46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F01158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A43DF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*0,42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E985EB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7457,11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3C35EC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*13054,81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917493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823,19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61804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19,28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083ED5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33,31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03483C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9B1834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19,16</w:t>
            </w:r>
          </w:p>
        </w:tc>
      </w:tr>
      <w:tr w:rsidR="00421BC9" w:rsidRPr="00421BC9" w14:paraId="5FA97656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874D35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M1 48h (3)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4DDCDD6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873,48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C2E5AF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*0,25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9658A5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277994DC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50808D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*2,39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160B01C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8449,18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5510B0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*61459,10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11FB6F9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873,48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8BB3C3C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19,42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202921B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34,03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7ABD42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5F69471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  <w:t>20,49</w:t>
            </w:r>
          </w:p>
        </w:tc>
      </w:tr>
      <w:tr w:rsidR="00421BC9" w:rsidRPr="00421BC9" w14:paraId="164EA28A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032D9F6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849FEC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9C0CF0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4D2EDC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7AF8459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91A73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C837C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B0FB3FD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478D8D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23612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75420F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180815C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EF8F0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1BC9" w:rsidRPr="00421BC9" w14:paraId="5299F315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1BE34F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M2A 24h (1)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901CCD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51CB61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*4874,86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982639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A33DD38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2BA71C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*2,12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AACCBC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47D170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160,20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DEA148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2271D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C75DCB6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6,03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0A0EDE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626,62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8D3DB89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14,67</w:t>
            </w:r>
          </w:p>
        </w:tc>
      </w:tr>
      <w:tr w:rsidR="00421BC9" w:rsidRPr="00421BC9" w14:paraId="124DEE80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770F3E1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M2A 24h (2)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ECD49C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493257D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*4803,68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C1204F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3A55B91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5ABACFD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*1,08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180768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5054,93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2E0DBA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539,70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7584CD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88E1D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B4E0BF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8,99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C2D8C6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5908,84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6FE917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19,03</w:t>
            </w:r>
          </w:p>
        </w:tc>
      </w:tr>
      <w:tr w:rsidR="00421BC9" w:rsidRPr="00421BC9" w14:paraId="7DD0863D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2C3617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M2A 24h (3)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C7FF31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39CBA4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*4722,48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A30D3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03F8FA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7730B8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*1,23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94D30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4915,70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C70365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653,16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7E090A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1923B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87CECCB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9,15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94E72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73F6D0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20,81</w:t>
            </w:r>
          </w:p>
        </w:tc>
      </w:tr>
      <w:tr w:rsidR="00421BC9" w:rsidRPr="00421BC9" w14:paraId="7189D9E7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43BADBF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M2A 48h (1)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294FAF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86D32C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378,34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418369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551,58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1C5B36CD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*0,86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52206D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*1,94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B2DA27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5207,09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F67DB0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553,25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E4A01E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38699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736A74F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2,28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BD4E0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638,49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768261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7,27</w:t>
            </w:r>
          </w:p>
        </w:tc>
      </w:tr>
      <w:tr w:rsidR="00421BC9" w:rsidRPr="00421BC9" w14:paraId="79DD6864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507970D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M2A 48h (2)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DEC01E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2114A5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465,03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C5EB70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764,46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489FD72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2,77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70D4CE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*1,34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4B348C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5225,48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42BAC6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838,56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A8211E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F5E25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5F94DD8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1,28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82C255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447,40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0A08A11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4,43</w:t>
            </w:r>
          </w:p>
        </w:tc>
      </w:tr>
      <w:tr w:rsidR="00421BC9" w:rsidRPr="00421BC9" w14:paraId="39329328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DFAC9B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M2A 48h (3)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918BE2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543CE1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431,95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546F040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877,73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7D7B8630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2,52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6D7CF7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3E8443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5703,41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964C021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920,31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92B77E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A3781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142D369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1,90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BB540CF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482,96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83FAA0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5,17</w:t>
            </w:r>
          </w:p>
        </w:tc>
      </w:tr>
      <w:tr w:rsidR="00421BC9" w:rsidRPr="00421BC9" w14:paraId="077B1ABB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644446DC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A5F644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895CE88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62104BC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BBF652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98869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7077F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BB73D8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FBF8AF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428D9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E3F3A6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AB0DCC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E13C50B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21BC9" w:rsidRPr="00421BC9" w14:paraId="1685FD43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8BD226C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M2C 24h (1)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ADE3C5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2ABD8470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38E845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4D770A2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1999,14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CCE47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*1,60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6482F7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&gt;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8011553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17,80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C9BD19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C46FC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B015B7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4,61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E1DEDB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585,92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D349D5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14,67</w:t>
            </w:r>
          </w:p>
        </w:tc>
      </w:tr>
      <w:tr w:rsidR="00421BC9" w:rsidRPr="00421BC9" w14:paraId="1F2A3A0B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D51AC3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M2C 24h (2)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148684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41D59C19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1,03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AD25448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31F828E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3627,82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45B1C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*2,50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4C12DC7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5207,40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205FE0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59,96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AEEA74E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9562F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E022226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2E5012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1011,47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669AD4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6,47</w:t>
            </w:r>
          </w:p>
        </w:tc>
      </w:tr>
      <w:tr w:rsidR="00421BC9" w:rsidRPr="00421BC9" w14:paraId="532DD039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32016E0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M2C 24h (3)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BE68E3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56EB5429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1,08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0883E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6ABA35E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*13592,78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B29CBD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*0,56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33AC8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5617,59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06E2417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126,92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C6B3B8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D88F1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6F5C51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4,97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D97358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1326,01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EDA05C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7,36</w:t>
            </w:r>
          </w:p>
        </w:tc>
      </w:tr>
      <w:tr w:rsidR="00421BC9" w:rsidRPr="00421BC9" w14:paraId="2A2D3420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F99FCA4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M2C 48h (1)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17DE290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056996F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D2384F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21C704B8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75,17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B0CCE6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*1,01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5570ACD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4152,35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7463C1A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17,88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C7CA54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DDB451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85B5641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3,10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08B264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999,85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FB0515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11,46</w:t>
            </w:r>
          </w:p>
        </w:tc>
      </w:tr>
      <w:tr w:rsidR="00421BC9" w:rsidRPr="00421BC9" w14:paraId="73620F8B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23357EF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M2C 48h (2)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654FE0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15A16D9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0,84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F7068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5BC2A230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163,27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4D50558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*1,38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3AEF1E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4887,06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EF405D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21,50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29044C6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AB2099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70E37B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1,65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77B5E49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495,51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2DD0053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5,68</w:t>
            </w:r>
          </w:p>
        </w:tc>
      </w:tr>
      <w:tr w:rsidR="00421BC9" w:rsidRPr="00421BC9" w14:paraId="2C9E4397" w14:textId="77777777" w:rsidTr="00060C00">
        <w:trPr>
          <w:trHeight w:val="290"/>
        </w:trPr>
        <w:tc>
          <w:tcPr>
            <w:tcW w:w="1304" w:type="dxa"/>
            <w:shd w:val="clear" w:color="auto" w:fill="auto"/>
            <w:noWrap/>
            <w:vAlign w:val="bottom"/>
            <w:hideMark/>
          </w:tcPr>
          <w:p w14:paraId="13FB4BD3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M2C 48h (3)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A989FA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966" w:type="dxa"/>
            <w:shd w:val="clear" w:color="auto" w:fill="auto"/>
            <w:noWrap/>
            <w:vAlign w:val="bottom"/>
            <w:hideMark/>
          </w:tcPr>
          <w:p w14:paraId="3C321792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0,94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BF1B9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66" w:type="dxa"/>
            <w:shd w:val="clear" w:color="auto" w:fill="auto"/>
            <w:noWrap/>
            <w:vAlign w:val="bottom"/>
            <w:hideMark/>
          </w:tcPr>
          <w:p w14:paraId="0691A096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492,81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CA473A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*1,90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1B4068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5300,47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282A26F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29,11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89E4F32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5106F5" w14:textId="77777777" w:rsidR="00421BC9" w:rsidRPr="00421BC9" w:rsidRDefault="00421BC9" w:rsidP="00421BC9">
            <w:pPr>
              <w:spacing w:before="0" w:after="0" w:line="48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OOR &lt;</w:t>
            </w:r>
          </w:p>
        </w:tc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B84BE05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2,15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E7A9791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524,20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154FAB" w14:textId="77777777" w:rsidR="00421BC9" w:rsidRPr="00421BC9" w:rsidRDefault="00421BC9" w:rsidP="00421BC9">
            <w:pPr>
              <w:spacing w:before="0" w:after="0" w:line="48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21BC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6,43</w:t>
            </w:r>
          </w:p>
        </w:tc>
      </w:tr>
    </w:tbl>
    <w:p w14:paraId="4E93C3FB" w14:textId="77777777" w:rsidR="00421BC9" w:rsidRPr="00421BC9" w:rsidRDefault="00421BC9" w:rsidP="00421BC9">
      <w:pPr>
        <w:spacing w:line="480" w:lineRule="auto"/>
        <w:rPr>
          <w:rFonts w:ascii="Times New Roman" w:eastAsia="Aptos" w:hAnsi="Times New Roman" w:cs="Times New Roman"/>
        </w:rPr>
      </w:pPr>
    </w:p>
    <w:p w14:paraId="15D26301" w14:textId="77777777" w:rsidR="00421BC9" w:rsidRPr="00421BC9" w:rsidRDefault="00421BC9" w:rsidP="00421BC9">
      <w:pPr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</w:pPr>
      <w:r w:rsidRPr="00421BC9">
        <w:rPr>
          <w:rFonts w:ascii="Times New Roman" w:eastAsia="Aptos" w:hAnsi="Times New Roman" w:cs="Times New Roman"/>
          <w:b/>
          <w:bCs/>
        </w:rPr>
        <w:br w:type="page"/>
      </w:r>
    </w:p>
    <w:p w14:paraId="432CE9A4" w14:textId="77777777" w:rsidR="00421BC9" w:rsidRPr="00421BC9" w:rsidRDefault="00421BC9" w:rsidP="00421BC9">
      <w:pPr>
        <w:keepNext/>
        <w:spacing w:before="0" w:after="0" w:line="480" w:lineRule="auto"/>
        <w:rPr>
          <w:rFonts w:ascii="Times New Roman" w:eastAsia="Aptos" w:hAnsi="Times New Roman" w:cs="Times New Roman"/>
          <w:i/>
          <w:iCs/>
          <w:kern w:val="0"/>
          <w:sz w:val="18"/>
          <w:szCs w:val="18"/>
          <w14:ligatures w14:val="none"/>
        </w:rPr>
      </w:pP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lastRenderedPageBreak/>
        <w:t xml:space="preserve">Supplementary Table </w:t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fldChar w:fldCharType="begin"/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instrText xml:space="preserve"> SEQ Table \* ARABIC </w:instrText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fldChar w:fldCharType="separate"/>
      </w:r>
      <w:r w:rsidRPr="00421BC9">
        <w:rPr>
          <w:rFonts w:ascii="Times New Roman" w:eastAsia="Aptos" w:hAnsi="Times New Roman" w:cs="Times New Roman"/>
          <w:b/>
          <w:bCs/>
          <w:i/>
          <w:iCs/>
          <w:noProof/>
          <w:kern w:val="0"/>
          <w:sz w:val="18"/>
          <w:szCs w:val="18"/>
          <w14:ligatures w14:val="none"/>
        </w:rPr>
        <w:t>2</w:t>
      </w:r>
      <w:r w:rsidRPr="00421BC9">
        <w:rPr>
          <w:rFonts w:ascii="Times New Roman" w:eastAsia="Aptos" w:hAnsi="Times New Roman" w:cs="Times New Roman"/>
          <w:b/>
          <w:bCs/>
          <w:i/>
          <w:iCs/>
          <w:kern w:val="0"/>
          <w:sz w:val="18"/>
          <w:szCs w:val="18"/>
          <w14:ligatures w14:val="none"/>
        </w:rPr>
        <w:fldChar w:fldCharType="end"/>
      </w:r>
      <w:r w:rsidRPr="00421BC9">
        <w:rPr>
          <w:rFonts w:ascii="Times New Roman" w:eastAsia="Aptos" w:hAnsi="Times New Roman" w:cs="Times New Roman"/>
          <w:i/>
          <w:iCs/>
          <w:kern w:val="0"/>
          <w:sz w:val="18"/>
          <w:szCs w:val="18"/>
          <w14:ligatures w14:val="none"/>
        </w:rPr>
        <w:t>. Upper and lower cut-off values of multiplex ELISA measurements</w:t>
      </w:r>
    </w:p>
    <w:tbl>
      <w:tblPr>
        <w:tblStyle w:val="TableGrid"/>
        <w:tblW w:w="9298" w:type="dxa"/>
        <w:tblLook w:val="04A0" w:firstRow="1" w:lastRow="0" w:firstColumn="1" w:lastColumn="0" w:noHBand="0" w:noVBand="1"/>
      </w:tblPr>
      <w:tblGrid>
        <w:gridCol w:w="3389"/>
        <w:gridCol w:w="1102"/>
        <w:gridCol w:w="4807"/>
      </w:tblGrid>
      <w:tr w:rsidR="00421BC9" w:rsidRPr="00421BC9" w14:paraId="4047C65D" w14:textId="77777777" w:rsidTr="00060C00">
        <w:tc>
          <w:tcPr>
            <w:tcW w:w="3389" w:type="dxa"/>
          </w:tcPr>
          <w:p w14:paraId="2D0C0EF9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>Protein</w:t>
            </w:r>
          </w:p>
        </w:tc>
        <w:tc>
          <w:tcPr>
            <w:tcW w:w="1102" w:type="dxa"/>
          </w:tcPr>
          <w:p w14:paraId="42A72A7E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>Symbol</w:t>
            </w:r>
          </w:p>
        </w:tc>
        <w:tc>
          <w:tcPr>
            <w:tcW w:w="4807" w:type="dxa"/>
          </w:tcPr>
          <w:p w14:paraId="2215FAEB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>ELISA cut-off values (pg/mL)</w:t>
            </w:r>
          </w:p>
        </w:tc>
      </w:tr>
      <w:tr w:rsidR="00421BC9" w:rsidRPr="00421BC9" w14:paraId="214BA2B9" w14:textId="77777777" w:rsidTr="00060C00">
        <w:tc>
          <w:tcPr>
            <w:tcW w:w="3389" w:type="dxa"/>
          </w:tcPr>
          <w:p w14:paraId="1C91B215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Monocyte chemoattractant protein 1</w:t>
            </w:r>
          </w:p>
        </w:tc>
        <w:tc>
          <w:tcPr>
            <w:tcW w:w="1102" w:type="dxa"/>
          </w:tcPr>
          <w:p w14:paraId="1C69905F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MCP-1</w:t>
            </w:r>
          </w:p>
        </w:tc>
        <w:tc>
          <w:tcPr>
            <w:tcW w:w="4807" w:type="dxa"/>
          </w:tcPr>
          <w:p w14:paraId="18D43D98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0,973 - 4844,687</w:t>
            </w:r>
          </w:p>
        </w:tc>
      </w:tr>
      <w:tr w:rsidR="00421BC9" w:rsidRPr="00421BC9" w14:paraId="6706A138" w14:textId="77777777" w:rsidTr="00060C00">
        <w:tc>
          <w:tcPr>
            <w:tcW w:w="3389" w:type="dxa"/>
          </w:tcPr>
          <w:p w14:paraId="6DAE5704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Interferon gamma</w:t>
            </w:r>
          </w:p>
        </w:tc>
        <w:tc>
          <w:tcPr>
            <w:tcW w:w="1102" w:type="dxa"/>
          </w:tcPr>
          <w:p w14:paraId="544D1D0D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IFN-γ</w:t>
            </w:r>
          </w:p>
        </w:tc>
        <w:tc>
          <w:tcPr>
            <w:tcW w:w="4807" w:type="dxa"/>
          </w:tcPr>
          <w:p w14:paraId="2D606B71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10,662  - 9999,949</w:t>
            </w:r>
          </w:p>
        </w:tc>
      </w:tr>
      <w:tr w:rsidR="00421BC9" w:rsidRPr="00421BC9" w14:paraId="6AE53BFF" w14:textId="77777777" w:rsidTr="00060C00">
        <w:tc>
          <w:tcPr>
            <w:tcW w:w="3389" w:type="dxa"/>
          </w:tcPr>
          <w:p w14:paraId="0463D304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Tumor necrosis factor alpha</w:t>
            </w:r>
          </w:p>
        </w:tc>
        <w:tc>
          <w:tcPr>
            <w:tcW w:w="1102" w:type="dxa"/>
          </w:tcPr>
          <w:p w14:paraId="04A2E2A0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TNF-α</w:t>
            </w:r>
          </w:p>
        </w:tc>
        <w:tc>
          <w:tcPr>
            <w:tcW w:w="4807" w:type="dxa"/>
          </w:tcPr>
          <w:p w14:paraId="77DCC101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1,392  - 4978,677</w:t>
            </w:r>
          </w:p>
        </w:tc>
      </w:tr>
      <w:tr w:rsidR="00421BC9" w:rsidRPr="00421BC9" w14:paraId="4DBCC0F9" w14:textId="77777777" w:rsidTr="00060C00">
        <w:tc>
          <w:tcPr>
            <w:tcW w:w="3389" w:type="dxa"/>
          </w:tcPr>
          <w:p w14:paraId="773B908E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Interleukin 1 beta</w:t>
            </w:r>
          </w:p>
        </w:tc>
        <w:tc>
          <w:tcPr>
            <w:tcW w:w="1102" w:type="dxa"/>
          </w:tcPr>
          <w:p w14:paraId="43259F95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IL-1β</w:t>
            </w:r>
          </w:p>
        </w:tc>
        <w:tc>
          <w:tcPr>
            <w:tcW w:w="4807" w:type="dxa"/>
          </w:tcPr>
          <w:p w14:paraId="1567E4AF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1,190  - 4997,159</w:t>
            </w:r>
          </w:p>
        </w:tc>
      </w:tr>
      <w:tr w:rsidR="00421BC9" w:rsidRPr="00421BC9" w14:paraId="62994DF1" w14:textId="77777777" w:rsidTr="00060C00">
        <w:tc>
          <w:tcPr>
            <w:tcW w:w="3389" w:type="dxa"/>
          </w:tcPr>
          <w:p w14:paraId="5D440186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Interleukin 4</w:t>
            </w:r>
          </w:p>
        </w:tc>
        <w:tc>
          <w:tcPr>
            <w:tcW w:w="1102" w:type="dxa"/>
          </w:tcPr>
          <w:p w14:paraId="14FB4F31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IL-4</w:t>
            </w:r>
          </w:p>
        </w:tc>
        <w:tc>
          <w:tcPr>
            <w:tcW w:w="4807" w:type="dxa"/>
          </w:tcPr>
          <w:p w14:paraId="0819D8A8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0,659   - 2421,576  </w:t>
            </w:r>
          </w:p>
        </w:tc>
      </w:tr>
      <w:tr w:rsidR="00421BC9" w:rsidRPr="00421BC9" w14:paraId="2CCB3FCE" w14:textId="77777777" w:rsidTr="00060C00">
        <w:tc>
          <w:tcPr>
            <w:tcW w:w="3389" w:type="dxa"/>
          </w:tcPr>
          <w:p w14:paraId="2E4FF722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Interleukin 8</w:t>
            </w:r>
          </w:p>
        </w:tc>
        <w:tc>
          <w:tcPr>
            <w:tcW w:w="1102" w:type="dxa"/>
          </w:tcPr>
          <w:p w14:paraId="4CC8B25C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IL-8</w:t>
            </w:r>
          </w:p>
        </w:tc>
        <w:tc>
          <w:tcPr>
            <w:tcW w:w="4807" w:type="dxa"/>
          </w:tcPr>
          <w:p w14:paraId="4A6F598C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4,555   - 13636,916</w:t>
            </w:r>
          </w:p>
        </w:tc>
      </w:tr>
      <w:tr w:rsidR="00421BC9" w:rsidRPr="00421BC9" w14:paraId="6B308CB0" w14:textId="77777777" w:rsidTr="00060C00">
        <w:tc>
          <w:tcPr>
            <w:tcW w:w="3389" w:type="dxa"/>
          </w:tcPr>
          <w:p w14:paraId="0C5B838D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Interleukin 10</w:t>
            </w:r>
          </w:p>
        </w:tc>
        <w:tc>
          <w:tcPr>
            <w:tcW w:w="1102" w:type="dxa"/>
          </w:tcPr>
          <w:p w14:paraId="2DD2772A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IL-10</w:t>
            </w:r>
          </w:p>
        </w:tc>
        <w:tc>
          <w:tcPr>
            <w:tcW w:w="4807" w:type="dxa"/>
          </w:tcPr>
          <w:p w14:paraId="7E324FE9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2,043  - 10405,870</w:t>
            </w:r>
          </w:p>
        </w:tc>
      </w:tr>
      <w:tr w:rsidR="00421BC9" w:rsidRPr="00421BC9" w14:paraId="3925DEA8" w14:textId="77777777" w:rsidTr="00060C00">
        <w:tc>
          <w:tcPr>
            <w:tcW w:w="3389" w:type="dxa"/>
          </w:tcPr>
          <w:p w14:paraId="40921D45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Interleukin 12 p70</w:t>
            </w:r>
          </w:p>
        </w:tc>
        <w:tc>
          <w:tcPr>
            <w:tcW w:w="1102" w:type="dxa"/>
          </w:tcPr>
          <w:p w14:paraId="4079B81C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IL-12 p70</w:t>
            </w:r>
          </w:p>
        </w:tc>
        <w:tc>
          <w:tcPr>
            <w:tcW w:w="4807" w:type="dxa"/>
          </w:tcPr>
          <w:p w14:paraId="1898CE0F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4,668  - 20067, 926  </w:t>
            </w:r>
          </w:p>
        </w:tc>
      </w:tr>
      <w:tr w:rsidR="00421BC9" w:rsidRPr="00421BC9" w14:paraId="4A5B8C11" w14:textId="77777777" w:rsidTr="00060C00">
        <w:tc>
          <w:tcPr>
            <w:tcW w:w="3389" w:type="dxa"/>
          </w:tcPr>
          <w:p w14:paraId="7CDB9843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Interleukin 13</w:t>
            </w:r>
          </w:p>
        </w:tc>
        <w:tc>
          <w:tcPr>
            <w:tcW w:w="1102" w:type="dxa"/>
          </w:tcPr>
          <w:p w14:paraId="0F6D3C40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IL-13</w:t>
            </w:r>
          </w:p>
        </w:tc>
        <w:tc>
          <w:tcPr>
            <w:tcW w:w="4807" w:type="dxa"/>
          </w:tcPr>
          <w:p w14:paraId="6CAD2B1B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1,176  - 4996,382</w:t>
            </w:r>
          </w:p>
        </w:tc>
      </w:tr>
      <w:tr w:rsidR="00421BC9" w:rsidRPr="00421BC9" w14:paraId="35F64E29" w14:textId="77777777" w:rsidTr="00060C00">
        <w:tc>
          <w:tcPr>
            <w:tcW w:w="3389" w:type="dxa"/>
          </w:tcPr>
          <w:p w14:paraId="35193953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Interleukin 18</w:t>
            </w:r>
          </w:p>
        </w:tc>
        <w:tc>
          <w:tcPr>
            <w:tcW w:w="1102" w:type="dxa"/>
          </w:tcPr>
          <w:p w14:paraId="23B8F421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IL-18</w:t>
            </w:r>
          </w:p>
        </w:tc>
        <w:tc>
          <w:tcPr>
            <w:tcW w:w="4807" w:type="dxa"/>
          </w:tcPr>
          <w:p w14:paraId="097A5AB4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1,193   - 5006,347</w:t>
            </w:r>
          </w:p>
        </w:tc>
      </w:tr>
      <w:tr w:rsidR="00421BC9" w:rsidRPr="00421BC9" w14:paraId="234778A8" w14:textId="77777777" w:rsidTr="00060C00">
        <w:tc>
          <w:tcPr>
            <w:tcW w:w="3389" w:type="dxa"/>
          </w:tcPr>
          <w:p w14:paraId="45213929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Transforming growth factor beta 1</w:t>
            </w:r>
          </w:p>
        </w:tc>
        <w:tc>
          <w:tcPr>
            <w:tcW w:w="1102" w:type="dxa"/>
          </w:tcPr>
          <w:p w14:paraId="269AB190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TGF-β1</w:t>
            </w:r>
          </w:p>
        </w:tc>
        <w:tc>
          <w:tcPr>
            <w:tcW w:w="4807" w:type="dxa"/>
          </w:tcPr>
          <w:p w14:paraId="179AA8B9" w14:textId="77777777" w:rsidR="00421BC9" w:rsidRPr="00421BC9" w:rsidRDefault="00421BC9" w:rsidP="00421BC9">
            <w:pPr>
              <w:spacing w:before="0" w:line="48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421BC9">
              <w:rPr>
                <w:rFonts w:ascii="Times New Roman" w:eastAsia="Aptos" w:hAnsi="Times New Roman" w:cs="Times New Roman"/>
                <w:sz w:val="20"/>
                <w:szCs w:val="20"/>
              </w:rPr>
              <w:t>1,526   - 9998,818</w:t>
            </w:r>
          </w:p>
        </w:tc>
      </w:tr>
    </w:tbl>
    <w:p w14:paraId="09AE0B7D" w14:textId="77777777" w:rsidR="00E77F7C" w:rsidRPr="00421BC9" w:rsidRDefault="00E77F7C" w:rsidP="00421BC9"/>
    <w:sectPr w:rsidR="00E77F7C" w:rsidRPr="00421BC9" w:rsidSect="00731E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BC9"/>
    <w:rsid w:val="00421BC9"/>
    <w:rsid w:val="00731E5F"/>
    <w:rsid w:val="007A32DF"/>
    <w:rsid w:val="00894CDC"/>
    <w:rsid w:val="00E77F7C"/>
    <w:rsid w:val="00FB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30F967"/>
  <w15:chartTrackingRefBased/>
  <w15:docId w15:val="{34E7A3BA-5749-4AEA-9FE3-BE3BF0637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BC9"/>
    <w:pPr>
      <w:spacing w:before="360" w:after="80"/>
    </w:pPr>
    <w:rPr>
      <w:rFonts w:asciiTheme="minorHAnsi" w:hAnsiTheme="minorHAnsi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BC9"/>
    <w:pPr>
      <w:keepNext/>
      <w:keepLines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nl-N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BC9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l-N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BC9"/>
    <w:pPr>
      <w:keepNext/>
      <w:keepLines/>
      <w:spacing w:before="160"/>
      <w:outlineLvl w:val="2"/>
    </w:pPr>
    <w:rPr>
      <w:rFonts w:eastAsiaTheme="majorEastAsia" w:cstheme="majorBidi"/>
      <w:color w:val="2E74B5" w:themeColor="accent1" w:themeShade="BF"/>
      <w:sz w:val="28"/>
      <w:szCs w:val="28"/>
      <w:lang w:val="nl-N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lang w:val="nl-N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BC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lang w:val="nl-N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nl-N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nl-N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BC9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  <w:lang w:val="nl-N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BC9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BC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B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BC9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BC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BC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BC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BC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BC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BC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BC9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TitleChar">
    <w:name w:val="Title Char"/>
    <w:basedOn w:val="DefaultParagraphFont"/>
    <w:link w:val="Title"/>
    <w:uiPriority w:val="10"/>
    <w:rsid w:val="00421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BC9"/>
    <w:pPr>
      <w:numPr>
        <w:ilvl w:val="1"/>
      </w:numPr>
      <w:spacing w:before="0"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character" w:customStyle="1" w:styleId="SubtitleChar">
    <w:name w:val="Subtitle Char"/>
    <w:basedOn w:val="DefaultParagraphFont"/>
    <w:link w:val="Subtitle"/>
    <w:uiPriority w:val="11"/>
    <w:rsid w:val="00421BC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BC9"/>
    <w:pPr>
      <w:spacing w:before="160" w:after="160"/>
      <w:jc w:val="center"/>
    </w:pPr>
    <w:rPr>
      <w:rFonts w:ascii="Arial" w:hAnsi="Arial"/>
      <w:i/>
      <w:iCs/>
      <w:color w:val="404040" w:themeColor="text1" w:themeTint="BF"/>
      <w:lang w:val="nl-NL"/>
    </w:rPr>
  </w:style>
  <w:style w:type="character" w:customStyle="1" w:styleId="QuoteChar">
    <w:name w:val="Quote Char"/>
    <w:basedOn w:val="DefaultParagraphFont"/>
    <w:link w:val="Quote"/>
    <w:uiPriority w:val="29"/>
    <w:rsid w:val="00421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BC9"/>
    <w:pPr>
      <w:spacing w:before="0" w:after="160"/>
      <w:ind w:left="720"/>
      <w:contextualSpacing/>
    </w:pPr>
    <w:rPr>
      <w:rFonts w:ascii="Arial" w:hAnsi="Arial"/>
      <w:lang w:val="nl-NL"/>
    </w:rPr>
  </w:style>
  <w:style w:type="character" w:styleId="IntenseEmphasis">
    <w:name w:val="Intense Emphasis"/>
    <w:basedOn w:val="DefaultParagraphFont"/>
    <w:uiPriority w:val="21"/>
    <w:qFormat/>
    <w:rsid w:val="00421BC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BC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after="360"/>
      <w:ind w:left="864" w:right="864"/>
      <w:jc w:val="center"/>
    </w:pPr>
    <w:rPr>
      <w:rFonts w:ascii="Arial" w:hAnsi="Arial"/>
      <w:i/>
      <w:iCs/>
      <w:color w:val="2E74B5" w:themeColor="accent1" w:themeShade="BF"/>
      <w:lang w:val="nl-N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BC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BC9"/>
    <w:rPr>
      <w:b/>
      <w:bCs/>
      <w:smallCaps/>
      <w:color w:val="2E74B5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421BC9"/>
    <w:pPr>
      <w:spacing w:before="0" w:after="200" w:line="240" w:lineRule="auto"/>
    </w:pPr>
    <w:rPr>
      <w:rFonts w:ascii="Arial" w:hAnsi="Arial"/>
      <w:i/>
      <w:iCs/>
      <w:color w:val="44546A" w:themeColor="text2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39"/>
    <w:rsid w:val="00421B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Smits, Anthal</dc:creator>
  <cp:keywords/>
  <dc:description/>
  <cp:lastModifiedBy>Smits, Anthal</cp:lastModifiedBy>
  <cp:revision>2</cp:revision>
  <dcterms:created xsi:type="dcterms:W3CDTF">2025-05-23T10:02:00Z</dcterms:created>
  <dcterms:modified xsi:type="dcterms:W3CDTF">2025-05-23T10:10:00Z</dcterms:modified>
</cp:coreProperties>
</file>