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EAFA1" w14:textId="77777777" w:rsidR="00937D3E" w:rsidRDefault="00BB20B9" w:rsidP="00937D3E">
      <w:pPr>
        <w:rPr>
          <w:rFonts w:ascii="Times New Roman" w:hAnsi="Times New Roman" w:cs="Times New Roman"/>
          <w:lang w:val="en-GB"/>
        </w:rPr>
      </w:pPr>
      <w:r>
        <w:rPr>
          <w:rFonts w:ascii="Times New Roman" w:hAnsi="Times New Roman" w:cs="Times New Roman"/>
          <w:lang w:val="en-GB"/>
        </w:rPr>
        <w:t>Supplementary material</w:t>
      </w:r>
      <w:r w:rsidR="00937D3E">
        <w:rPr>
          <w:rFonts w:ascii="Times New Roman" w:hAnsi="Times New Roman" w:cs="Times New Roman"/>
          <w:lang w:val="en-GB"/>
        </w:rPr>
        <w:t xml:space="preserve"> 1.</w:t>
      </w:r>
    </w:p>
    <w:p w14:paraId="79648EAC" w14:textId="77777777" w:rsidR="00937D3E" w:rsidRDefault="00937D3E" w:rsidP="00937D3E">
      <w:pPr>
        <w:rPr>
          <w:rFonts w:ascii="Times New Roman" w:hAnsi="Times New Roman" w:cs="Times New Roman"/>
          <w:lang w:val="en-GB"/>
        </w:rPr>
      </w:pPr>
    </w:p>
    <w:p w14:paraId="21C25EDD" w14:textId="77777777" w:rsidR="00937D3E" w:rsidRDefault="00937D3E" w:rsidP="00937D3E">
      <w:pPr>
        <w:rPr>
          <w:rFonts w:ascii="Times New Roman" w:hAnsi="Times New Roman" w:cs="Times New Roman"/>
          <w:lang w:val="en-GB"/>
        </w:rPr>
      </w:pPr>
      <w:r>
        <w:rPr>
          <w:rFonts w:ascii="Times New Roman" w:hAnsi="Times New Roman" w:cs="Times New Roman"/>
          <w:lang w:val="en-GB"/>
        </w:rPr>
        <w:t>Detailed definitions</w:t>
      </w:r>
    </w:p>
    <w:p w14:paraId="38BDF9DC" w14:textId="77777777" w:rsidR="00937D3E" w:rsidRDefault="00937D3E" w:rsidP="00937D3E">
      <w:pPr>
        <w:rPr>
          <w:rFonts w:ascii="Times New Roman" w:hAnsi="Times New Roman" w:cs="Times New Roman"/>
          <w:lang w:val="en-GB"/>
        </w:rPr>
      </w:pPr>
    </w:p>
    <w:p w14:paraId="6B2741E3" w14:textId="77777777" w:rsidR="00937D3E" w:rsidRPr="00ED72EA" w:rsidRDefault="00937D3E" w:rsidP="00937D3E">
      <w:pPr>
        <w:spacing w:line="480" w:lineRule="auto"/>
        <w:rPr>
          <w:rFonts w:ascii="Times New Roman" w:hAnsi="Times New Roman" w:cs="Times New Roman"/>
          <w:lang w:val="en-GB"/>
        </w:rPr>
      </w:pPr>
      <w:r w:rsidRPr="00ED72EA">
        <w:rPr>
          <w:rFonts w:ascii="Times New Roman" w:hAnsi="Times New Roman" w:cs="Times New Roman"/>
          <w:lang w:val="en-GB"/>
        </w:rPr>
        <w:t xml:space="preserve">An episode was defined as a clinical situation in </w:t>
      </w:r>
      <w:r>
        <w:rPr>
          <w:rFonts w:ascii="Times New Roman" w:hAnsi="Times New Roman" w:cs="Times New Roman"/>
          <w:lang w:val="en-GB"/>
        </w:rPr>
        <w:t xml:space="preserve">which </w:t>
      </w:r>
      <w:r w:rsidRPr="00ED72EA">
        <w:rPr>
          <w:rFonts w:ascii="Times New Roman" w:hAnsi="Times New Roman" w:cs="Times New Roman"/>
          <w:lang w:val="en-GB"/>
        </w:rPr>
        <w:t xml:space="preserve">a patient </w:t>
      </w:r>
      <w:r>
        <w:rPr>
          <w:rFonts w:ascii="Times New Roman" w:hAnsi="Times New Roman" w:cs="Times New Roman"/>
          <w:lang w:val="en-GB"/>
        </w:rPr>
        <w:t xml:space="preserve">had </w:t>
      </w:r>
      <w:r w:rsidRPr="00ED72EA">
        <w:rPr>
          <w:rFonts w:ascii="Times New Roman" w:hAnsi="Times New Roman" w:cs="Times New Roman"/>
          <w:lang w:val="en-GB"/>
        </w:rPr>
        <w:t xml:space="preserve">MEFsB. </w:t>
      </w:r>
      <w:r>
        <w:rPr>
          <w:rFonts w:ascii="Times New Roman" w:hAnsi="Times New Roman" w:cs="Times New Roman"/>
          <w:lang w:val="en-GB"/>
        </w:rPr>
        <w:t>Growth of additional species in the blood culture was an exclusion criterion. The exception was a single blood culture bottle with growth of coagulase negative staphylococci. In cases of multiple positive cultures from different days, these were all included in the episode. However, an episode was terminated after 7 days of effective treatment. Thus, a single patient could have multiple episodes of MEFsB.</w:t>
      </w:r>
    </w:p>
    <w:p w14:paraId="5C17A0EB" w14:textId="77777777" w:rsidR="00937D3E" w:rsidRPr="00ED72EA" w:rsidRDefault="00937D3E" w:rsidP="00937D3E">
      <w:pPr>
        <w:spacing w:line="480" w:lineRule="auto"/>
        <w:rPr>
          <w:rFonts w:ascii="Times New Roman" w:eastAsia="Times New Roman" w:hAnsi="Times New Roman" w:cs="Times New Roman"/>
          <w:bCs/>
          <w:color w:val="000000"/>
          <w:lang w:val="en-GB"/>
        </w:rPr>
      </w:pPr>
      <w:r w:rsidRPr="00ED72EA">
        <w:rPr>
          <w:rFonts w:ascii="Times New Roman" w:eastAsia="Times New Roman" w:hAnsi="Times New Roman" w:cs="Times New Roman"/>
          <w:bCs/>
          <w:color w:val="000000"/>
          <w:lang w:val="en-GB"/>
        </w:rPr>
        <w:t xml:space="preserve">IE was defined using the modified Dukes criteria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2F4FFC22-F1BA-43FD-9B1F-CFF09CD1A1D9&lt;/uuid&gt;&lt;priority&gt;0&lt;/priority&gt;&lt;publications&gt;&lt;publication&gt;&lt;uuid&gt;41B0215F-873F-4AD2-8882-6728C0C5B9E4&lt;/uuid&gt;&lt;volume&gt;30&lt;/volume&gt;&lt;doi&gt;10.1086/313753&lt;/doi&gt;&lt;startpage&gt;633&lt;/startpage&gt;&lt;revision_date&gt;99199910131200000000222000&lt;/revision_date&gt;&lt;publication_date&gt;99200004001200000000220000&lt;/publication_date&gt;&lt;url&gt;http://eutils.ncbi.nlm.nih.gov/entrez/eutils/elink.fcgi?dbfrom=pubmed&amp;amp;id=10770721&amp;amp;retmode=ref&amp;amp;cmd=prlinks&lt;/url&gt;&lt;type&gt;400&lt;/type&gt;&lt;title&gt;Proposed modifications to the Duke criteria for the diagnosis of infective endocarditis.&lt;/title&gt;&lt;submission_date&gt;99199906231200000000222000&lt;/submission_date&gt;&lt;number&gt;4&lt;/number&gt;&lt;institution&gt;Department of Pediatrics, Duke University School of Medicine, Durham, NC 27710, USA. li000001@mc.duke.edu&lt;/institution&gt;&lt;subtype&gt;400&lt;/subtype&gt;&lt;endpage&gt;638&lt;/endpage&gt;&lt;bundle&gt;&lt;publication&gt;&lt;title&gt;Clinical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J&lt;/firstName&gt;&lt;middleNames&gt;S&lt;/middleNames&gt;&lt;lastName&gt;Li&lt;/lastName&gt;&lt;/author&gt;&lt;author&gt;&lt;firstName&gt;D&lt;/firstName&gt;&lt;middleNames&gt;J&lt;/middleNames&gt;&lt;lastName&gt;Sexton&lt;/lastName&gt;&lt;/author&gt;&lt;author&gt;&lt;firstName&gt;N&lt;/firstName&gt;&lt;lastName&gt;Mick&lt;/lastName&gt;&lt;/author&gt;&lt;author&gt;&lt;firstName&gt;R&lt;/firstName&gt;&lt;lastName&gt;Nettles&lt;/lastName&gt;&lt;/author&gt;&lt;author&gt;&lt;firstName&gt;V&lt;/firstName&gt;&lt;middleNames&gt;G&lt;/middleNames&gt;&lt;lastName&gt;Fowler&lt;/lastName&gt;&lt;/author&gt;&lt;author&gt;&lt;firstName&gt;T&lt;/firstName&gt;&lt;lastName&gt;Ryan&lt;/lastName&gt;&lt;/author&gt;&lt;author&gt;&lt;firstName&gt;T&lt;/firstName&gt;&lt;lastName&gt;Bashore&lt;/lastName&gt;&lt;/author&gt;&lt;author&gt;&lt;firstName&gt;G&lt;/firstName&gt;&lt;middleNames&gt;R&lt;/middleNames&gt;&lt;lastName&gt;Corey&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(1)</w:t>
      </w:r>
      <w:r w:rsidRPr="0085441D">
        <w:rPr>
          <w:rFonts w:ascii="Times New Roman" w:eastAsia="Times New Roman" w:hAnsi="Times New Roman" w:cs="Times New Roman"/>
          <w:bCs/>
          <w:color w:val="000000"/>
          <w:lang w:val="en-GB"/>
        </w:rPr>
        <w:fldChar w:fldCharType="end"/>
      </w:r>
      <w:r w:rsidRPr="0085441D">
        <w:rPr>
          <w:rFonts w:ascii="Times New Roman" w:eastAsia="Times New Roman" w:hAnsi="Times New Roman" w:cs="Times New Roman"/>
          <w:bCs/>
          <w:color w:val="000000"/>
          <w:lang w:val="en-GB"/>
        </w:rPr>
        <w:t>. Thus, to fulfil the major criterion, two blood</w:t>
      </w:r>
      <w:r w:rsidRPr="00ED72EA">
        <w:rPr>
          <w:rFonts w:ascii="Times New Roman" w:eastAsia="Times New Roman" w:hAnsi="Times New Roman" w:cs="Times New Roman"/>
          <w:bCs/>
          <w:color w:val="000000"/>
          <w:lang w:val="en-GB"/>
        </w:rPr>
        <w:t xml:space="preserve"> cultures with growth of </w:t>
      </w:r>
      <w:r w:rsidRPr="00ED72EA">
        <w:rPr>
          <w:rFonts w:ascii="Times New Roman" w:eastAsia="Times New Roman" w:hAnsi="Times New Roman" w:cs="Times New Roman"/>
          <w:bCs/>
          <w:i/>
          <w:color w:val="000000"/>
          <w:lang w:val="en-GB"/>
        </w:rPr>
        <w:t xml:space="preserve">E. faecalis </w:t>
      </w:r>
      <w:r w:rsidRPr="00ED72EA">
        <w:rPr>
          <w:rFonts w:ascii="Times New Roman" w:eastAsia="Times New Roman" w:hAnsi="Times New Roman" w:cs="Times New Roman"/>
          <w:bCs/>
          <w:color w:val="000000"/>
          <w:lang w:val="en-GB"/>
        </w:rPr>
        <w:t>was sufficient</w:t>
      </w:r>
      <w:r w:rsidRPr="00ED72EA">
        <w:rPr>
          <w:rFonts w:ascii="Times New Roman" w:eastAsia="Times New Roman" w:hAnsi="Times New Roman" w:cs="Times New Roman"/>
          <w:bCs/>
          <w:i/>
          <w:color w:val="000000"/>
          <w:lang w:val="en-GB"/>
        </w:rPr>
        <w:t xml:space="preserve"> </w:t>
      </w:r>
      <w:r w:rsidRPr="00ED72EA">
        <w:rPr>
          <w:rFonts w:ascii="Times New Roman" w:eastAsia="Times New Roman" w:hAnsi="Times New Roman" w:cs="Times New Roman"/>
          <w:bCs/>
          <w:color w:val="000000"/>
          <w:lang w:val="en-GB"/>
        </w:rPr>
        <w:t xml:space="preserve">only if the episode was not nosocomial and if there was no known focus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17ADCEA0-D25A-4603-BA63-8EB1CA456DDE&lt;/uuid&gt;&lt;priority&gt;1&lt;/priority&gt;&lt;publications&gt;&lt;publication&gt;&lt;uuid&gt;41B0215F-873F-4AD2-8882-6728C0C5B9E4&lt;/uuid&gt;&lt;volume&gt;30&lt;/volume&gt;&lt;doi&gt;10.1086/313753&lt;/doi&gt;&lt;startpage&gt;633&lt;/startpage&gt;&lt;revision_date&gt;99199910131200000000222000&lt;/revision_date&gt;&lt;publication_date&gt;99200004001200000000220000&lt;/publication_date&gt;&lt;url&gt;http://eutils.ncbi.nlm.nih.gov/entrez/eutils/elink.fcgi?dbfrom=pubmed&amp;amp;id=10770721&amp;amp;retmode=ref&amp;amp;cmd=prlinks&lt;/url&gt;&lt;type&gt;400&lt;/type&gt;&lt;title&gt;Proposed modifications to the Duke criteria for the diagnosis of infective endocarditis.&lt;/title&gt;&lt;submission_date&gt;99199906231200000000222000&lt;/submission_date&gt;&lt;number&gt;4&lt;/number&gt;&lt;institution&gt;Department of Pediatrics, Duke University School of Medicine, Durham, NC 27710, USA. li000001@mc.duke.edu&lt;/institution&gt;&lt;subtype&gt;400&lt;/subtype&gt;&lt;endpage&gt;638&lt;/endpage&gt;&lt;bundle&gt;&lt;publication&gt;&lt;title&gt;Clinical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J&lt;/firstName&gt;&lt;middleNames&gt;S&lt;/middleNames&gt;&lt;lastName&gt;Li&lt;/lastName&gt;&lt;/author&gt;&lt;author&gt;&lt;firstName&gt;D&lt;/firstName&gt;&lt;middleNames&gt;J&lt;/middleNames&gt;&lt;lastName&gt;Sexton&lt;/lastName&gt;&lt;/author&gt;&lt;author&gt;&lt;firstName&gt;N&lt;/firstName&gt;&lt;lastName&gt;Mick&lt;/lastName&gt;&lt;/author&gt;&lt;author&gt;&lt;firstName&gt;R&lt;/firstName&gt;&lt;lastName&gt;Nettles&lt;/lastName&gt;&lt;/author&gt;&lt;author&gt;&lt;firstName&gt;V&lt;/firstName&gt;&lt;middleNames&gt;G&lt;/middleNames&gt;&lt;lastName&gt;Fowler&lt;/lastName&gt;&lt;/author&gt;&lt;author&gt;&lt;firstName&gt;T&lt;/firstName&gt;&lt;lastName&gt;Ryan&lt;/lastName&gt;&lt;/author&gt;&lt;author&gt;&lt;firstName&gt;T&lt;/firstName&gt;&lt;lastName&gt;Bashore&lt;/lastName&gt;&lt;/author&gt;&lt;author&gt;&lt;firstName&gt;G&lt;/firstName&gt;&lt;middleNames&gt;R&lt;/middleNames&gt;&lt;lastName&gt;Corey&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(1)</w:t>
      </w:r>
      <w:r w:rsidRPr="0085441D">
        <w:rPr>
          <w:rFonts w:ascii="Times New Roman" w:eastAsia="Times New Roman" w:hAnsi="Times New Roman" w:cs="Times New Roman"/>
          <w:bCs/>
          <w:color w:val="000000"/>
          <w:lang w:val="en-GB"/>
        </w:rPr>
        <w:fldChar w:fldCharType="end"/>
      </w:r>
      <w:r w:rsidRPr="0085441D">
        <w:rPr>
          <w:rFonts w:ascii="Times New Roman" w:eastAsia="Times New Roman" w:hAnsi="Times New Roman" w:cs="Times New Roman"/>
          <w:bCs/>
          <w:color w:val="000000"/>
          <w:lang w:val="en-GB"/>
        </w:rPr>
        <w:t xml:space="preserve">. </w:t>
      </w:r>
      <w:r w:rsidRPr="0085441D">
        <w:rPr>
          <w:rFonts w:ascii="Times New Roman" w:eastAsia="Times New Roman" w:hAnsi="Times New Roman" w:cs="Times New Roman"/>
          <w:iCs/>
          <w:shd w:val="clear" w:color="auto" w:fill="FFFFFF"/>
          <w:lang w:val="en-GB"/>
        </w:rPr>
        <w:t xml:space="preserve">A blood culture was regarded to be positive irrespective of whether one or two of the bottles in a pair showed growth. </w:t>
      </w:r>
      <w:r w:rsidRPr="00ED72EA">
        <w:rPr>
          <w:rFonts w:ascii="Times New Roman" w:hAnsi="Times New Roman" w:cs="Times New Roman"/>
          <w:lang w:val="en-GB"/>
        </w:rPr>
        <w:t xml:space="preserve">Diagnostic criteria for cardiac involvement with TTE and TEE were used as described </w:t>
      </w:r>
      <w:r w:rsidRPr="0085441D">
        <w:rPr>
          <w:rFonts w:ascii="Times New Roman" w:hAnsi="Times New Roman" w:cs="Times New Roman"/>
          <w:lang w:val="en-GB"/>
        </w:rPr>
        <w:fldChar w:fldCharType="begin"/>
      </w:r>
      <w:r w:rsidR="00013B98">
        <w:rPr>
          <w:rFonts w:ascii="Times New Roman" w:hAnsi="Times New Roman" w:cs="Times New Roman"/>
          <w:lang w:val="en-GB"/>
        </w:rPr>
        <w:instrText xml:space="preserve"> ADDIN PAPERS2_CITATIONS &lt;citation&gt;&lt;uuid&gt;7CD9D439-A446-4427-B68C-A86686E3F567&lt;/uuid&gt;&lt;priority&gt;2&lt;/priority&gt;&lt;publications&gt;&lt;publication&gt;&lt;uuid&gt;41B0215F-873F-4AD2-8882-6728C0C5B9E4&lt;/uuid&gt;&lt;volume&gt;30&lt;/volume&gt;&lt;doi&gt;10.1086/313753&lt;/doi&gt;&lt;startpage&gt;633&lt;/startpage&gt;&lt;revision_date&gt;99199910131200000000222000&lt;/revision_date&gt;&lt;publication_date&gt;99200004001200000000220000&lt;/publication_date&gt;&lt;url&gt;http://eutils.ncbi.nlm.nih.gov/entrez/eutils/elink.fcgi?dbfrom=pubmed&amp;amp;id=10770721&amp;amp;retmode=ref&amp;amp;cmd=prlinks&lt;/url&gt;&lt;type&gt;400&lt;/type&gt;&lt;title&gt;Proposed modifications to the Duke criteria for the diagnosis of infective endocarditis.&lt;/title&gt;&lt;submission_date&gt;99199906231200000000222000&lt;/submission_date&gt;&lt;number&gt;4&lt;/number&gt;&lt;institution&gt;Department of Pediatrics, Duke University School of Medicine, Durham, NC 27710, USA. li000001@mc.duke.edu&lt;/institution&gt;&lt;subtype&gt;400&lt;/subtype&gt;&lt;endpage&gt;638&lt;/endpage&gt;&lt;bundle&gt;&lt;publication&gt;&lt;title&gt;Clinical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J&lt;/firstName&gt;&lt;middleNames&gt;S&lt;/middleNames&gt;&lt;lastName&gt;Li&lt;/lastName&gt;&lt;/author&gt;&lt;author&gt;&lt;firstName&gt;D&lt;/firstName&gt;&lt;middleNames&gt;J&lt;/middleNames&gt;&lt;lastName&gt;Sexton&lt;/lastName&gt;&lt;/author&gt;&lt;author&gt;&lt;firstName&gt;N&lt;/firstName&gt;&lt;lastName&gt;Mick&lt;/lastName&gt;&lt;/author&gt;&lt;author&gt;&lt;firstName&gt;R&lt;/firstName&gt;&lt;lastName&gt;Nettles&lt;/lastName&gt;&lt;/author&gt;&lt;author&gt;&lt;firstName&gt;V&lt;/firstName&gt;&lt;middleNames&gt;G&lt;/middleNames&gt;&lt;lastName&gt;Fowler&lt;/lastName&gt;&lt;/author&gt;&lt;author&gt;&lt;firstName&gt;T&lt;/firstName&gt;&lt;lastName&gt;Ryan&lt;/lastName&gt;&lt;/author&gt;&lt;author&gt;&lt;firstName&gt;T&lt;/firstName&gt;&lt;lastName&gt;Bashore&lt;/lastName&gt;&lt;/author&gt;&lt;author&gt;&lt;firstName&gt;G&lt;/firstName&gt;&lt;middleNames&gt;R&lt;/middleNames&gt;&lt;lastName&gt;Corey&lt;/lastName&gt;&lt;/author&gt;&lt;/authors&gt;&lt;/publication&gt;&lt;/publications&gt;&lt;cites&gt;&lt;/cites&gt;&lt;/citation&gt;</w:instrText>
      </w:r>
      <w:r w:rsidRPr="0085441D">
        <w:rPr>
          <w:rFonts w:ascii="Times New Roman" w:hAnsi="Times New Roman" w:cs="Times New Roman"/>
          <w:lang w:val="en-GB"/>
        </w:rPr>
        <w:fldChar w:fldCharType="separate"/>
      </w:r>
      <w:r w:rsidR="00013B98">
        <w:rPr>
          <w:rFonts w:ascii="Times New Roman" w:hAnsi="Times New Roman" w:cs="Times New Roman"/>
          <w:lang w:eastAsia="sv-SE"/>
        </w:rPr>
        <w:t>(1)</w:t>
      </w:r>
      <w:r w:rsidRPr="0085441D">
        <w:rPr>
          <w:rFonts w:ascii="Times New Roman" w:hAnsi="Times New Roman" w:cs="Times New Roman"/>
          <w:lang w:val="en-GB"/>
        </w:rPr>
        <w:fldChar w:fldCharType="end"/>
      </w:r>
      <w:r w:rsidRPr="0085441D">
        <w:rPr>
          <w:rFonts w:ascii="Times New Roman" w:hAnsi="Times New Roman" w:cs="Times New Roman"/>
          <w:lang w:val="en-GB"/>
        </w:rPr>
        <w:t>. In cases where multiple TTE or TEE were performed, any of these indicating IE were regarded as a major criterion. No other modalities were used to establish the IE diagnos</w:t>
      </w:r>
      <w:r w:rsidRPr="00ED72EA">
        <w:rPr>
          <w:rFonts w:ascii="Times New Roman" w:hAnsi="Times New Roman" w:cs="Times New Roman"/>
          <w:lang w:val="en-GB"/>
        </w:rPr>
        <w:t>is.</w:t>
      </w:r>
    </w:p>
    <w:p w14:paraId="1185302A" w14:textId="77777777" w:rsidR="00937D3E" w:rsidRPr="00ED72EA" w:rsidRDefault="00937D3E" w:rsidP="00937D3E">
      <w:pPr>
        <w:spacing w:line="480" w:lineRule="auto"/>
        <w:rPr>
          <w:rFonts w:ascii="Times New Roman" w:eastAsia="Times New Roman" w:hAnsi="Times New Roman" w:cs="Times New Roman"/>
          <w:bCs/>
          <w:color w:val="000000"/>
          <w:lang w:val="en-GB"/>
        </w:rPr>
      </w:pPr>
      <w:r w:rsidRPr="00ED72EA">
        <w:rPr>
          <w:rFonts w:ascii="Times New Roman" w:eastAsia="Times New Roman" w:hAnsi="Times New Roman" w:cs="Times New Roman"/>
          <w:bCs/>
          <w:color w:val="000000"/>
          <w:lang w:val="en-GB"/>
        </w:rPr>
        <w:t xml:space="preserve">Scoring of patients was performed using the information available to the clinician at the time of the receipt of the positive blood culture results analysed to the species. NOVA score parameters were defined as described by Bouza </w:t>
      </w:r>
      <w:r w:rsidRPr="00ED72EA">
        <w:rPr>
          <w:rFonts w:ascii="Times New Roman" w:eastAsia="Times New Roman" w:hAnsi="Times New Roman" w:cs="Times New Roman"/>
          <w:bCs/>
          <w:i/>
          <w:color w:val="000000"/>
          <w:lang w:val="en-GB"/>
        </w:rPr>
        <w:t xml:space="preserve">et al </w:t>
      </w:r>
      <w:r w:rsidRPr="0085441D">
        <w:rPr>
          <w:rFonts w:ascii="Times New Roman" w:eastAsia="Times New Roman" w:hAnsi="Times New Roman" w:cs="Times New Roman"/>
          <w:bCs/>
          <w:i/>
          <w:color w:val="000000"/>
          <w:lang w:val="en-GB"/>
        </w:rPr>
        <w:fldChar w:fldCharType="begin"/>
      </w:r>
      <w:r w:rsidR="00013B98">
        <w:rPr>
          <w:rFonts w:ascii="Times New Roman" w:eastAsia="Times New Roman" w:hAnsi="Times New Roman" w:cs="Times New Roman"/>
          <w:bCs/>
          <w:i/>
          <w:color w:val="000000"/>
          <w:lang w:val="en-GB"/>
        </w:rPr>
        <w:instrText xml:space="preserve"> ADDIN PAPERS2_CITATIONS &lt;citation&gt;&lt;uuid&gt;33C2A260-CE2C-4314-962A-7F1C7AB53BBA&lt;/uuid&gt;&lt;priority&gt;3&lt;/priority&gt;&lt;publications&gt;&lt;publication&gt;&lt;uuid&gt;185D54EA-7D6A-4BC7-A990-969DF8F4BF25&lt;/uuid&gt;&lt;volume&gt;60&lt;/volume&gt;&lt;doi&gt;10.1093/cid/ciu872&lt;/doi&gt;&lt;startpage&gt;528&lt;/startpage&gt;&lt;publication_date&gt;99201502151200000000222000&lt;/publication_date&gt;&lt;url&gt;http://eutils.ncbi.nlm.nih.gov/entrez/eutils/elink.fcgi?dbfrom=pubmed&amp;amp;id=25381321&amp;amp;retmode=ref&amp;amp;cmd=prlinks&lt;/url&gt;&lt;type&gt;400&lt;/type&gt;&lt;title&gt;The NOVA score: a proposal to reduce the need for transesophageal echocardiography in patients with enterococcal bacteremia.&lt;/title&gt;&lt;institution&gt;Clinical Microbiology and Infectious Diseases, Hospital General Universitario Gregorio Marañón Centros de Investigación Biomédica en Red Enfermedades Respiratorias Medicine Department, School of Medicine, Universidad Complutense de Madrid Instituto de Investigación Sanitaria Gregorio Marañón.&lt;/institution&gt;&lt;number&gt;4&lt;/number&gt;&lt;subtype&gt;400&lt;/subtype&gt;&lt;endpage&gt;535&lt;/endpage&gt;&lt;bundle&gt;&lt;publication&gt;&lt;title&gt;Clinical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Emilio&lt;/firstName&gt;&lt;lastName&gt;Bouza&lt;/lastName&gt;&lt;/author&gt;&lt;author&gt;&lt;firstName&gt;Martha&lt;/firstName&gt;&lt;lastName&gt;Kestler&lt;/lastName&gt;&lt;/author&gt;&lt;author&gt;&lt;firstName&gt;Teresa&lt;/firstName&gt;&lt;lastName&gt;Beca&lt;/lastName&gt;&lt;/author&gt;&lt;author&gt;&lt;firstName&gt;Gabriel&lt;/firstName&gt;&lt;lastName&gt;Mariscal&lt;/lastName&gt;&lt;/author&gt;&lt;author&gt;&lt;firstName&gt;Marta&lt;/firstName&gt;&lt;lastName&gt;Rodríguez-Créixems&lt;/lastName&gt;&lt;/author&gt;&lt;author&gt;&lt;firstName&gt;Javier&lt;/firstName&gt;&lt;lastName&gt;Bermejo&lt;/lastName&gt;&lt;/author&gt;&lt;author&gt;&lt;firstName&gt;Ana&lt;/firstName&gt;&lt;lastName&gt;Fernández-Cruz&lt;/lastName&gt;&lt;/author&gt;&lt;author&gt;&lt;firstName&gt;Francisco&lt;/firstName&gt;&lt;lastName&gt;Fernández-Avilés&lt;/lastName&gt;&lt;/author&gt;&lt;author&gt;&lt;firstName&gt;Patricia&lt;/firstName&gt;&lt;lastName&gt;Muñoz&lt;/lastName&gt;&lt;/author&gt;&lt;author&gt;&lt;lastName&gt;Grupo de Apoyo al Manejo de la Endocarditis&lt;/lastName&gt;&lt;/author&gt;&lt;/authors&gt;&lt;/publication&gt;&lt;/publications&gt;&lt;cites&gt;&lt;/cites&gt;&lt;/citation&gt;</w:instrText>
      </w:r>
      <w:r w:rsidRPr="0085441D">
        <w:rPr>
          <w:rFonts w:ascii="Times New Roman" w:eastAsia="Times New Roman" w:hAnsi="Times New Roman" w:cs="Times New Roman"/>
          <w:bCs/>
          <w:i/>
          <w:color w:val="000000"/>
          <w:lang w:val="en-GB"/>
        </w:rPr>
        <w:fldChar w:fldCharType="separate"/>
      </w:r>
      <w:r w:rsidR="00013B98">
        <w:rPr>
          <w:rFonts w:ascii="Times New Roman" w:hAnsi="Times New Roman" w:cs="Times New Roman"/>
          <w:lang w:eastAsia="sv-SE"/>
        </w:rPr>
        <w:t>(2)</w:t>
      </w:r>
      <w:r w:rsidRPr="0085441D">
        <w:rPr>
          <w:rFonts w:ascii="Times New Roman" w:eastAsia="Times New Roman" w:hAnsi="Times New Roman" w:cs="Times New Roman"/>
          <w:bCs/>
          <w:i/>
          <w:color w:val="000000"/>
          <w:lang w:val="en-GB"/>
        </w:rPr>
        <w:fldChar w:fldCharType="end"/>
      </w:r>
      <w:r w:rsidRPr="0085441D">
        <w:rPr>
          <w:rFonts w:ascii="Times New Roman" w:eastAsia="Times New Roman" w:hAnsi="Times New Roman" w:cs="Times New Roman"/>
          <w:bCs/>
          <w:i/>
          <w:color w:val="000000"/>
          <w:lang w:val="en-GB"/>
        </w:rPr>
        <w:t xml:space="preserve"> </w:t>
      </w:r>
      <w:r w:rsidRPr="0085441D">
        <w:rPr>
          <w:rFonts w:ascii="Times New Roman" w:eastAsia="Times New Roman" w:hAnsi="Times New Roman" w:cs="Times New Roman"/>
          <w:bCs/>
          <w:color w:val="000000"/>
          <w:lang w:val="en-GB"/>
        </w:rPr>
        <w:t xml:space="preserve">with modifications of number of cultures as described by Dahl </w:t>
      </w:r>
      <w:r w:rsidRPr="0085441D">
        <w:rPr>
          <w:rFonts w:ascii="Times New Roman" w:eastAsia="Times New Roman" w:hAnsi="Times New Roman" w:cs="Times New Roman"/>
          <w:bCs/>
          <w:i/>
          <w:color w:val="000000"/>
          <w:lang w:val="en-GB"/>
        </w:rPr>
        <w:t xml:space="preserve">et al. </w:t>
      </w:r>
      <w:r w:rsidRPr="0085441D">
        <w:rPr>
          <w:rFonts w:ascii="Times New Roman" w:eastAsia="Times New Roman" w:hAnsi="Times New Roman" w:cs="Times New Roman"/>
          <w:bCs/>
          <w:i/>
          <w:color w:val="000000"/>
          <w:lang w:val="en-GB"/>
        </w:rPr>
        <w:fldChar w:fldCharType="begin"/>
      </w:r>
      <w:r w:rsidR="00013B98">
        <w:rPr>
          <w:rFonts w:ascii="Times New Roman" w:eastAsia="Times New Roman" w:hAnsi="Times New Roman" w:cs="Times New Roman"/>
          <w:bCs/>
          <w:i/>
          <w:color w:val="000000"/>
          <w:lang w:val="en-GB"/>
        </w:rPr>
        <w:instrText xml:space="preserve"> ADDIN PAPERS2_CITATIONS &lt;citation&gt;&lt;uuid&gt;4903D7C5-5F3A-4010-97C1-D84758BB5A28&lt;/uuid&gt;&lt;priority&gt;4&lt;/priority&gt;&lt;publications&gt;&lt;publication&gt;&lt;uuid&gt;19E74C1C-2EF1-4D10-98B0-60030F3FA0BF&lt;/uuid&gt;&lt;volume&gt;63&lt;/volume&gt;&lt;accepted_date&gt;99201606021200000000222000&lt;/accepted_date&gt;&lt;doi&gt;10.1093/cid/ciw383&lt;/doi&gt;&lt;startpage&gt;771&lt;/startpage&gt;&lt;publication_date&gt;99201609151200000000222000&lt;/publication_date&gt;&lt;url&gt;http://eutils.ncbi.nlm.nih.gov/entrez/eutils/elink.fcgi?dbfrom=pubmed&amp;amp;id=27307506&amp;amp;retmode=ref&amp;amp;cmd=prlinks&lt;/url&gt;&lt;type&gt;400&lt;/type&gt;&lt;title&gt;Risk Factors of Endocarditis in Patients With Enterococcus faecalis Bacteremia: External Validation of the NOVA Score.&lt;/title&gt;&lt;submission_date&gt;99201603031200000000222000&lt;/submission_date&gt;&lt;number&gt;6&lt;/number&gt;&lt;institution&gt;Department of Cardiology.&lt;/institution&gt;&lt;subtype&gt;400&lt;/subtype&gt;&lt;endpage&gt;775&lt;/endpage&gt;&lt;bundle&gt;&lt;publication&gt;&lt;title&gt;Clinical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Anders&lt;/firstName&gt;&lt;lastName&gt;Dahl&lt;/lastName&gt;&lt;/author&gt;&lt;author&gt;&lt;firstName&gt;Trine&lt;/firstName&gt;&lt;middleNames&gt;K&lt;/middleNames&gt;&lt;lastName&gt;Lauridsen&lt;/lastName&gt;&lt;/author&gt;&lt;author&gt;&lt;firstName&gt;Magnus&lt;/firstName&gt;&lt;lastName&gt;Arpi&lt;/lastName&gt;&lt;/author&gt;&lt;author&gt;&lt;firstName&gt;Lars&lt;/firstName&gt;&lt;middleNames&gt;L&lt;/middleNames&gt;&lt;lastName&gt;Sørensen&lt;/lastName&gt;&lt;/author&gt;&lt;author&gt;&lt;firstName&gt;Christian&lt;/firstName&gt;&lt;lastName&gt;Ostergaard&lt;/lastName&gt;&lt;/author&gt;&lt;author&gt;&lt;firstName&gt;Peter&lt;/firstName&gt;&lt;lastName&gt;Sogaard&lt;/lastName&gt;&lt;/author&gt;&lt;author&gt;&lt;firstName&gt;Niels&lt;/firstName&gt;&lt;middleNames&gt;E&lt;/middleNames&gt;&lt;lastName&gt;Bruun&lt;/lastName&gt;&lt;/author&gt;&lt;/authors&gt;&lt;/publication&gt;&lt;/publications&gt;&lt;cites&gt;&lt;/cites&gt;&lt;/citation&gt;</w:instrText>
      </w:r>
      <w:r w:rsidRPr="0085441D">
        <w:rPr>
          <w:rFonts w:ascii="Times New Roman" w:eastAsia="Times New Roman" w:hAnsi="Times New Roman" w:cs="Times New Roman"/>
          <w:bCs/>
          <w:i/>
          <w:color w:val="000000"/>
          <w:lang w:val="en-GB"/>
        </w:rPr>
        <w:fldChar w:fldCharType="separate"/>
      </w:r>
      <w:r w:rsidR="00013B98">
        <w:rPr>
          <w:rFonts w:ascii="Times New Roman" w:hAnsi="Times New Roman" w:cs="Times New Roman"/>
          <w:lang w:eastAsia="sv-SE"/>
        </w:rPr>
        <w:t>(3)</w:t>
      </w:r>
      <w:r w:rsidRPr="0085441D">
        <w:rPr>
          <w:rFonts w:ascii="Times New Roman" w:eastAsia="Times New Roman" w:hAnsi="Times New Roman" w:cs="Times New Roman"/>
          <w:bCs/>
          <w:i/>
          <w:color w:val="000000"/>
          <w:lang w:val="en-GB"/>
        </w:rPr>
        <w:fldChar w:fldCharType="end"/>
      </w:r>
      <w:r w:rsidRPr="0085441D">
        <w:rPr>
          <w:rFonts w:ascii="Times New Roman" w:eastAsia="Times New Roman" w:hAnsi="Times New Roman" w:cs="Times New Roman"/>
          <w:bCs/>
          <w:color w:val="000000"/>
          <w:lang w:val="en-GB"/>
        </w:rPr>
        <w:t xml:space="preserve">. Origin of infection (O in NOVA, definition not detailed by Bouza </w:t>
      </w:r>
      <w:r w:rsidRPr="0085441D">
        <w:rPr>
          <w:rFonts w:ascii="Times New Roman" w:eastAsia="Times New Roman" w:hAnsi="Times New Roman" w:cs="Times New Roman"/>
          <w:bCs/>
          <w:i/>
          <w:color w:val="000000"/>
          <w:lang w:val="en-GB"/>
        </w:rPr>
        <w:t xml:space="preserve">et al </w:t>
      </w:r>
      <w:r w:rsidRPr="0085441D">
        <w:rPr>
          <w:rFonts w:ascii="Times New Roman" w:eastAsia="Times New Roman" w:hAnsi="Times New Roman" w:cs="Times New Roman"/>
          <w:bCs/>
          <w:i/>
          <w:color w:val="000000"/>
          <w:lang w:val="en-GB"/>
        </w:rPr>
        <w:fldChar w:fldCharType="begin"/>
      </w:r>
      <w:r w:rsidR="00013B98">
        <w:rPr>
          <w:rFonts w:ascii="Times New Roman" w:eastAsia="Times New Roman" w:hAnsi="Times New Roman" w:cs="Times New Roman"/>
          <w:bCs/>
          <w:i/>
          <w:color w:val="000000"/>
          <w:lang w:val="en-GB"/>
        </w:rPr>
        <w:instrText xml:space="preserve"> ADDIN PAPERS2_CITATIONS &lt;citation&gt;&lt;uuid&gt;9B852DF2-E268-4A34-96FC-AEFE9E824EFE&lt;/uuid&gt;&lt;priority&gt;5&lt;/priority&gt;&lt;publications&gt;&lt;publication&gt;&lt;uuid&gt;185D54EA-7D6A-4BC7-A990-969DF8F4BF25&lt;/uuid&gt;&lt;volume&gt;60&lt;/volume&gt;&lt;doi&gt;10.1093/cid/ciu872&lt;/doi&gt;&lt;startpage&gt;528&lt;/startpage&gt;&lt;publication_date&gt;99201502151200000000222000&lt;/publication_date&gt;&lt;url&gt;http://eutils.ncbi.nlm.nih.gov/entrez/eutils/elink.fcgi?dbfrom=pubmed&amp;amp;id=25381321&amp;amp;retmode=ref&amp;amp;cmd=prlinks&lt;/url&gt;&lt;type&gt;400&lt;/type&gt;&lt;title&gt;The NOVA score: a proposal to reduce the need for transesophageal echocardiography in patients with enterococcal bacteremia.&lt;/title&gt;&lt;institution&gt;Clinical Microbiology and Infectious Diseases, Hospital General Universitario Gregorio Marañón Centros de Investigación Biomédica en Red Enfermedades Respiratorias Medicine Department, School of Medicine, Universidad Complutense de Madrid Instituto de Investigación Sanitaria Gregorio Marañón.&lt;/institution&gt;&lt;number&gt;4&lt;/number&gt;&lt;subtype&gt;400&lt;/subtype&gt;&lt;endpage&gt;535&lt;/endpage&gt;&lt;bundle&gt;&lt;publication&gt;&lt;title&gt;Clinical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Emilio&lt;/firstName&gt;&lt;lastName&gt;Bouza&lt;/lastName&gt;&lt;/author&gt;&lt;author&gt;&lt;firstName&gt;Martha&lt;/firstName&gt;&lt;lastName&gt;Kestler&lt;/lastName&gt;&lt;/author&gt;&lt;author&gt;&lt;firstName&gt;Teresa&lt;/firstName&gt;&lt;lastName&gt;Beca&lt;/lastName&gt;&lt;/author&gt;&lt;author&gt;&lt;firstName&gt;Gabriel&lt;/firstName&gt;&lt;lastName&gt;Mariscal&lt;/lastName&gt;&lt;/author&gt;&lt;author&gt;&lt;firstName&gt;Marta&lt;/firstName&gt;&lt;lastName&gt;Rodríguez-Créixems&lt;/lastName&gt;&lt;/author&gt;&lt;author&gt;&lt;firstName&gt;Javier&lt;/firstName&gt;&lt;lastName&gt;Bermejo&lt;/lastName&gt;&lt;/author&gt;&lt;author&gt;&lt;firstName&gt;Ana&lt;/firstName&gt;&lt;lastName&gt;Fernández-Cruz&lt;/lastName&gt;&lt;/author&gt;&lt;author&gt;&lt;firstName&gt;Francisco&lt;/firstName&gt;&lt;lastName&gt;Fernández-Avilés&lt;/lastName&gt;&lt;/author&gt;&lt;author&gt;&lt;firstName&gt;Patricia&lt;/firstName&gt;&lt;lastName&gt;Muñoz&lt;/lastName&gt;&lt;/author&gt;&lt;author&gt;&lt;lastName&gt;Grupo de Apoyo al Manejo de la Endocarditis&lt;/lastName&gt;&lt;/author&gt;&lt;/authors&gt;&lt;/publication&gt;&lt;/publications&gt;&lt;cites&gt;&lt;/cites&gt;&lt;/citation&gt;</w:instrText>
      </w:r>
      <w:r w:rsidRPr="0085441D">
        <w:rPr>
          <w:rFonts w:ascii="Times New Roman" w:eastAsia="Times New Roman" w:hAnsi="Times New Roman" w:cs="Times New Roman"/>
          <w:bCs/>
          <w:i/>
          <w:color w:val="000000"/>
          <w:lang w:val="en-GB"/>
        </w:rPr>
        <w:fldChar w:fldCharType="separate"/>
      </w:r>
      <w:r w:rsidR="00013B98">
        <w:rPr>
          <w:rFonts w:ascii="Times New Roman" w:hAnsi="Times New Roman" w:cs="Times New Roman"/>
          <w:lang w:eastAsia="sv-SE"/>
        </w:rPr>
        <w:t>(2)</w:t>
      </w:r>
      <w:r w:rsidRPr="0085441D">
        <w:rPr>
          <w:rFonts w:ascii="Times New Roman" w:eastAsia="Times New Roman" w:hAnsi="Times New Roman" w:cs="Times New Roman"/>
          <w:bCs/>
          <w:i/>
          <w:color w:val="000000"/>
          <w:lang w:val="en-GB"/>
        </w:rPr>
        <w:fldChar w:fldCharType="end"/>
      </w:r>
      <w:r w:rsidRPr="0085441D">
        <w:rPr>
          <w:rFonts w:ascii="Times New Roman" w:eastAsia="Times New Roman" w:hAnsi="Times New Roman" w:cs="Times New Roman"/>
          <w:bCs/>
          <w:color w:val="000000"/>
          <w:lang w:val="en-GB"/>
        </w:rPr>
        <w:t>) was defined as a focal infection which was likely to be the point of entry for the bacteria. T</w:t>
      </w:r>
      <w:r w:rsidRPr="00ED72EA">
        <w:rPr>
          <w:rFonts w:ascii="Times New Roman" w:eastAsia="Times New Roman" w:hAnsi="Times New Roman" w:cs="Times New Roman"/>
          <w:bCs/>
          <w:color w:val="000000"/>
          <w:lang w:val="en-GB"/>
        </w:rPr>
        <w:t xml:space="preserve">hus, some types of focal infection such as IE, spondylodiscitis or septic arthritis were not regarded as origins of infection. A focal infection was defined by fulfilment of at least two of the following criteria a) typical signs or symptoms of infection, b) isolation of </w:t>
      </w:r>
      <w:r w:rsidRPr="00ED72EA">
        <w:rPr>
          <w:rFonts w:ascii="Times New Roman" w:eastAsia="Times New Roman" w:hAnsi="Times New Roman" w:cs="Times New Roman"/>
          <w:bCs/>
          <w:i/>
          <w:color w:val="000000"/>
          <w:lang w:val="en-GB"/>
        </w:rPr>
        <w:t xml:space="preserve">E. faecalis </w:t>
      </w:r>
      <w:r w:rsidRPr="00ED72EA">
        <w:rPr>
          <w:rFonts w:ascii="Times New Roman" w:eastAsia="Times New Roman" w:hAnsi="Times New Roman" w:cs="Times New Roman"/>
          <w:bCs/>
          <w:color w:val="000000"/>
          <w:lang w:val="en-GB"/>
        </w:rPr>
        <w:t xml:space="preserve">at the site of infection, and c) imaging results compatible with focal infection. Unknown origin of infection was defined by lack of identified origin of infection. V </w:t>
      </w:r>
      <w:r w:rsidRPr="00ED72EA">
        <w:rPr>
          <w:rFonts w:ascii="Times New Roman" w:eastAsia="Times New Roman" w:hAnsi="Times New Roman" w:cs="Times New Roman"/>
          <w:bCs/>
          <w:color w:val="000000"/>
          <w:lang w:val="en-GB"/>
        </w:rPr>
        <w:lastRenderedPageBreak/>
        <w:t xml:space="preserve">(Valve disease in NOVA) is here defined as a history of any of the predisposing heart conditions that constitute a high or moderate risk of developing IE, including 1. native valve disease, 2. previous IE, or 3. the presence of a valve prosthesis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2747DEAD-1DD5-4B72-BCE0-508325C43902&lt;/uuid&gt;&lt;priority&gt;6&lt;/priority&gt;&lt;publications&gt;&lt;publication&gt;&lt;volume&gt;264&lt;/volume&gt;&lt;publication_date&gt;99199012121200000000222000&lt;/publication_date&gt;&lt;number&gt;22&lt;/number&gt;&lt;institution&gt;Office of Scientific Affairs, American Heart Association, Dallas, TX 75231.&lt;/institution&gt;&lt;startpage&gt;2919&lt;/startpage&gt;&lt;title&gt;Prevention of bacterial endocarditis. Recommendations by the American Heart Association.&lt;/title&gt;&lt;uuid&gt;2CAF5C30-BDF3-43B8-B140-54EF600B9AB5&lt;/uuid&gt;&lt;subtype&gt;400&lt;/subtype&gt;&lt;endpage&gt;2922&lt;/endpage&gt;&lt;type&gt;400&lt;/type&gt;&lt;url&gt;http://eutils.ncbi.nlm.nih.gov/entrez/eutils/elink.fcgi?dbfrom=pubmed&amp;amp;id=2146414&amp;amp;retmode=ref&amp;amp;cmd=prlinks&lt;/url&gt;&lt;bundle&gt;&lt;publication&gt;&lt;title&gt;JAMA : the journal of the American Medical Association&lt;/title&gt;&lt;type&gt;-100&lt;/type&gt;&lt;subtype&gt;-100&lt;/subtype&gt;&lt;uuid&gt;7B385BD8-E9FA-42FB-AE23-0D326A9BA38F&lt;/uuid&gt;&lt;/publication&gt;&lt;/bundle&gt;&lt;authors&gt;&lt;author&gt;&lt;firstName&gt;A&lt;/firstName&gt;&lt;middleNames&gt;S&lt;/middleNames&gt;&lt;lastName&gt;Dajani&lt;/lastName&gt;&lt;/author&gt;&lt;author&gt;&lt;firstName&gt;A&lt;/firstName&gt;&lt;middleNames&gt;L&lt;/middleNames&gt;&lt;lastName&gt;Bisno&lt;/lastName&gt;&lt;/author&gt;&lt;author&gt;&lt;firstName&gt;K&lt;/firstName&gt;&lt;middleNames&gt;J&lt;/middleNames&gt;&lt;lastName&gt;Chung&lt;/lastName&gt;&lt;/author&gt;&lt;author&gt;&lt;firstName&gt;D&lt;/firstName&gt;&lt;middleNames&gt;T&lt;/middleNames&gt;&lt;lastName&gt;Durack&lt;/lastName&gt;&lt;/author&gt;&lt;author&gt;&lt;firstName&gt;M&lt;/firstName&gt;&lt;lastName&gt;Freed&lt;/lastName&gt;&lt;/author&gt;&lt;author&gt;&lt;firstName&gt;M&lt;/firstName&gt;&lt;middleNames&gt;A&lt;/middleNames&gt;&lt;lastName&gt;Gerber&lt;/lastName&gt;&lt;/author&gt;&lt;author&gt;&lt;firstName&gt;A&lt;/firstName&gt;&lt;middleNames&gt;W&lt;/middleNames&gt;&lt;lastName&gt;Karchmer&lt;/lastName&gt;&lt;/author&gt;&lt;author&gt;&lt;firstName&gt;H&lt;/firstName&gt;&lt;middleNames&gt;D&lt;/middleNames&gt;&lt;lastName&gt;Millard&lt;/lastName&gt;&lt;/author&gt;&lt;author&gt;&lt;firstName&gt;S&lt;/firstName&gt;&lt;lastName&gt;Rahimtoola&lt;/lastName&gt;&lt;/author&gt;&lt;author&gt;&lt;firstName&gt;S&lt;/firstName&gt;&lt;middleNames&gt;T&lt;/middleNames&gt;&lt;lastName&gt;Shulman&lt;/lastName&gt;&lt;/author&gt;&lt;/authors&gt;&lt;/publication&gt;&lt;publication&gt;&lt;volume&gt;7&lt;/volume&gt;&lt;publication_date&gt;99199303001200000000220000&lt;/publication_date&gt;&lt;number&gt;1&lt;/number&gt;&lt;institution&gt;Division of Infectious Diseases, Mayo Clinic, Rochester, Minnesota.&lt;/institution&gt;&lt;startpage&gt;9&lt;/startpage&gt;&lt;title&gt;Risk factors for infective endocarditis.&lt;/title&gt;&lt;uuid&gt;512F9EF5-63E8-4F5A-95B7-C29AB2EB4364&lt;/uuid&gt;&lt;subtype&gt;400&lt;/subtype&gt;&lt;endpage&gt;19&lt;/endpage&gt;&lt;type&gt;400&lt;/type&gt;&lt;url&gt;http://eutils.ncbi.nlm.nih.gov/entrez/eutils/elink.fcgi?dbfrom=pubmed&amp;amp;id=8463656&amp;amp;retmode=ref&amp;amp;cmd=prlinks&lt;/url&gt;&lt;bundle&gt;&lt;publication&gt;&lt;title&gt;Infectious disease clinics of North America&lt;/title&gt;&lt;type&gt;-100&lt;/type&gt;&lt;subtype&gt;-100&lt;/subtype&gt;&lt;uuid&gt;56F5F506-C6D8-4AAD-BD67-5F46DAAAB0BD&lt;/uuid&gt;&lt;/publication&gt;&lt;/bundle&gt;&lt;authors&gt;&lt;author&gt;&lt;firstName&gt;J&lt;/firstName&gt;&lt;middleNames&gt;M&lt;/middleNames&gt;&lt;lastName&gt;Steckelberg&lt;/lastName&gt;&lt;/author&gt;&lt;author&gt;&lt;firstName&gt;W&lt;/firstName&gt;&lt;middleNames&gt;R&lt;/middleNames&gt;&lt;lastName&gt;Wilson&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(4,5)</w:t>
      </w:r>
      <w:r w:rsidRPr="0085441D">
        <w:rPr>
          <w:rFonts w:ascii="Times New Roman" w:eastAsia="Times New Roman" w:hAnsi="Times New Roman" w:cs="Times New Roman"/>
          <w:bCs/>
          <w:color w:val="000000"/>
          <w:lang w:val="en-GB"/>
        </w:rPr>
        <w:fldChar w:fldCharType="end"/>
      </w:r>
      <w:r>
        <w:rPr>
          <w:rFonts w:ascii="Times New Roman" w:eastAsia="Times New Roman" w:hAnsi="Times New Roman" w:cs="Times New Roman"/>
          <w:bCs/>
          <w:color w:val="000000"/>
          <w:lang w:val="en-GB"/>
        </w:rPr>
        <w:t xml:space="preserve"> and is in concordance with the minor criterion in Li </w:t>
      </w:r>
      <w:r>
        <w:rPr>
          <w:rFonts w:ascii="Times New Roman" w:eastAsia="Times New Roman" w:hAnsi="Times New Roman" w:cs="Times New Roman"/>
          <w:bCs/>
          <w:i/>
          <w:color w:val="000000"/>
          <w:lang w:val="en-GB"/>
        </w:rPr>
        <w:t>et al</w:t>
      </w:r>
      <w:r>
        <w:rPr>
          <w:rFonts w:ascii="Times New Roman" w:eastAsia="Times New Roman" w:hAnsi="Times New Roman" w:cs="Times New Roman"/>
          <w:bCs/>
          <w:color w:val="000000"/>
          <w:lang w:val="en-GB"/>
        </w:rPr>
        <w:t xml:space="preserve"> (1)</w:t>
      </w:r>
      <w:r w:rsidRPr="0085441D">
        <w:rPr>
          <w:rFonts w:ascii="Times New Roman" w:eastAsia="Times New Roman" w:hAnsi="Times New Roman" w:cs="Times New Roman"/>
          <w:bCs/>
          <w:color w:val="000000"/>
          <w:lang w:val="en-GB"/>
        </w:rPr>
        <w:t>. An intracardiac device was not regarded as v</w:t>
      </w:r>
      <w:r w:rsidRPr="00ED72EA">
        <w:rPr>
          <w:rFonts w:ascii="Times New Roman" w:eastAsia="Times New Roman" w:hAnsi="Times New Roman" w:cs="Times New Roman"/>
          <w:bCs/>
          <w:color w:val="000000"/>
          <w:lang w:val="en-GB"/>
        </w:rPr>
        <w:t xml:space="preserve">alve disease. </w:t>
      </w:r>
    </w:p>
    <w:p w14:paraId="3D95781A" w14:textId="77777777" w:rsidR="00937D3E" w:rsidRPr="00ED72EA" w:rsidRDefault="00937D3E" w:rsidP="00937D3E">
      <w:pPr>
        <w:spacing w:line="480" w:lineRule="auto"/>
        <w:rPr>
          <w:rFonts w:ascii="Times New Roman" w:eastAsia="Times New Roman" w:hAnsi="Times New Roman" w:cs="Times New Roman"/>
          <w:bCs/>
          <w:color w:val="000000"/>
          <w:lang w:val="en-GB"/>
        </w:rPr>
      </w:pPr>
      <w:r w:rsidRPr="00ED72EA">
        <w:rPr>
          <w:rFonts w:ascii="Times New Roman" w:eastAsia="Times New Roman" w:hAnsi="Times New Roman" w:cs="Times New Roman"/>
          <w:bCs/>
          <w:color w:val="000000"/>
          <w:lang w:val="en-GB"/>
        </w:rPr>
        <w:t>Auscultation of murmur (A in NOVA) included those with any murmur reported on admission or at scoring. Duration of symptoms was defined as the number of days before the first positive blood culture was taken with any symptom compatible with IE. These symptom</w:t>
      </w:r>
      <w:r>
        <w:rPr>
          <w:rFonts w:ascii="Times New Roman" w:eastAsia="Times New Roman" w:hAnsi="Times New Roman" w:cs="Times New Roman"/>
          <w:bCs/>
          <w:color w:val="000000"/>
          <w:lang w:val="en-GB"/>
        </w:rPr>
        <w:t>s</w:t>
      </w:r>
      <w:r w:rsidRPr="00ED72EA">
        <w:rPr>
          <w:rFonts w:ascii="Times New Roman" w:eastAsia="Times New Roman" w:hAnsi="Times New Roman" w:cs="Times New Roman"/>
          <w:bCs/>
          <w:color w:val="000000"/>
          <w:lang w:val="en-GB"/>
        </w:rPr>
        <w:t xml:space="preserve"> were mainly fever, but also progressive heart failure, progressive kidney dysfunction (as a result of glomerulonephritis), symptoms of major embolization, weight loss, fatigue, dyspnoea, generalized aches, and sweatings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90F365FD-9D1F-4554-95DC-9CFDDD93A874&lt;/uuid&gt;&lt;priority&gt;7&lt;/priority&gt;&lt;publications&gt;&lt;publication&gt;&lt;volume&gt;67&lt;/volume&gt;&lt;publication_date&gt;99198807001200000000220000&lt;/publication_date&gt;&lt;number&gt;4&lt;/number&gt;&lt;institution&gt;Department of Medicine, University of Wisconsin Medical School, Madison.&lt;/institution&gt;&lt;startpage&gt;248&lt;/startpage&gt;&lt;title&gt;Enterococcal bacteremia: clinical features, the risk of endocarditis, and management.&lt;/title&gt;&lt;uuid&gt;48EF4E09-E13D-4E26-A34F-26EBC7563A0D&lt;/uuid&gt;&lt;subtype&gt;400&lt;/subtype&gt;&lt;endpage&gt;269&lt;/endpage&gt;&lt;type&gt;400&lt;/type&gt;&lt;url&gt;http://eutils.ncbi.nlm.nih.gov/entrez/eutils/elink.fcgi?dbfrom=pubmed&amp;amp;id=3134590&amp;amp;retmode=ref&amp;amp;cmd=prlinks&lt;/url&gt;&lt;bundle&gt;&lt;publication&gt;&lt;title&gt;Medicine&lt;/title&gt;&lt;type&gt;-100&lt;/type&gt;&lt;subtype&gt;-100&lt;/subtype&gt;&lt;uuid&gt;3426ED47-11AA-41CC-9687-384305CA13BC&lt;/uuid&gt;&lt;/publication&gt;&lt;/bundle&gt;&lt;authors&gt;&lt;author&gt;&lt;firstName&gt;D&lt;/firstName&gt;&lt;middleNames&gt;G&lt;/middleNames&gt;&lt;lastName&gt;Maki&lt;/lastName&gt;&lt;/author&gt;&lt;author&gt;&lt;firstName&gt;W&lt;/firstName&gt;&lt;middleNames&gt;A&lt;/middleNames&gt;&lt;lastName&gt;Agger&lt;/lastName&gt;&lt;/author&gt;&lt;/authors&gt;&lt;/publication&gt;&lt;publication&gt;&lt;uuid&gt;19E74C1C-2EF1-4D10-98B0-60030F3FA0BF&lt;/uuid&gt;&lt;volume&gt;63&lt;/volume&gt;&lt;accepted_date&gt;99201606021200000000222000&lt;/accepted_date&gt;&lt;doi&gt;10.1093/cid/ciw383&lt;/doi&gt;&lt;startpage&gt;771&lt;/startpage&gt;&lt;publication_date&gt;99201609151200000000222000&lt;/publication_date&gt;&lt;url&gt;http://eutils.ncbi.nlm.nih.gov/entrez/eutils/elink.fcgi?dbfrom=pubmed&amp;amp;id=27307506&amp;amp;retmode=ref&amp;amp;cmd=prlinks&lt;/url&gt;&lt;type&gt;400&lt;/type&gt;&lt;title&gt;Risk Factors of Endocarditis in Patients With Enterococcus faecalis Bacteremia: External Validation of the NOVA Score.&lt;/title&gt;&lt;submission_date&gt;99201603031200000000222000&lt;/submission_date&gt;&lt;number&gt;6&lt;/number&gt;&lt;institution&gt;Department of Cardiology.&lt;/institution&gt;&lt;subtype&gt;400&lt;/subtype&gt;&lt;endpage&gt;775&lt;/endpage&gt;&lt;bundle&gt;&lt;publication&gt;&lt;title&gt;Clinical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Anders&lt;/firstName&gt;&lt;lastName&gt;Dahl&lt;/lastName&gt;&lt;/author&gt;&lt;author&gt;&lt;firstName&gt;Trine&lt;/firstName&gt;&lt;middleNames&gt;K&lt;/middleNames&gt;&lt;lastName&gt;Lauridsen&lt;/lastName&gt;&lt;/author&gt;&lt;author&gt;&lt;firstName&gt;Magnus&lt;/firstName&gt;&lt;lastName&gt;Arpi&lt;/lastName&gt;&lt;/author&gt;&lt;author&gt;&lt;firstName&gt;Lars&lt;/firstName&gt;&lt;middleNames&gt;L&lt;/middleNames&gt;&lt;lastName&gt;Sørensen&lt;/lastName&gt;&lt;/author&gt;&lt;author&gt;&lt;firstName&gt;Christian&lt;/firstName&gt;&lt;lastName&gt;Ostergaard&lt;/lastName&gt;&lt;/author&gt;&lt;author&gt;&lt;firstName&gt;Peter&lt;/firstName&gt;&lt;lastName&gt;Sogaard&lt;/lastName&gt;&lt;/author&gt;&lt;author&gt;&lt;firstName&gt;Niels&lt;/firstName&gt;&lt;middleNames&gt;E&lt;/middleNames&gt;&lt;lastName&gt;Bruun&lt;/lastName&gt;&lt;/author&gt;&lt;/authors&gt;&lt;/publication&gt;&lt;publication&gt;&lt;volume&gt;252&lt;/volume&gt;&lt;publication_date&gt;99200212001200000000220000&lt;/publication_date&gt;&lt;number&gt;6&lt;/number&gt;&lt;institution&gt;Division of Infectious Diseases, Fundación Jiménez Díaz, Universidad Autónoma de Madrid, Spain. mlfernandez@fjd.es&lt;/institution&gt;&lt;startpage&gt;510&lt;/startpage&gt;&lt;title&gt;Nosocomial enterococcal endocarditis: a serious hazard for hospitalized patients with enterococcal bacteraemia.&lt;/title&gt;&lt;uuid&gt;91DF57A6-820A-4711-AD1C-26B1611FAEC3&lt;/uuid&gt;&lt;subtype&gt;400&lt;/subtype&gt;&lt;endpage&gt;515&lt;/endpage&gt;&lt;type&gt;400&lt;/type&gt;&lt;url&gt;http://eutils.ncbi.nlm.nih.gov/entrez/eutils/elink.fcgi?dbfrom=pubmed&amp;amp;id=12472911&amp;amp;retmode=ref&amp;amp;cmd=prlinks&lt;/url&gt;&lt;bundle&gt;&lt;publication&gt;&lt;title&gt;Journal of internal medicine&lt;/title&gt;&lt;type&gt;-100&lt;/type&gt;&lt;subtype&gt;-100&lt;/subtype&gt;&lt;uuid&gt;4CBDCFA4-DB0A-4793-84E5-84B844428E52&lt;/uuid&gt;&lt;/publication&gt;&lt;/bundle&gt;&lt;authors&gt;&lt;author&gt;&lt;firstName&gt;M&lt;/firstName&gt;&lt;middleNames&gt;L&lt;/middleNames&gt;&lt;lastName&gt;Fernández-Guerrero&lt;/lastName&gt;&lt;/author&gt;&lt;author&gt;&lt;firstName&gt;L&lt;/firstName&gt;&lt;lastName&gt;Herrero&lt;/lastName&gt;&lt;/author&gt;&lt;author&gt;&lt;firstName&gt;M&lt;/firstName&gt;&lt;lastName&gt;Bellver&lt;/lastName&gt;&lt;/author&gt;&lt;author&gt;&lt;firstName&gt;I&lt;/firstName&gt;&lt;lastName&gt;Gadea&lt;/lastName&gt;&lt;/author&gt;&lt;author&gt;&lt;firstName&gt;R&lt;/firstName&gt;&lt;middleNames&gt;F&lt;/middleNames&gt;&lt;lastName&gt;Roblas&lt;/lastName&gt;&lt;/author&gt;&lt;author&gt;&lt;nonDroppingParticle&gt;de&lt;/nonDroppingParticle&gt;&lt;firstName&gt;M&lt;/firstName&gt;&lt;lastName&gt;Górgolas&lt;/lastName&gt;&lt;/author&gt;&lt;/authors&gt;&lt;/publication&gt;&lt;publication&gt;&lt;uuid&gt;52E59E23-DC69-458D-9DD5-414DA91329C6&lt;/uuid&gt;&lt;volume&gt;86&lt;/volume&gt;&lt;doi&gt;10.1097/MD.0b013e31815d5386&lt;/doi&gt;&lt;startpage&gt;363&lt;/startpage&gt;&lt;publication_date&gt;99200711001200000000220000&lt;/publication_date&gt;&lt;url&gt;http://eutils.ncbi.nlm.nih.gov/entrez/eutils/elink.fcgi?dbfrom=pubmed&amp;amp;id=18004181&amp;amp;retmode=ref&amp;amp;cmd=prlinks&lt;/url&gt;&lt;type&gt;400&lt;/type&gt;&lt;title&gt;Enterococcal endocarditis on native and prosthetic valves: a review of clinical and prognostic factors with emphasis on hospital-acquired infections as a major determinant of outcome.&lt;/title&gt;&lt;institution&gt;Division of Infectious Diseases (Department of Medicine). Fundación Jiménez Dìaz, Universidad Autónoma de Madrid, Madrid, Spain. mlfernandez@fjd.es&lt;/institution&gt;&lt;number&gt;6&lt;/number&gt;&lt;subtype&gt;400&lt;/subtype&gt;&lt;endpage&gt;377&lt;/endpage&gt;&lt;bundle&gt;&lt;publication&gt;&lt;title&gt;Medicine&lt;/title&gt;&lt;type&gt;-100&lt;/type&gt;&lt;subtype&gt;-100&lt;/subtype&gt;&lt;uuid&gt;3426ED47-11AA-41CC-9687-384305CA13BC&lt;/uuid&gt;&lt;/publication&gt;&lt;/bundle&gt;&lt;authors&gt;&lt;author&gt;&lt;firstName&gt;Manuel&lt;/firstName&gt;&lt;middleNames&gt;L&lt;/middleNames&gt;&lt;lastName&gt;Fernández Guerrero&lt;/lastName&gt;&lt;/author&gt;&lt;author&gt;&lt;firstName&gt;Ana&lt;/firstName&gt;&lt;lastName&gt;Goyenechea&lt;/lastName&gt;&lt;/author&gt;&lt;author&gt;&lt;firstName&gt;Carlos&lt;/firstName&gt;&lt;lastName&gt;Verdejo&lt;/lastName&gt;&lt;/author&gt;&lt;author&gt;&lt;firstName&gt;Ricardo&lt;/firstName&gt;&lt;middleNames&gt;Fernández&lt;/middleNames&gt;&lt;lastName&gt;Roblas&lt;/lastName&gt;&lt;/author&gt;&lt;author&gt;&lt;nonDroppingParticle&gt;de&lt;/nonDroppingParticle&gt;&lt;firstName&gt;Miguel&lt;/firstName&gt;&lt;lastName&gt;Górgolas&lt;/lastName&gt;&lt;/author&gt;&lt;/authors&gt;&lt;/publication&gt;&lt;publication&gt;&lt;uuid&gt;E53A7817-264E-4E88-AEAE-6391CF06F5F9&lt;/uuid&gt;&lt;volume&gt;32&lt;/volume&gt;&lt;accepted_date&gt;99200311201200000000222000&lt;/accepted_date&gt;&lt;doi&gt;10.1007/s15010-004-2036-1&lt;/doi&gt;&lt;startpage&gt;72&lt;/startpage&gt;&lt;publication_date&gt;99200404001200000000220000&lt;/publication_date&gt;&lt;url&gt;http://eutils.ncbi.nlm.nih.gov/entrez/eutils/elink.fcgi?dbfrom=pubmed&amp;amp;id=15057570&amp;amp;retmode=ref&amp;amp;cmd=prlinks&lt;/url&gt;&lt;type&gt;400&lt;/type&gt;&lt;title&gt;Risk factors for infective endocarditis in patients with enterococcal bacteremia: a case-control study.&lt;/title&gt;&lt;submission_date&gt;99200211111200000000222000&lt;/submission_date&gt;&lt;number&gt;2&lt;/number&gt;&lt;institution&gt;Department of Medicine, Duke University Medical Center, Durham, North Carolina, USA.&lt;/institution&gt;&lt;subtype&gt;400&lt;/subtype&gt;&lt;endpage&gt;77&lt;/endpage&gt;&lt;bundle&gt;&lt;publication&gt;&lt;title&gt;Infection&lt;/title&gt;&lt;type&gt;-100&lt;/type&gt;&lt;subtype&gt;-100&lt;/subtype&gt;&lt;uuid&gt;ED9423EB-25F4-4ACC-8A16-78184F1FC6C1&lt;/uuid&gt;&lt;/publication&gt;&lt;/bundle&gt;&lt;authors&gt;&lt;author&gt;&lt;firstName&gt;D&lt;/firstName&gt;&lt;middleNames&gt;J&lt;/middleNames&gt;&lt;lastName&gt;Anderson&lt;/lastName&gt;&lt;/author&gt;&lt;author&gt;&lt;firstName&gt;D&lt;/firstName&gt;&lt;middleNames&gt;R&lt;/middleNames&gt;&lt;lastName&gt;Murdoch&lt;/lastName&gt;&lt;/author&gt;&lt;author&gt;&lt;firstName&gt;D&lt;/firstName&gt;&lt;middleNames&gt;J&lt;/middleNames&gt;&lt;lastName&gt;Sexton&lt;/lastName&gt;&lt;/author&gt;&lt;author&gt;&lt;firstName&gt;L&lt;/firstName&gt;&lt;middleNames&gt;B&lt;/middleNames&gt;&lt;lastName&gt;Reller&lt;/lastName&gt;&lt;/author&gt;&lt;author&gt;&lt;firstName&gt;J&lt;/firstName&gt;&lt;middleNames&gt;E&lt;/middleNames&gt;&lt;lastName&gt;Stout&lt;/lastName&gt;&lt;/author&gt;&lt;author&gt;&lt;firstName&gt;C&lt;/firstName&gt;&lt;middleNames&gt;H&lt;/middleNames&gt;&lt;lastName&gt;Cabell&lt;/lastName&gt;&lt;/author&gt;&lt;author&gt;&lt;firstName&gt;G&lt;/firstName&gt;&lt;middleNames&gt;R&lt;/middleNames&gt;&lt;lastName&gt;Corey&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(3,6-9)</w:t>
      </w:r>
      <w:r w:rsidRPr="0085441D">
        <w:rPr>
          <w:rFonts w:ascii="Times New Roman" w:eastAsia="Times New Roman" w:hAnsi="Times New Roman" w:cs="Times New Roman"/>
          <w:bCs/>
          <w:color w:val="000000"/>
          <w:lang w:val="en-GB"/>
        </w:rPr>
        <w:fldChar w:fldCharType="end"/>
      </w:r>
      <w:r w:rsidRPr="0085441D">
        <w:rPr>
          <w:rFonts w:ascii="Times New Roman" w:eastAsia="Times New Roman" w:hAnsi="Times New Roman" w:cs="Times New Roman"/>
          <w:bCs/>
          <w:color w:val="000000"/>
          <w:lang w:val="en-GB"/>
        </w:rPr>
        <w:t>. Embolization</w:t>
      </w:r>
      <w:r w:rsidRPr="00ED72EA">
        <w:rPr>
          <w:rFonts w:ascii="Times New Roman" w:eastAsia="Times New Roman" w:hAnsi="Times New Roman" w:cs="Times New Roman"/>
          <w:bCs/>
          <w:color w:val="000000"/>
          <w:lang w:val="en-GB"/>
        </w:rPr>
        <w:t xml:space="preserve"> (vascular or immunological phenomena in the Dukes criteria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7CA788FF-2D9A-4CA5-995E-B137C83AF3B6&lt;/uuid&gt;&lt;priority&gt;8&lt;/priority&gt;&lt;publications&gt;&lt;publication&gt;&lt;uuid&gt;41B0215F-873F-4AD2-8882-6728C0C5B9E4&lt;/uuid&gt;&lt;volume&gt;30&lt;/volume&gt;&lt;doi&gt;10.1086/313753&lt;/doi&gt;&lt;startpage&gt;633&lt;/startpage&gt;&lt;revision_date&gt;99199910131200000000222000&lt;/revision_date&gt;&lt;publication_date&gt;99200004001200000000220000&lt;/publication_date&gt;&lt;url&gt;http://eutils.ncbi.nlm.nih.gov/entrez/eutils/elink.fcgi?dbfrom=pubmed&amp;amp;id=10770721&amp;amp;retmode=ref&amp;amp;cmd=prlinks&lt;/url&gt;&lt;type&gt;400&lt;/type&gt;&lt;title&gt;Proposed modifications to the Duke criteria for the diagnosis of infective endocarditis.&lt;/title&gt;&lt;submission_date&gt;99199906231200000000222000&lt;/submission_date&gt;&lt;number&gt;4&lt;/number&gt;&lt;institution&gt;Department of Pediatrics, Duke University School of Medicine, Durham, NC 27710, USA. li000001@mc.duke.edu&lt;/institution&gt;&lt;subtype&gt;400&lt;/subtype&gt;&lt;endpage&gt;638&lt;/endpage&gt;&lt;bundle&gt;&lt;publication&gt;&lt;title&gt;Clinical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J&lt;/firstName&gt;&lt;middleNames&gt;S&lt;/middleNames&gt;&lt;lastName&gt;Li&lt;/lastName&gt;&lt;/author&gt;&lt;author&gt;&lt;firstName&gt;D&lt;/firstName&gt;&lt;middleNames&gt;J&lt;/middleNames&gt;&lt;lastName&gt;Sexton&lt;/lastName&gt;&lt;/author&gt;&lt;author&gt;&lt;firstName&gt;N&lt;/firstName&gt;&lt;lastName&gt;Mick&lt;/lastName&gt;&lt;/author&gt;&lt;author&gt;&lt;firstName&gt;R&lt;/firstName&gt;&lt;lastName&gt;Nettles&lt;/lastName&gt;&lt;/author&gt;&lt;author&gt;&lt;firstName&gt;V&lt;/firstName&gt;&lt;middleNames&gt;G&lt;/middleNames&gt;&lt;lastName&gt;Fowler&lt;/lastName&gt;&lt;/author&gt;&lt;author&gt;&lt;firstName&gt;T&lt;/firstName&gt;&lt;lastName&gt;Ryan&lt;/lastName&gt;&lt;/author&gt;&lt;author&gt;&lt;firstName&gt;T&lt;/firstName&gt;&lt;lastName&gt;Bashore&lt;/lastName&gt;&lt;/author&gt;&lt;author&gt;&lt;firstName&gt;G&lt;/firstName&gt;&lt;middleNames&gt;R&lt;/middleNames&gt;&lt;lastName&gt;Corey&lt;/lastName&gt;&lt;/author&gt;&lt;/authors&gt;&lt;/publication&gt;&lt;publication&gt;&lt;volume&gt;96&lt;/volume&gt;&lt;publication_date&gt;99199403001200000000220000&lt;/publication_date&gt;&lt;number&gt;3&lt;/number&gt;&lt;institution&gt;Department of Medicine, Duke University School of Medicine, Durham, North Carolina 27710.&lt;/institution&gt;&lt;startpage&gt;200&lt;/startpage&gt;&lt;title&gt;New criteria for diagnosis of infective endocarditis: utilization of specific echocardiographic findings. Duke Endocarditis Service.&lt;/title&gt;&lt;uuid&gt;D76B9AFA-DAFE-4FD6-A03E-37D44EB6AE33&lt;/uuid&gt;&lt;subtype&gt;400&lt;/subtype&gt;&lt;endpage&gt;209&lt;/endpage&gt;&lt;type&gt;400&lt;/type&gt;&lt;url&gt;http://eutils.ncbi.nlm.nih.gov/entrez/eutils/elink.fcgi?dbfrom=pubmed&amp;amp;id=8154507&amp;amp;retmode=ref&amp;amp;cmd=prlinks&lt;/url&gt;&lt;bundle&gt;&lt;publication&gt;&lt;title&gt;The American journal of medicine&lt;/title&gt;&lt;type&gt;-100&lt;/type&gt;&lt;subtype&gt;-100&lt;/subtype&gt;&lt;uuid&gt;20322525-BB67-4205-8223-7E4E40722854&lt;/uuid&gt;&lt;/publication&gt;&lt;/bundle&gt;&lt;authors&gt;&lt;author&gt;&lt;firstName&gt;D&lt;/firstName&gt;&lt;middleNames&gt;T&lt;/middleNames&gt;&lt;lastName&gt;Durack&lt;/lastName&gt;&lt;/author&gt;&lt;author&gt;&lt;firstName&gt;A&lt;/firstName&gt;&lt;middleNames&gt;S&lt;/middleNames&gt;&lt;lastName&gt;Lukes&lt;/lastName&gt;&lt;/author&gt;&lt;author&gt;&lt;firstName&gt;D&lt;/firstName&gt;&lt;middleNames&gt;K&lt;/middleNames&gt;&lt;lastName&gt;Bright&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(1,10)</w:t>
      </w:r>
      <w:r w:rsidRPr="0085441D">
        <w:rPr>
          <w:rFonts w:ascii="Times New Roman" w:eastAsia="Times New Roman" w:hAnsi="Times New Roman" w:cs="Times New Roman"/>
          <w:bCs/>
          <w:color w:val="000000"/>
          <w:lang w:val="en-GB"/>
        </w:rPr>
        <w:fldChar w:fldCharType="end"/>
      </w:r>
      <w:r w:rsidRPr="0085441D">
        <w:rPr>
          <w:rFonts w:ascii="Times New Roman" w:eastAsia="Times New Roman" w:hAnsi="Times New Roman" w:cs="Times New Roman"/>
          <w:bCs/>
          <w:color w:val="000000"/>
          <w:lang w:val="en-GB"/>
        </w:rPr>
        <w:t xml:space="preserve"> was defined by signs on</w:t>
      </w:r>
      <w:r w:rsidRPr="00ED72EA">
        <w:rPr>
          <w:rFonts w:ascii="Times New Roman" w:eastAsia="Times New Roman" w:hAnsi="Times New Roman" w:cs="Times New Roman"/>
          <w:bCs/>
          <w:color w:val="000000"/>
          <w:lang w:val="en-GB"/>
        </w:rPr>
        <w:t xml:space="preserve"> clinical examination or the findings using imaging techniques noted in the records on admission or to the time of scoring. Spondylodiscitis and septic arthritis were not regarded as signs of embolization. </w:t>
      </w:r>
    </w:p>
    <w:p w14:paraId="2A2D43CE" w14:textId="77777777" w:rsidR="00937D3E" w:rsidRPr="0085441D" w:rsidRDefault="00937D3E" w:rsidP="00937D3E">
      <w:pPr>
        <w:spacing w:line="480" w:lineRule="auto"/>
        <w:rPr>
          <w:rFonts w:ascii="Times New Roman" w:hAnsi="Times New Roman" w:cs="Times New Roman"/>
          <w:lang w:val="en-GB"/>
        </w:rPr>
      </w:pPr>
      <w:r w:rsidRPr="00ED72EA">
        <w:rPr>
          <w:rFonts w:ascii="Times New Roman" w:hAnsi="Times New Roman" w:cs="Times New Roman"/>
          <w:lang w:val="en-GB"/>
        </w:rPr>
        <w:t xml:space="preserve">A previous </w:t>
      </w:r>
      <w:r>
        <w:rPr>
          <w:rFonts w:ascii="Times New Roman" w:hAnsi="Times New Roman" w:cs="Times New Roman"/>
          <w:lang w:val="en-GB"/>
        </w:rPr>
        <w:t>EFsB</w:t>
      </w:r>
      <w:r w:rsidRPr="00ED72EA">
        <w:rPr>
          <w:rFonts w:ascii="Times New Roman" w:hAnsi="Times New Roman" w:cs="Times New Roman"/>
          <w:lang w:val="en-GB"/>
        </w:rPr>
        <w:t xml:space="preserve"> was defined as a blood culture with growth of </w:t>
      </w:r>
      <w:r w:rsidRPr="00ED72EA">
        <w:rPr>
          <w:rFonts w:ascii="Times New Roman" w:hAnsi="Times New Roman" w:cs="Times New Roman"/>
          <w:i/>
          <w:lang w:val="en-GB"/>
        </w:rPr>
        <w:t>E. faecalis</w:t>
      </w:r>
      <w:r w:rsidRPr="00ED72EA">
        <w:rPr>
          <w:rFonts w:ascii="Times New Roman" w:hAnsi="Times New Roman" w:cs="Times New Roman"/>
          <w:lang w:val="en-GB"/>
        </w:rPr>
        <w:t xml:space="preserve">, within the previous 90 days preceding an episode. </w:t>
      </w:r>
      <w:r w:rsidRPr="00ED72EA">
        <w:rPr>
          <w:rFonts w:ascii="Times New Roman" w:eastAsia="Times New Roman" w:hAnsi="Times New Roman" w:cs="Times New Roman"/>
          <w:bCs/>
          <w:color w:val="000000"/>
          <w:lang w:val="en-GB"/>
        </w:rPr>
        <w:t xml:space="preserve">Site of acquisition was defined as previously described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5E38F1F8-6A15-49AA-BA30-11F366EC7D0F&lt;/uuid&gt;&lt;priority&gt;9&lt;/priority&gt;&lt;publications&gt;&lt;publication&gt;&lt;volume&gt;137&lt;/volume&gt;&lt;publication_date&gt;99200211191200000000222000&lt;/publication_date&gt;&lt;number&gt;10&lt;/number&gt;&lt;institution&gt;Division of Infectious Diseases, Duke University Medical Center and Durham Regional Hospital, Box 3605, Durham, NC 27710, USA.&lt;/institution&gt;&lt;startpage&gt;791&lt;/startpage&gt;&lt;title&gt;Health care--associated bloodstream infections in adults: a reason to change the accepted definition of community-acquired infections.&lt;/title&gt;&lt;uuid&gt;2AA6A5DC-90E4-4D30-9AE7-78CC3FE86B26&lt;/uuid&gt;&lt;subtype&gt;400&lt;/subtype&gt;&lt;endpage&gt;797&lt;/endpage&gt;&lt;type&gt;400&lt;/type&gt;&lt;url&gt;http://eutils.ncbi.nlm.nih.gov/entrez/eutils/elink.fcgi?dbfrom=pubmed&amp;amp;id=12435215&amp;amp;retmode=ref&amp;amp;cmd=prlinks&lt;/url&gt;&lt;bundle&gt;&lt;publication&gt;&lt;title&gt;Annals of internal medicine&lt;/title&gt;&lt;type&gt;-100&lt;/type&gt;&lt;subtype&gt;-100&lt;/subtype&gt;&lt;uuid&gt;A90455B0-20D3-44A3-82DE-CA33FD375968&lt;/uuid&gt;&lt;/publication&gt;&lt;/bundle&gt;&lt;authors&gt;&lt;author&gt;&lt;firstName&gt;N&lt;/firstName&gt;&lt;middleNames&gt;Deborah&lt;/middleNames&gt;&lt;lastName&gt;Friedman&lt;/lastName&gt;&lt;/author&gt;&lt;author&gt;&lt;firstName&gt;Keith&lt;/firstName&gt;&lt;middleNames&gt;S&lt;/middleNames&gt;&lt;lastName&gt;Kaye&lt;/lastName&gt;&lt;/author&gt;&lt;author&gt;&lt;firstName&gt;Jason&lt;/firstName&gt;&lt;middleNames&gt;E&lt;/middleNames&gt;&lt;lastName&gt;Stout&lt;/lastName&gt;&lt;/author&gt;&lt;author&gt;&lt;firstName&gt;Sarah&lt;/firstName&gt;&lt;middleNames&gt;A&lt;/middleNames&gt;&lt;lastName&gt;McGarry&lt;/lastName&gt;&lt;/author&gt;&lt;author&gt;&lt;firstName&gt;Sharon&lt;/firstName&gt;&lt;middleNames&gt;L&lt;/middleNames&gt;&lt;lastName&gt;Trivette&lt;/lastName&gt;&lt;/author&gt;&lt;author&gt;&lt;firstName&gt;Jane&lt;/firstName&gt;&lt;middleNames&gt;P&lt;/middleNames&gt;&lt;lastName&gt;Briggs&lt;/lastName&gt;&lt;/author&gt;&lt;author&gt;&lt;firstName&gt;Wanda&lt;/firstName&gt;&lt;lastName&gt;Lamm&lt;/lastName&gt;&lt;/author&gt;&lt;author&gt;&lt;firstName&gt;Connie&lt;/firstName&gt;&lt;lastName&gt;Clark&lt;/lastName&gt;&lt;/author&gt;&lt;author&gt;&lt;firstName&gt;Jennifer&lt;/firstName&gt;&lt;lastName&gt;MacFarquhar&lt;/lastName&gt;&lt;/author&gt;&lt;author&gt;&lt;firstName&gt;Aaron&lt;/firstName&gt;&lt;middleNames&gt;L&lt;/middleNames&gt;&lt;lastName&gt;Walton&lt;/lastName&gt;&lt;/author&gt;&lt;author&gt;&lt;firstName&gt;L&lt;/firstName&gt;&lt;middleNames&gt;Barth&lt;/middleNames&gt;&lt;lastName&gt;Reller&lt;/lastName&gt;&lt;/author&gt;&lt;author&gt;&lt;firstName&gt;Daniel&lt;/firstName&gt;&lt;middleNames&gt;J&lt;/middleNames&gt;&lt;lastName&gt;Sexton&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(11)</w:t>
      </w:r>
      <w:r w:rsidRPr="0085441D">
        <w:rPr>
          <w:rFonts w:ascii="Times New Roman" w:eastAsia="Times New Roman" w:hAnsi="Times New Roman" w:cs="Times New Roman"/>
          <w:bCs/>
          <w:color w:val="000000"/>
          <w:lang w:val="en-GB"/>
        </w:rPr>
        <w:fldChar w:fldCharType="end"/>
      </w:r>
      <w:r w:rsidRPr="0085441D">
        <w:rPr>
          <w:rFonts w:ascii="Times New Roman" w:eastAsia="Times New Roman" w:hAnsi="Times New Roman" w:cs="Times New Roman"/>
          <w:bCs/>
          <w:color w:val="000000"/>
          <w:lang w:val="en-GB"/>
        </w:rPr>
        <w:t>. Comorbidities were classified according to the Charlson index</w:t>
      </w:r>
      <w:r w:rsidRPr="0085441D">
        <w:rPr>
          <w:rFonts w:ascii="Times New Roman" w:eastAsia="Times New Roman" w:hAnsi="Times New Roman" w:cs="Times New Roman"/>
          <w:bCs/>
          <w:i/>
          <w:color w:val="000000"/>
          <w:lang w:val="en-GB"/>
        </w:rPr>
        <w:t xml:space="preserve"> </w:t>
      </w:r>
      <w:r w:rsidRPr="0085441D">
        <w:rPr>
          <w:rFonts w:ascii="Times New Roman" w:eastAsia="Times New Roman" w:hAnsi="Times New Roman" w:cs="Times New Roman"/>
          <w:bCs/>
          <w:i/>
          <w:color w:val="000000"/>
          <w:lang w:val="en-GB"/>
        </w:rPr>
        <w:fldChar w:fldCharType="begin"/>
      </w:r>
      <w:r w:rsidR="00013B98">
        <w:rPr>
          <w:rFonts w:ascii="Times New Roman" w:eastAsia="Times New Roman" w:hAnsi="Times New Roman" w:cs="Times New Roman"/>
          <w:bCs/>
          <w:i/>
          <w:color w:val="000000"/>
          <w:lang w:val="en-GB"/>
        </w:rPr>
        <w:instrText xml:space="preserve"> ADDIN PAPERS2_CITATIONS &lt;citation&gt;&lt;uuid&gt;6ABB9EF0-C99B-499B-8D60-AF1F86D3D2B2&lt;/uuid&gt;&lt;priority&gt;10&lt;/priority&gt;&lt;publications&gt;&lt;publication&gt;&lt;volume&gt;40&lt;/volume&gt;&lt;publication_date&gt;99198700001200000000200000&lt;/publication_date&gt;&lt;number&gt;5&lt;/number&gt;&lt;startpage&gt;373&lt;/startpage&gt;&lt;title&gt;A new method of classifying prognostic comorbidity in longitudinal studies: development and validation.&lt;/title&gt;&lt;uuid&gt;27922306-7180-48C4-A393-5336B90F3B1F&lt;/uuid&gt;&lt;subtype&gt;400&lt;/subtype&gt;&lt;endpage&gt;383&lt;/endpage&gt;&lt;type&gt;400&lt;/type&gt;&lt;url&gt;http://eutils.ncbi.nlm.nih.gov/entrez/eutils/elink.fcgi?dbfrom=pubmed&amp;amp;id=3558716&amp;amp;retmode=ref&amp;amp;cmd=prlinks&lt;/url&gt;&lt;bundle&gt;&lt;publication&gt;&lt;title&gt;Journal of chronic diseases&lt;/title&gt;&lt;type&gt;-100&lt;/type&gt;&lt;subtype&gt;-100&lt;/subtype&gt;&lt;uuid&gt;588F5CF9-49BC-423B-83F1-837813B2AE27&lt;/uuid&gt;&lt;/publication&gt;&lt;/bundle&gt;&lt;authors&gt;&lt;author&gt;&lt;firstName&gt;M&lt;/firstName&gt;&lt;middleNames&gt;E&lt;/middleNames&gt;&lt;lastName&gt;Charlson&lt;/lastName&gt;&lt;/author&gt;&lt;author&gt;&lt;firstName&gt;P&lt;/firstName&gt;&lt;lastName&gt;Pompei&lt;/lastName&gt;&lt;/author&gt;&lt;author&gt;&lt;firstName&gt;K&lt;/firstName&gt;&lt;middleNames&gt;L&lt;/middleNames&gt;&lt;lastName&gt;Ales&lt;/lastName&gt;&lt;/author&gt;&lt;author&gt;&lt;firstName&gt;C&lt;/firstName&gt;&lt;middleNames&gt;R&lt;/middleNames&gt;&lt;lastName&gt;MacKenzie&lt;/lastName&gt;&lt;/author&gt;&lt;/authors&gt;&lt;/publication&gt;&lt;/publications&gt;&lt;cites&gt;&lt;/cites&gt;&lt;/citation&gt;</w:instrText>
      </w:r>
      <w:r w:rsidRPr="0085441D">
        <w:rPr>
          <w:rFonts w:ascii="Times New Roman" w:eastAsia="Times New Roman" w:hAnsi="Times New Roman" w:cs="Times New Roman"/>
          <w:bCs/>
          <w:i/>
          <w:color w:val="000000"/>
          <w:lang w:val="en-GB"/>
        </w:rPr>
        <w:fldChar w:fldCharType="separate"/>
      </w:r>
      <w:r w:rsidR="00013B98">
        <w:rPr>
          <w:rFonts w:ascii="Times New Roman" w:hAnsi="Times New Roman" w:cs="Times New Roman"/>
          <w:lang w:eastAsia="sv-SE"/>
        </w:rPr>
        <w:t>(12)</w:t>
      </w:r>
      <w:r w:rsidRPr="0085441D">
        <w:rPr>
          <w:rFonts w:ascii="Times New Roman" w:eastAsia="Times New Roman" w:hAnsi="Times New Roman" w:cs="Times New Roman"/>
          <w:bCs/>
          <w:i/>
          <w:color w:val="000000"/>
          <w:lang w:val="en-GB"/>
        </w:rPr>
        <w:fldChar w:fldCharType="end"/>
      </w:r>
      <w:r w:rsidRPr="0085441D">
        <w:rPr>
          <w:rFonts w:ascii="Times New Roman" w:eastAsia="Times New Roman" w:hAnsi="Times New Roman" w:cs="Times New Roman"/>
          <w:bCs/>
          <w:color w:val="000000"/>
          <w:lang w:val="en-GB"/>
        </w:rPr>
        <w:t xml:space="preserve">. </w:t>
      </w:r>
    </w:p>
    <w:p w14:paraId="258EFED1" w14:textId="77777777" w:rsidR="00937D3E" w:rsidRPr="00ED72EA" w:rsidRDefault="00937D3E" w:rsidP="00937D3E">
      <w:pPr>
        <w:spacing w:line="480" w:lineRule="auto"/>
        <w:rPr>
          <w:rFonts w:ascii="Times New Roman" w:eastAsia="Times New Roman" w:hAnsi="Times New Roman" w:cs="Times New Roman"/>
          <w:bCs/>
          <w:color w:val="000000"/>
          <w:lang w:val="en-GB"/>
        </w:rPr>
      </w:pPr>
    </w:p>
    <w:p w14:paraId="79D26E9D" w14:textId="77777777" w:rsidR="00937D3E" w:rsidRPr="00ED72EA" w:rsidRDefault="00937D3E" w:rsidP="00937D3E">
      <w:pPr>
        <w:spacing w:line="480" w:lineRule="auto"/>
        <w:rPr>
          <w:rFonts w:ascii="Times New Roman" w:eastAsia="Times New Roman" w:hAnsi="Times New Roman" w:cs="Times New Roman"/>
          <w:bCs/>
          <w:color w:val="000000"/>
          <w:lang w:val="en-GB"/>
        </w:rPr>
      </w:pPr>
      <w:r w:rsidRPr="00ED72EA">
        <w:rPr>
          <w:rFonts w:ascii="Times New Roman" w:eastAsia="Times New Roman" w:hAnsi="Times New Roman" w:cs="Times New Roman"/>
          <w:bCs/>
          <w:color w:val="000000"/>
          <w:lang w:val="en-GB"/>
        </w:rPr>
        <w:t>Data collection</w:t>
      </w:r>
    </w:p>
    <w:p w14:paraId="18EA834F" w14:textId="77777777" w:rsidR="00937D3E" w:rsidRDefault="00937D3E" w:rsidP="00937D3E">
      <w:pPr>
        <w:spacing w:line="480" w:lineRule="auto"/>
        <w:rPr>
          <w:rFonts w:ascii="Times New Roman" w:eastAsia="Times New Roman" w:hAnsi="Times New Roman" w:cs="Times New Roman"/>
          <w:bCs/>
          <w:color w:val="000000"/>
          <w:lang w:val="en-GB"/>
        </w:rPr>
      </w:pPr>
      <w:r w:rsidRPr="00ED72EA">
        <w:rPr>
          <w:rFonts w:ascii="Times New Roman" w:eastAsia="Times New Roman" w:hAnsi="Times New Roman" w:cs="Times New Roman"/>
          <w:bCs/>
          <w:color w:val="000000"/>
          <w:lang w:val="en-GB"/>
        </w:rPr>
        <w:t>Data from each episode w</w:t>
      </w:r>
      <w:r>
        <w:rPr>
          <w:rFonts w:ascii="Times New Roman" w:eastAsia="Times New Roman" w:hAnsi="Times New Roman" w:cs="Times New Roman"/>
          <w:bCs/>
          <w:color w:val="000000"/>
          <w:lang w:val="en-GB"/>
        </w:rPr>
        <w:t>ere</w:t>
      </w:r>
      <w:r w:rsidRPr="00ED72EA">
        <w:rPr>
          <w:rFonts w:ascii="Times New Roman" w:eastAsia="Times New Roman" w:hAnsi="Times New Roman" w:cs="Times New Roman"/>
          <w:bCs/>
          <w:color w:val="000000"/>
          <w:lang w:val="en-GB"/>
        </w:rPr>
        <w:t xml:space="preserve"> collected from 90 days before its start until 360 days after it was completed. Thus, age, gender, previous EFsB, symptoms, signs, performed radiology and its results, culture results other than blood cultures, haematuria, duration of symptoms, 30 and 360 days mortality, days hospitalized, and cultures or clinical conditions indicating therapeutical failure during follow up was registered. Further, data on intravenous drug use, other predisposing heart conditions, fever, vascular or immunological phenomena, </w:t>
      </w:r>
      <w:r w:rsidRPr="00ED72EA">
        <w:rPr>
          <w:rFonts w:ascii="Times New Roman" w:eastAsia="Times New Roman" w:hAnsi="Times New Roman" w:cs="Times New Roman"/>
          <w:bCs/>
          <w:color w:val="000000"/>
          <w:lang w:val="en-GB"/>
        </w:rPr>
        <w:lastRenderedPageBreak/>
        <w:t xml:space="preserve">microbiological data fulfilling or not fulfilling the prerequisites for minor or major criteria, and weather TTE or TEE was performed and if diagnostic criteria for IE was met </w:t>
      </w:r>
      <w:r w:rsidRPr="0085441D">
        <w:rPr>
          <w:rFonts w:ascii="Times New Roman" w:eastAsia="Times New Roman" w:hAnsi="Times New Roman" w:cs="Times New Roman"/>
          <w:bCs/>
          <w:color w:val="000000"/>
          <w:lang w:val="en-GB"/>
        </w:rPr>
        <w:fldChar w:fldCharType="begin"/>
      </w:r>
      <w:r w:rsidR="00013B98">
        <w:rPr>
          <w:rFonts w:ascii="Times New Roman" w:eastAsia="Times New Roman" w:hAnsi="Times New Roman" w:cs="Times New Roman"/>
          <w:bCs/>
          <w:color w:val="000000"/>
          <w:lang w:val="en-GB"/>
        </w:rPr>
        <w:instrText xml:space="preserve"> ADDIN PAPERS2_CITATIONS &lt;citation&gt;&lt;uuid&gt;BD757B91-87EB-4732-86AB-7BA64F3553EF&lt;/uuid&gt;&lt;priority&gt;11&lt;/priority&gt;&lt;publications&gt;&lt;publication&gt;&lt;uuid&gt;41B0215F-873F-4AD2-8882-6728C0C5B9E4&lt;/uuid&gt;&lt;volume&gt;30&lt;/volume&gt;&lt;doi&gt;10.1086/313753&lt;/doi&gt;&lt;startpage&gt;633&lt;/startpage&gt;&lt;revision_date&gt;99199910131200000000222000&lt;/revision_date&gt;&lt;publication_date&gt;99200004001200000000220000&lt;/publication_date&gt;&lt;url&gt;http://eutils.ncbi.nlm.nih.gov/entrez/eutils/elink.fcgi?dbfrom=pubmed&amp;amp;id=10770721&amp;amp;retmode=ref&amp;amp;cmd=prlinks&lt;/url&gt;&lt;type&gt;400&lt;/type&gt;&lt;title&gt;Proposed modifications to the Duke criteria for the diagnosis of infective endocarditis.&lt;/title&gt;&lt;submission_date&gt;99199906231200000000222000&lt;/submission_date&gt;&lt;number&gt;4&lt;/number&gt;&lt;institution&gt;Department of Pediatrics, Duke University School of Medicine, Durham, NC 27710, USA. li000001@mc.duke.edu&lt;/institution&gt;&lt;subtype&gt;400&lt;/subtype&gt;&lt;endpage&gt;638&lt;/endpage&gt;&lt;bundle&gt;&lt;publication&gt;&lt;title&gt;Clinical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J&lt;/firstName&gt;&lt;middleNames&gt;S&lt;/middleNames&gt;&lt;lastName&gt;Li&lt;/lastName&gt;&lt;/author&gt;&lt;author&gt;&lt;firstName&gt;D&lt;/firstName&gt;&lt;middleNames&gt;J&lt;/middleNames&gt;&lt;lastName&gt;Sexton&lt;/lastName&gt;&lt;/author&gt;&lt;author&gt;&lt;firstName&gt;N&lt;/firstName&gt;&lt;lastName&gt;Mick&lt;/lastName&gt;&lt;/author&gt;&lt;author&gt;&lt;firstName&gt;R&lt;/firstName&gt;&lt;lastName&gt;Nettles&lt;/lastName&gt;&lt;/author&gt;&lt;author&gt;&lt;firstName&gt;V&lt;/firstName&gt;&lt;middleNames&gt;G&lt;/middleNames&gt;&lt;lastName&gt;Fowler&lt;/lastName&gt;&lt;/author&gt;&lt;author&gt;&lt;firstName&gt;T&lt;/firstName&gt;&lt;lastName&gt;Ryan&lt;/lastName&gt;&lt;/author&gt;&lt;author&gt;&lt;firstName&gt;T&lt;/firstName&gt;&lt;lastName&gt;Bashore&lt;/lastName&gt;&lt;/author&gt;&lt;author&gt;&lt;firstName&gt;G&lt;/firstName&gt;&lt;middleNames&gt;R&lt;/middleNames&gt;&lt;lastName&gt;Corey&lt;/lastName&gt;&lt;/author&gt;&lt;/authors&gt;&lt;/publication&gt;&lt;/publications&gt;&lt;cites&gt;&lt;/cites&gt;&lt;/citation&gt;</w:instrText>
      </w:r>
      <w:r w:rsidRPr="0085441D">
        <w:rPr>
          <w:rFonts w:ascii="Times New Roman" w:eastAsia="Times New Roman" w:hAnsi="Times New Roman" w:cs="Times New Roman"/>
          <w:bCs/>
          <w:color w:val="000000"/>
          <w:lang w:val="en-GB"/>
        </w:rPr>
        <w:fldChar w:fldCharType="separate"/>
      </w:r>
      <w:r w:rsidR="00013B98">
        <w:rPr>
          <w:rFonts w:ascii="Times New Roman" w:hAnsi="Times New Roman" w:cs="Times New Roman"/>
          <w:lang w:eastAsia="sv-SE"/>
        </w:rPr>
        <w:t>(1)</w:t>
      </w:r>
      <w:r w:rsidRPr="0085441D">
        <w:rPr>
          <w:rFonts w:ascii="Times New Roman" w:eastAsia="Times New Roman" w:hAnsi="Times New Roman" w:cs="Times New Roman"/>
          <w:bCs/>
          <w:color w:val="000000"/>
          <w:lang w:val="en-GB"/>
        </w:rPr>
        <w:fldChar w:fldCharType="end"/>
      </w:r>
      <w:r w:rsidRPr="0085441D">
        <w:rPr>
          <w:rFonts w:ascii="Times New Roman" w:eastAsia="Times New Roman" w:hAnsi="Times New Roman" w:cs="Times New Roman"/>
          <w:bCs/>
          <w:color w:val="000000"/>
          <w:lang w:val="en-GB"/>
        </w:rPr>
        <w:t>, were collected</w:t>
      </w:r>
      <w:r w:rsidRPr="00ED72EA">
        <w:rPr>
          <w:rFonts w:ascii="Times New Roman" w:eastAsia="Times New Roman" w:hAnsi="Times New Roman" w:cs="Times New Roman"/>
          <w:bCs/>
          <w:color w:val="000000"/>
          <w:lang w:val="en-GB"/>
        </w:rPr>
        <w:t xml:space="preserve">. </w:t>
      </w:r>
    </w:p>
    <w:p w14:paraId="77BC345B" w14:textId="77777777" w:rsidR="00BB20B9" w:rsidRPr="00ED72EA" w:rsidRDefault="00BB20B9" w:rsidP="00937D3E">
      <w:pPr>
        <w:spacing w:line="480" w:lineRule="auto"/>
        <w:rPr>
          <w:rFonts w:ascii="Times New Roman" w:hAnsi="Times New Roman" w:cs="Times New Roman"/>
          <w:lang w:val="en-GB"/>
        </w:rPr>
      </w:pPr>
    </w:p>
    <w:p w14:paraId="0A316BEA" w14:textId="77777777" w:rsidR="00937D3E" w:rsidRDefault="00013B98" w:rsidP="00937D3E">
      <w:pPr>
        <w:rPr>
          <w:rFonts w:ascii="Times New Roman" w:hAnsi="Times New Roman" w:cs="Times New Roman"/>
          <w:lang w:val="en-GB"/>
        </w:rPr>
      </w:pPr>
      <w:r>
        <w:rPr>
          <w:rFonts w:ascii="Times New Roman" w:hAnsi="Times New Roman" w:cs="Times New Roman"/>
          <w:lang w:val="en-GB"/>
        </w:rPr>
        <w:t>References</w:t>
      </w:r>
    </w:p>
    <w:p w14:paraId="2505B65E"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fldChar w:fldCharType="begin"/>
      </w:r>
      <w:r>
        <w:instrText xml:space="preserve"> ADDIN PAPERS2_CITATIONS &lt;papers2_bibliography/&gt;</w:instrText>
      </w:r>
      <w:r>
        <w:fldChar w:fldCharType="separate"/>
      </w:r>
      <w:r>
        <w:rPr>
          <w:rFonts w:ascii="Cambria" w:hAnsi="Cambria" w:cs="Cambria"/>
          <w:lang w:eastAsia="sv-SE"/>
        </w:rPr>
        <w:t>1.</w:t>
      </w:r>
      <w:r>
        <w:rPr>
          <w:rFonts w:ascii="Cambria" w:hAnsi="Cambria" w:cs="Cambria"/>
          <w:lang w:eastAsia="sv-SE"/>
        </w:rPr>
        <w:tab/>
        <w:t xml:space="preserve">Li JS, Sexton DJ, Mick N, Nettles R, Fowler VG, Ryan T, et al. Proposed modifications to the Duke criteria for the diagnosis of infective endocarditis. Clin Infect Dis. 2000 Apr;30(4):633–8. </w:t>
      </w:r>
    </w:p>
    <w:p w14:paraId="6731FD20"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2.</w:t>
      </w:r>
      <w:r>
        <w:rPr>
          <w:rFonts w:ascii="Cambria" w:hAnsi="Cambria" w:cs="Cambria"/>
          <w:lang w:eastAsia="sv-SE"/>
        </w:rPr>
        <w:tab/>
        <w:t xml:space="preserve">Bouza E, Kestler M, Beca T, Mariscal G, Rodríguez-Créixems M, Bermejo J, et al. The NOVA score: a proposal to reduce the need for transesophageal echocardiography in patients with enterococcal bacteremia. Clin Infect Dis. 2015 Feb 15;60(4):528–35. </w:t>
      </w:r>
    </w:p>
    <w:p w14:paraId="03C8B1AF"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3.</w:t>
      </w:r>
      <w:r>
        <w:rPr>
          <w:rFonts w:ascii="Cambria" w:hAnsi="Cambria" w:cs="Cambria"/>
          <w:lang w:eastAsia="sv-SE"/>
        </w:rPr>
        <w:tab/>
        <w:t xml:space="preserve">Dahl A, Lauridsen TK, Arpi M, Sørensen LL, Ostergaard C, Sogaard P, et al. Risk Factors of Endocarditis in Patients With </w:t>
      </w:r>
      <w:r>
        <w:rPr>
          <w:rFonts w:ascii="Cambria" w:hAnsi="Cambria" w:cs="Cambria"/>
          <w:i/>
          <w:iCs/>
          <w:lang w:eastAsia="sv-SE"/>
        </w:rPr>
        <w:t xml:space="preserve">Enterococcus faecalis </w:t>
      </w:r>
      <w:r>
        <w:rPr>
          <w:rFonts w:ascii="Cambria" w:hAnsi="Cambria" w:cs="Cambria"/>
          <w:lang w:eastAsia="sv-SE"/>
        </w:rPr>
        <w:t xml:space="preserve">Bacteremia: External Validation of the NOVA Score. Clin Infect Dis. 2016 Sep 15;63(6):771–5. </w:t>
      </w:r>
    </w:p>
    <w:p w14:paraId="4555401F"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4.</w:t>
      </w:r>
      <w:r>
        <w:rPr>
          <w:rFonts w:ascii="Cambria" w:hAnsi="Cambria" w:cs="Cambria"/>
          <w:lang w:eastAsia="sv-SE"/>
        </w:rPr>
        <w:tab/>
        <w:t xml:space="preserve">Dajani AS, Bisno AL, Chung KJ, Durack DT, Freed M, Gerber MA, et al. Prevention of bacterial endocarditis. Recommendations by the American Heart Association. JAMA. 1990 Dec 12;264(22):2919–22. </w:t>
      </w:r>
    </w:p>
    <w:p w14:paraId="7289ABEB"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5.</w:t>
      </w:r>
      <w:r>
        <w:rPr>
          <w:rFonts w:ascii="Cambria" w:hAnsi="Cambria" w:cs="Cambria"/>
          <w:lang w:eastAsia="sv-SE"/>
        </w:rPr>
        <w:tab/>
        <w:t xml:space="preserve">Steckelberg JM, Wilson WR. Risk factors for infective endocarditis. Infect Dis Clin North Am. 1993 Mar;7(1):9–19. </w:t>
      </w:r>
    </w:p>
    <w:p w14:paraId="26953B3A"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6.</w:t>
      </w:r>
      <w:r>
        <w:rPr>
          <w:rFonts w:ascii="Cambria" w:hAnsi="Cambria" w:cs="Cambria"/>
          <w:lang w:eastAsia="sv-SE"/>
        </w:rPr>
        <w:tab/>
        <w:t xml:space="preserve">Maki DG, Agger WA. Enterococcal bacteremia: clinical features, the risk of endocarditis, and management. Medicine (Baltimore). 1988 Jul;67(4):248–69. </w:t>
      </w:r>
    </w:p>
    <w:p w14:paraId="460DE66E"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7.</w:t>
      </w:r>
      <w:r>
        <w:rPr>
          <w:rFonts w:ascii="Cambria" w:hAnsi="Cambria" w:cs="Cambria"/>
          <w:lang w:eastAsia="sv-SE"/>
        </w:rPr>
        <w:tab/>
        <w:t xml:space="preserve">Fernández-Guerrero ML, Herrero L, Bellver M, Gadea I, Roblas RF, de Górgolas M. Nosocomial enterococcal endocarditis: a serious hazard for hospitalized patients with enterococcal bacteraemia. J Intern Med. 2002 Dec;252(6):510–5. </w:t>
      </w:r>
    </w:p>
    <w:p w14:paraId="1E4DD2F2"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8.</w:t>
      </w:r>
      <w:r>
        <w:rPr>
          <w:rFonts w:ascii="Cambria" w:hAnsi="Cambria" w:cs="Cambria"/>
          <w:lang w:eastAsia="sv-SE"/>
        </w:rPr>
        <w:tab/>
        <w:t xml:space="preserve">Fernández Guerrero ML, Goyenechea A, Verdejo C, Roblas RF, de Górgolas M. Enterococcal endocarditis on native and prosthetic valves: a review of clinical and prognostic factors with emphasis on hospital-acquired infections as a major determinant of outcome. Medicine (Baltimore). 2007 Nov;86(6):363–77. </w:t>
      </w:r>
    </w:p>
    <w:p w14:paraId="2AA23E3F"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9.</w:t>
      </w:r>
      <w:r>
        <w:rPr>
          <w:rFonts w:ascii="Cambria" w:hAnsi="Cambria" w:cs="Cambria"/>
          <w:lang w:eastAsia="sv-SE"/>
        </w:rPr>
        <w:tab/>
        <w:t xml:space="preserve">Anderson DJ, Murdoch DR, Sexton DJ, Reller LB, Stout JE, Cabell CH, et al. Risk factors for infective endocarditis in patients with enterococcal bacteremia: a case-control study. Infection. 2004 Apr;32(2):72–7. </w:t>
      </w:r>
    </w:p>
    <w:p w14:paraId="2D3AB06F"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10.</w:t>
      </w:r>
      <w:r>
        <w:rPr>
          <w:rFonts w:ascii="Cambria" w:hAnsi="Cambria" w:cs="Cambria"/>
          <w:lang w:eastAsia="sv-SE"/>
        </w:rPr>
        <w:tab/>
        <w:t xml:space="preserve">Durack DT, Lukes AS, Bright DK. New criteria for diagnosis of infective endocarditis: utilization of specific echocardiographic findings. Duke Endocarditis Service. Am J Med. 1994 Mar;96(3):200–9. </w:t>
      </w:r>
    </w:p>
    <w:p w14:paraId="3F8F58FB"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11.</w:t>
      </w:r>
      <w:r>
        <w:rPr>
          <w:rFonts w:ascii="Cambria" w:hAnsi="Cambria" w:cs="Cambria"/>
          <w:lang w:eastAsia="sv-SE"/>
        </w:rPr>
        <w:tab/>
        <w:t xml:space="preserve">Friedman ND, Kaye KS, Stout JE, McGarry SA, Trivette SL, Briggs JP, et al. Health care--associated bloodstream infections in adults: a reason to change the accepted definition of community-acquired infections. Ann Intern Med. 2002 Nov 19;137(10):791–7. </w:t>
      </w:r>
    </w:p>
    <w:p w14:paraId="79557A09" w14:textId="77777777" w:rsidR="00013B98" w:rsidRDefault="00013B98" w:rsidP="00013B98">
      <w:pPr>
        <w:widowControl w:val="0"/>
        <w:tabs>
          <w:tab w:val="left" w:pos="640"/>
        </w:tabs>
        <w:autoSpaceDE w:val="0"/>
        <w:autoSpaceDN w:val="0"/>
        <w:adjustRightInd w:val="0"/>
        <w:spacing w:after="240"/>
        <w:ind w:left="640" w:hanging="640"/>
        <w:rPr>
          <w:rFonts w:ascii="Cambria" w:hAnsi="Cambria" w:cs="Cambria"/>
          <w:lang w:eastAsia="sv-SE"/>
        </w:rPr>
      </w:pPr>
      <w:r>
        <w:rPr>
          <w:rFonts w:ascii="Cambria" w:hAnsi="Cambria" w:cs="Cambria"/>
          <w:lang w:eastAsia="sv-SE"/>
        </w:rPr>
        <w:t>12.</w:t>
      </w:r>
      <w:r>
        <w:rPr>
          <w:rFonts w:ascii="Cambria" w:hAnsi="Cambria" w:cs="Cambria"/>
          <w:lang w:eastAsia="sv-SE"/>
        </w:rPr>
        <w:tab/>
        <w:t xml:space="preserve">Charlson ME, Pompei P, Ales KL, MacKenzie CR. A new method of classifying prognostic comorbidity in longitudinal studies: development and validation. J Chronic Dis. 1987;40(5):373–83. </w:t>
      </w:r>
    </w:p>
    <w:p w14:paraId="5F3797D7" w14:textId="77777777" w:rsidR="00013B98" w:rsidRDefault="00013B98" w:rsidP="00013B98">
      <w:r>
        <w:fldChar w:fldCharType="end"/>
      </w:r>
    </w:p>
    <w:p w14:paraId="72C8F496" w14:textId="77777777" w:rsidR="00937D3E" w:rsidRDefault="00937D3E" w:rsidP="00937D3E">
      <w:pPr>
        <w:rPr>
          <w:rFonts w:ascii="Times New Roman" w:hAnsi="Times New Roman" w:cs="Times New Roman"/>
          <w:lang w:val="en-GB"/>
        </w:rPr>
      </w:pPr>
      <w:r>
        <w:rPr>
          <w:rFonts w:ascii="Times New Roman" w:hAnsi="Times New Roman" w:cs="Times New Roman"/>
          <w:lang w:val="en-GB"/>
        </w:rPr>
        <w:br w:type="page"/>
      </w:r>
    </w:p>
    <w:p w14:paraId="225C0466" w14:textId="77777777" w:rsidR="00BB20B9" w:rsidRDefault="00BB20B9" w:rsidP="00937D3E">
      <w:pPr>
        <w:rPr>
          <w:rFonts w:ascii="Times New Roman" w:hAnsi="Times New Roman" w:cs="Times New Roman"/>
          <w:lang w:val="en-GB"/>
        </w:rPr>
      </w:pPr>
      <w:r>
        <w:rPr>
          <w:rFonts w:ascii="Times New Roman" w:hAnsi="Times New Roman" w:cs="Times New Roman"/>
          <w:lang w:val="en-GB"/>
        </w:rPr>
        <w:lastRenderedPageBreak/>
        <w:t>Supplementary material 2</w:t>
      </w:r>
      <w:r w:rsidRPr="0085441D">
        <w:rPr>
          <w:rFonts w:ascii="Times New Roman" w:hAnsi="Times New Roman" w:cs="Times New Roman"/>
          <w:lang w:val="en-GB"/>
        </w:rPr>
        <w:t>.</w:t>
      </w:r>
    </w:p>
    <w:p w14:paraId="3F2171BB" w14:textId="77777777" w:rsidR="00BB20B9" w:rsidRDefault="00BB20B9" w:rsidP="00937D3E">
      <w:pPr>
        <w:rPr>
          <w:rFonts w:ascii="Times New Roman" w:hAnsi="Times New Roman" w:cs="Times New Roman"/>
          <w:lang w:val="en-GB"/>
        </w:rPr>
      </w:pPr>
    </w:p>
    <w:p w14:paraId="0114E103" w14:textId="77777777" w:rsidR="00937D3E" w:rsidRDefault="00BB20B9" w:rsidP="00937D3E">
      <w:pPr>
        <w:rPr>
          <w:rFonts w:ascii="Times New Roman" w:hAnsi="Times New Roman" w:cs="Times New Roman"/>
          <w:lang w:val="en-GB"/>
        </w:rPr>
      </w:pPr>
      <w:r w:rsidRPr="0085441D">
        <w:rPr>
          <w:rFonts w:ascii="Times New Roman" w:hAnsi="Times New Roman" w:cs="Times New Roman"/>
          <w:lang w:val="en-GB"/>
        </w:rPr>
        <w:t xml:space="preserve"> </w:t>
      </w:r>
      <w:r w:rsidRPr="00BB20B9">
        <w:rPr>
          <w:rFonts w:ascii="Times New Roman" w:hAnsi="Times New Roman" w:cs="Times New Roman"/>
        </w:rPr>
        <mc:AlternateContent>
          <mc:Choice Requires="wpg">
            <w:drawing>
              <wp:inline distT="0" distB="0" distL="0" distR="0" wp14:anchorId="0B110B21" wp14:editId="27E4B2B4">
                <wp:extent cx="5102860" cy="3688716"/>
                <wp:effectExtent l="0" t="0" r="27940" b="19685"/>
                <wp:docPr id="4" name="Grupp 3"/>
                <wp:cNvGraphicFramePr/>
                <a:graphic xmlns:a="http://schemas.openxmlformats.org/drawingml/2006/main">
                  <a:graphicData uri="http://schemas.microsoft.com/office/word/2010/wordprocessingGroup">
                    <wpg:wgp>
                      <wpg:cNvGrpSpPr/>
                      <wpg:grpSpPr bwMode="auto">
                        <a:xfrm>
                          <a:off x="0" y="0"/>
                          <a:ext cx="5102860" cy="3688716"/>
                          <a:chOff x="0" y="0"/>
                          <a:chExt cx="4559259" cy="3109277"/>
                        </a:xfrm>
                      </wpg:grpSpPr>
                      <wps:wsp>
                        <wps:cNvPr id="2" name="Textruta 27"/>
                        <wps:cNvSpPr txBox="1">
                          <a:spLocks noChangeArrowheads="1"/>
                        </wps:cNvSpPr>
                        <wps:spPr bwMode="auto">
                          <a:xfrm>
                            <a:off x="474414" y="0"/>
                            <a:ext cx="1736060" cy="674289"/>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4B9397"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lang w:val="en-US"/>
                                </w:rPr>
                                <w:t>653</w:t>
                              </w:r>
                            </w:p>
                            <w:p w14:paraId="3069E0A6"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lang w:val="en-US"/>
                                </w:rPr>
                                <w:t xml:space="preserve">patients with positive blood cultures for </w:t>
                              </w:r>
                              <w:r>
                                <w:rPr>
                                  <w:rFonts w:ascii="Times New Roman" w:eastAsia="ＭＳ 明朝" w:hAnsi="Times New Roman"/>
                                  <w:i/>
                                  <w:iCs/>
                                  <w:color w:val="000000"/>
                                  <w:kern w:val="24"/>
                                  <w:sz w:val="24"/>
                                  <w:szCs w:val="24"/>
                                  <w:lang w:val="en-US"/>
                                </w:rPr>
                                <w:t>E. faecalis</w:t>
                              </w:r>
                            </w:p>
                          </w:txbxContent>
                        </wps:txbx>
                        <wps:bodyPr rot="0" vert="horz" wrap="square" lIns="91440" tIns="45720" rIns="91440" bIns="45720" anchor="ctr" anchorCtr="0" upright="1">
                          <a:noAutofit/>
                        </wps:bodyPr>
                      </wps:wsp>
                      <wps:wsp>
                        <wps:cNvPr id="3" name="Textruta 38"/>
                        <wps:cNvSpPr txBox="1">
                          <a:spLocks noChangeArrowheads="1"/>
                        </wps:cNvSpPr>
                        <wps:spPr bwMode="auto">
                          <a:xfrm>
                            <a:off x="528605" y="1012692"/>
                            <a:ext cx="1600200" cy="4572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A8B6129"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362</w:t>
                              </w:r>
                            </w:p>
                            <w:p w14:paraId="301B513D"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patients included</w:t>
                              </w:r>
                            </w:p>
                          </w:txbxContent>
                        </wps:txbx>
                        <wps:bodyPr rot="0" vert="horz" wrap="square" lIns="91440" tIns="45720" rIns="91440" bIns="45720" anchor="ctr" anchorCtr="0" upright="1">
                          <a:noAutofit/>
                        </wps:bodyPr>
                      </wps:wsp>
                      <wps:wsp>
                        <wps:cNvPr id="5" name="Textruta 39"/>
                        <wps:cNvSpPr txBox="1">
                          <a:spLocks noChangeArrowheads="1"/>
                        </wps:cNvSpPr>
                        <wps:spPr bwMode="auto">
                          <a:xfrm>
                            <a:off x="2414716" y="483667"/>
                            <a:ext cx="2144543" cy="76440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484F61B" w14:textId="77777777" w:rsidR="00BB20B9" w:rsidRDefault="00BB20B9" w:rsidP="00BB20B9">
                              <w:pPr>
                                <w:pStyle w:val="Normalwebb"/>
                                <w:spacing w:before="0" w:beforeAutospacing="0" w:after="0" w:afterAutospacing="0"/>
                              </w:pPr>
                              <w:r>
                                <w:rPr>
                                  <w:rFonts w:ascii="Times New Roman" w:eastAsia="ＭＳ 明朝" w:hAnsi="Times New Roman"/>
                                  <w:color w:val="000000"/>
                                  <w:kern w:val="24"/>
                                  <w:sz w:val="24"/>
                                  <w:szCs w:val="24"/>
                                  <w:lang w:val="en-US"/>
                                </w:rPr>
                                <w:t>Excluded:</w:t>
                              </w:r>
                            </w:p>
                            <w:p w14:paraId="4BE23077" w14:textId="77777777" w:rsidR="00BB20B9" w:rsidRDefault="00BB20B9" w:rsidP="00BB20B9">
                              <w:pPr>
                                <w:pStyle w:val="Normalwebb"/>
                                <w:spacing w:before="0" w:beforeAutospacing="0" w:after="0" w:afterAutospacing="0"/>
                              </w:pPr>
                              <w:r>
                                <w:rPr>
                                  <w:rFonts w:ascii="Times New Roman" w:eastAsia="ＭＳ 明朝" w:hAnsi="Times New Roman"/>
                                  <w:b/>
                                  <w:bCs/>
                                  <w:color w:val="000000"/>
                                  <w:kern w:val="24"/>
                                  <w:sz w:val="24"/>
                                  <w:szCs w:val="24"/>
                                  <w:lang w:val="en-US"/>
                                </w:rPr>
                                <w:t>36</w:t>
                              </w:r>
                              <w:r>
                                <w:rPr>
                                  <w:rFonts w:ascii="Times New Roman" w:eastAsia="ＭＳ 明朝" w:hAnsi="Times New Roman"/>
                                  <w:color w:val="000000"/>
                                  <w:kern w:val="24"/>
                                  <w:sz w:val="24"/>
                                  <w:szCs w:val="24"/>
                                  <w:lang w:val="en-US"/>
                                </w:rPr>
                                <w:t xml:space="preserve"> children &lt;18 years old</w:t>
                              </w:r>
                            </w:p>
                            <w:p w14:paraId="3F6A2A16" w14:textId="77777777" w:rsidR="00BB20B9" w:rsidRDefault="00BB20B9" w:rsidP="00BB20B9">
                              <w:pPr>
                                <w:pStyle w:val="Normalwebb"/>
                                <w:spacing w:before="0" w:beforeAutospacing="0" w:after="0" w:afterAutospacing="0"/>
                              </w:pPr>
                              <w:r>
                                <w:rPr>
                                  <w:rFonts w:ascii="Times New Roman" w:eastAsia="ＭＳ 明朝" w:hAnsi="Times New Roman"/>
                                  <w:b/>
                                  <w:bCs/>
                                  <w:color w:val="000000"/>
                                  <w:kern w:val="24"/>
                                  <w:sz w:val="24"/>
                                  <w:szCs w:val="24"/>
                                  <w:lang w:val="en-US"/>
                                </w:rPr>
                                <w:t>249</w:t>
                              </w:r>
                              <w:r>
                                <w:rPr>
                                  <w:rFonts w:ascii="Times New Roman" w:eastAsia="ＭＳ 明朝" w:hAnsi="Times New Roman"/>
                                  <w:color w:val="000000"/>
                                  <w:kern w:val="24"/>
                                  <w:sz w:val="24"/>
                                  <w:szCs w:val="24"/>
                                  <w:lang w:val="en-US"/>
                                </w:rPr>
                                <w:t xml:space="preserve"> with polymicrobial bacteremia</w:t>
                              </w:r>
                            </w:p>
                            <w:p w14:paraId="66DD5433" w14:textId="77777777" w:rsidR="00BB20B9" w:rsidRDefault="00BB20B9" w:rsidP="00BB20B9">
                              <w:pPr>
                                <w:pStyle w:val="Normalwebb"/>
                                <w:spacing w:before="0" w:beforeAutospacing="0" w:after="0" w:afterAutospacing="0"/>
                              </w:pPr>
                              <w:r>
                                <w:rPr>
                                  <w:rFonts w:ascii="Times New Roman" w:eastAsia="ＭＳ 明朝" w:hAnsi="Times New Roman"/>
                                  <w:b/>
                                  <w:bCs/>
                                  <w:color w:val="000000"/>
                                  <w:kern w:val="24"/>
                                  <w:sz w:val="24"/>
                                  <w:szCs w:val="24"/>
                                </w:rPr>
                                <w:t>6</w:t>
                              </w:r>
                              <w:r>
                                <w:rPr>
                                  <w:rFonts w:ascii="Times New Roman" w:eastAsia="ＭＳ 明朝" w:hAnsi="Times New Roman"/>
                                  <w:color w:val="000000"/>
                                  <w:kern w:val="24"/>
                                  <w:sz w:val="24"/>
                                  <w:szCs w:val="24"/>
                                </w:rPr>
                                <w:t xml:space="preserve"> with missing medical records</w:t>
                              </w:r>
                            </w:p>
                            <w:p w14:paraId="53F409EF" w14:textId="77777777" w:rsidR="00BB20B9" w:rsidRDefault="00BB20B9" w:rsidP="00BB20B9">
                              <w:pPr>
                                <w:pStyle w:val="Normalwebb"/>
                                <w:spacing w:before="0" w:beforeAutospacing="0" w:after="0" w:afterAutospacing="0"/>
                              </w:pPr>
                              <w:r>
                                <w:rPr>
                                  <w:rFonts w:ascii="Times New Roman" w:eastAsia="ＭＳ 明朝" w:hAnsi="Times New Roman"/>
                                  <w:color w:val="000000"/>
                                  <w:kern w:val="24"/>
                                  <w:sz w:val="24"/>
                                  <w:szCs w:val="24"/>
                                </w:rPr>
                                <w:t> </w:t>
                              </w:r>
                            </w:p>
                          </w:txbxContent>
                        </wps:txbx>
                        <wps:bodyPr rot="0" vert="horz" wrap="square" lIns="91440" tIns="45720" rIns="91440" bIns="45720" anchor="ctr" anchorCtr="0" upright="1">
                          <a:noAutofit/>
                        </wps:bodyPr>
                      </wps:wsp>
                      <wps:wsp>
                        <wps:cNvPr id="6" name="Textruta 41"/>
                        <wps:cNvSpPr txBox="1">
                          <a:spLocks noChangeArrowheads="1"/>
                        </wps:cNvSpPr>
                        <wps:spPr bwMode="auto">
                          <a:xfrm>
                            <a:off x="0" y="2603286"/>
                            <a:ext cx="1028700" cy="4572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21395A4"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44</w:t>
                              </w:r>
                              <w:r>
                                <w:rPr>
                                  <w:rFonts w:ascii="Times New Roman" w:eastAsia="ＭＳ 明朝" w:hAnsi="Times New Roman"/>
                                  <w:color w:val="000000"/>
                                  <w:kern w:val="24"/>
                                  <w:sz w:val="24"/>
                                  <w:szCs w:val="24"/>
                                </w:rPr>
                                <w:t xml:space="preserve"> </w:t>
                              </w:r>
                            </w:p>
                            <w:p w14:paraId="44605BEA"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IE-episodes</w:t>
                              </w:r>
                            </w:p>
                          </w:txbxContent>
                        </wps:txbx>
                        <wps:bodyPr rot="0" vert="horz" wrap="square" lIns="91440" tIns="45720" rIns="91440" bIns="45720" anchor="ctr" anchorCtr="0" upright="1">
                          <a:noAutofit/>
                        </wps:bodyPr>
                      </wps:wsp>
                      <wps:wsp>
                        <wps:cNvPr id="7" name="Textruta 42"/>
                        <wps:cNvSpPr txBox="1">
                          <a:spLocks noChangeArrowheads="1"/>
                        </wps:cNvSpPr>
                        <wps:spPr bwMode="auto">
                          <a:xfrm>
                            <a:off x="1699868" y="2603182"/>
                            <a:ext cx="1271905" cy="50609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23BAA95"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354</w:t>
                              </w:r>
                            </w:p>
                            <w:p w14:paraId="560BEB52"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non-IE episodes</w:t>
                              </w:r>
                            </w:p>
                          </w:txbxContent>
                        </wps:txbx>
                        <wps:bodyPr rot="0" vert="horz" wrap="square" lIns="91440" tIns="45720" rIns="91440" bIns="45720" anchor="ctr" anchorCtr="0" upright="1">
                          <a:noAutofit/>
                        </wps:bodyPr>
                      </wps:wsp>
                      <wps:wsp>
                        <wps:cNvPr id="8" name="Textruta 43"/>
                        <wps:cNvSpPr txBox="1">
                          <a:spLocks noChangeArrowheads="1"/>
                        </wps:cNvSpPr>
                        <wps:spPr bwMode="auto">
                          <a:xfrm>
                            <a:off x="552734" y="1812792"/>
                            <a:ext cx="1614806" cy="4572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58695F"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398</w:t>
                              </w:r>
                            </w:p>
                            <w:p w14:paraId="74CF3EDF"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episodes</w:t>
                              </w:r>
                            </w:p>
                          </w:txbxContent>
                        </wps:txbx>
                        <wps:bodyPr rot="0" vert="horz" wrap="square" lIns="91440" tIns="45720" rIns="91440" bIns="45720" anchor="ctr" anchorCtr="0" upright="1">
                          <a:noAutofit/>
                        </wps:bodyPr>
                      </wps:wsp>
                      <wps:wsp>
                        <wps:cNvPr id="9" name="Rak pil 9"/>
                        <wps:cNvCnPr>
                          <a:cxnSpLocks noChangeShapeType="1"/>
                        </wps:cNvCnPr>
                        <wps:spPr bwMode="auto">
                          <a:xfrm>
                            <a:off x="1325530" y="690747"/>
                            <a:ext cx="0" cy="311150"/>
                          </a:xfrm>
                          <a:prstGeom prst="straightConnector1">
                            <a:avLst/>
                          </a:prstGeom>
                          <a:noFill/>
                          <a:ln w="12700">
                            <a:solidFill>
                              <a:schemeClr val="tx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 name="Rak pil 10"/>
                        <wps:cNvCnPr>
                          <a:cxnSpLocks noChangeShapeType="1"/>
                        </wps:cNvCnPr>
                        <wps:spPr bwMode="auto">
                          <a:xfrm>
                            <a:off x="1328705" y="815207"/>
                            <a:ext cx="1028700" cy="0"/>
                          </a:xfrm>
                          <a:prstGeom prst="straightConnector1">
                            <a:avLst/>
                          </a:prstGeom>
                          <a:noFill/>
                          <a:ln w="12700">
                            <a:solidFill>
                              <a:schemeClr val="tx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 name="Rak pil 11"/>
                        <wps:cNvCnPr>
                          <a:cxnSpLocks noChangeShapeType="1"/>
                        </wps:cNvCnPr>
                        <wps:spPr bwMode="auto">
                          <a:xfrm flipH="1">
                            <a:off x="449865" y="2269992"/>
                            <a:ext cx="457200" cy="228600"/>
                          </a:xfrm>
                          <a:prstGeom prst="straightConnector1">
                            <a:avLst/>
                          </a:prstGeom>
                          <a:noFill/>
                          <a:ln w="12700">
                            <a:solidFill>
                              <a:schemeClr val="tx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Rak pil 12"/>
                        <wps:cNvCnPr>
                          <a:cxnSpLocks noChangeShapeType="1"/>
                        </wps:cNvCnPr>
                        <wps:spPr bwMode="auto">
                          <a:xfrm>
                            <a:off x="1766220" y="2269992"/>
                            <a:ext cx="457200" cy="228600"/>
                          </a:xfrm>
                          <a:prstGeom prst="straightConnector1">
                            <a:avLst/>
                          </a:prstGeom>
                          <a:noFill/>
                          <a:ln w="12700">
                            <a:solidFill>
                              <a:schemeClr val="tx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3" name="Rak pil 13"/>
                        <wps:cNvCnPr>
                          <a:cxnSpLocks noChangeShapeType="1"/>
                        </wps:cNvCnPr>
                        <wps:spPr bwMode="auto">
                          <a:xfrm>
                            <a:off x="1367440" y="1469892"/>
                            <a:ext cx="0" cy="311150"/>
                          </a:xfrm>
                          <a:prstGeom prst="straightConnector1">
                            <a:avLst/>
                          </a:prstGeom>
                          <a:noFill/>
                          <a:ln w="12700">
                            <a:solidFill>
                              <a:schemeClr val="tx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inline>
            </w:drawing>
          </mc:Choice>
          <mc:Fallback>
            <w:pict>
              <v:group id="Grupp 3" o:spid="_x0000_s1026" style="width:401.8pt;height:290.45pt;mso-position-horizontal-relative:char;mso-position-vertical-relative:line" coordsize="4559259,310927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">
                <v:shapetype id="_x0000_t202" coordsize="21600,21600" o:spt="202" path="m0,0l0,21600,21600,21600,21600,0xe">
                  <v:stroke joinstyle="miter"/>
                  <v:path gradientshapeok="t" o:connecttype="rect"/>
                </v:shapetype>
                <v:shape id="Textruta 27" o:spid="_x0000_s1027" type="#_x0000_t202" style="position:absolute;left:474414;width:1736060;height:6742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pmhlwgAA&#10;ANoAAAAPAAAAZHJzL2Rvd25yZXYueG1sRI/NasMwEITvgb6D2EJvidwkhNaNEvKDINf8PMBibW1T&#10;a6VYiu326atAIMdhZr5hluvBNqKjNtSOFbxPMhDEhTM1lwouZz3+ABEissHGMSn4pQDr1ctoiblx&#10;PR+pO8VSJAiHHBVUMfpcylBUZDFMnCdO3rdrLcYk21KaFvsEt42cZtlCWqw5LVToaVdR8XO6WQX6&#10;oOdmoff9td/a2VF/+u7v5pV6ex02XyAiDfEZfrQPRsEU7lfSDZC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GmaGXCAAAA2gAAAA8AAAAAAAAAAAAAAAAAlwIAAGRycy9kb3du&#10;cmV2LnhtbFBLBQYAAAAABAAEAPUAAACGAwAAAAA=&#10;" filled="f" strokecolor="black [3213]">
                  <v:textbox>
                    <w:txbxContent>
                      <w:p w14:paraId="2A4B9397"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lang w:val="en-US"/>
                          </w:rPr>
                          <w:t>653</w:t>
                        </w:r>
                      </w:p>
                      <w:p w14:paraId="3069E0A6"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lang w:val="en-US"/>
                          </w:rPr>
                          <w:t xml:space="preserve">patients with positive blood cultures for </w:t>
                        </w:r>
                        <w:r>
                          <w:rPr>
                            <w:rFonts w:ascii="Times New Roman" w:eastAsia="ＭＳ 明朝" w:hAnsi="Times New Roman"/>
                            <w:i/>
                            <w:iCs/>
                            <w:color w:val="000000"/>
                            <w:kern w:val="24"/>
                            <w:sz w:val="24"/>
                            <w:szCs w:val="24"/>
                            <w:lang w:val="en-US"/>
                          </w:rPr>
                          <w:t>E. faecalis</w:t>
                        </w:r>
                      </w:p>
                    </w:txbxContent>
                  </v:textbox>
                </v:shape>
                <v:shape id="Textruta 38" o:spid="_x0000_s1028" type="#_x0000_t202" style="position:absolute;left:528605;top:1012692;width:1600200;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6s3+wgAA&#10;ANoAAAAPAAAAZHJzL2Rvd25yZXYueG1sRI/NbsIwEITvSH0Hayv1Bk4LQm2KQRRkiSs/D7CKt0nU&#10;eG1ik6Q8PUZC4jiamW80i9VgG9FRG2rHCt4nGQjiwpmaSwWnox5/gggR2WDjmBT8U4DV8mW0wNy4&#10;nvfUHWIpEoRDjgqqGH0uZSgqshgmzhMn79e1FmOSbSlNi32C20Z+ZNlcWqw5LVToaVNR8Xe4WAV6&#10;p2dmrrf9uf+x073+8t314pV6ex3W3yAiDfEZfrR3RsEU7lfSDZDL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7qzf7CAAAA2gAAAA8AAAAAAAAAAAAAAAAAlwIAAGRycy9kb3du&#10;cmV2LnhtbFBLBQYAAAAABAAEAPUAAACGAwAAAAA=&#10;" filled="f" strokecolor="black [3213]">
                  <v:textbox>
                    <w:txbxContent>
                      <w:p w14:paraId="5A8B6129"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362</w:t>
                        </w:r>
                      </w:p>
                      <w:p w14:paraId="301B513D"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patients included</w:t>
                        </w:r>
                      </w:p>
                    </w:txbxContent>
                  </v:textbox>
                </v:shape>
                <v:shape id="Textruta 39" o:spid="_x0000_s1029" type="#_x0000_t202" style="position:absolute;left:2414716;top:483667;width:2144543;height:7644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T/ARwgAA&#10;ANoAAAAPAAAAZHJzL2Rvd25yZXYueG1sRI/BbsIwEETvlfgHa5F6Kw6lIAgYRKkscYX2A1bxkkTE&#10;axObJO3X15UqcRzNzBvNZjfYRnTUhtqxgukkA0FcOFNzqeDrU78sQYSIbLBxTAq+KcBuO3raYG5c&#10;zyfqzrEUCcIhRwVVjD6XMhQVWQwT54mTd3GtxZhkW0rTYp/gtpGvWbaQFmtOCxV6OlRUXM93q0Af&#10;9ZtZ6I/+1r/b2UmvfPdz90o9j4f9GkSkIT7C/+2jUTCHvyvpBsjt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5P8BHCAAAA2gAAAA8AAAAAAAAAAAAAAAAAlwIAAGRycy9kb3du&#10;cmV2LnhtbFBLBQYAAAAABAAEAPUAAACGAwAAAAA=&#10;" filled="f" strokecolor="black [3213]">
                  <v:textbox>
                    <w:txbxContent>
                      <w:p w14:paraId="1484F61B" w14:textId="77777777" w:rsidR="00BB20B9" w:rsidRDefault="00BB20B9" w:rsidP="00BB20B9">
                        <w:pPr>
                          <w:pStyle w:val="Normalwebb"/>
                          <w:spacing w:before="0" w:beforeAutospacing="0" w:after="0" w:afterAutospacing="0"/>
                        </w:pPr>
                        <w:r>
                          <w:rPr>
                            <w:rFonts w:ascii="Times New Roman" w:eastAsia="ＭＳ 明朝" w:hAnsi="Times New Roman"/>
                            <w:color w:val="000000"/>
                            <w:kern w:val="24"/>
                            <w:sz w:val="24"/>
                            <w:szCs w:val="24"/>
                            <w:lang w:val="en-US"/>
                          </w:rPr>
                          <w:t>Excluded:</w:t>
                        </w:r>
                      </w:p>
                      <w:p w14:paraId="4BE23077" w14:textId="77777777" w:rsidR="00BB20B9" w:rsidRDefault="00BB20B9" w:rsidP="00BB20B9">
                        <w:pPr>
                          <w:pStyle w:val="Normalwebb"/>
                          <w:spacing w:before="0" w:beforeAutospacing="0" w:after="0" w:afterAutospacing="0"/>
                        </w:pPr>
                        <w:r>
                          <w:rPr>
                            <w:rFonts w:ascii="Times New Roman" w:eastAsia="ＭＳ 明朝" w:hAnsi="Times New Roman"/>
                            <w:b/>
                            <w:bCs/>
                            <w:color w:val="000000"/>
                            <w:kern w:val="24"/>
                            <w:sz w:val="24"/>
                            <w:szCs w:val="24"/>
                            <w:lang w:val="en-US"/>
                          </w:rPr>
                          <w:t>36</w:t>
                        </w:r>
                        <w:r>
                          <w:rPr>
                            <w:rFonts w:ascii="Times New Roman" w:eastAsia="ＭＳ 明朝" w:hAnsi="Times New Roman"/>
                            <w:color w:val="000000"/>
                            <w:kern w:val="24"/>
                            <w:sz w:val="24"/>
                            <w:szCs w:val="24"/>
                            <w:lang w:val="en-US"/>
                          </w:rPr>
                          <w:t xml:space="preserve"> children &lt;18 years old</w:t>
                        </w:r>
                      </w:p>
                      <w:p w14:paraId="3F6A2A16" w14:textId="77777777" w:rsidR="00BB20B9" w:rsidRDefault="00BB20B9" w:rsidP="00BB20B9">
                        <w:pPr>
                          <w:pStyle w:val="Normalwebb"/>
                          <w:spacing w:before="0" w:beforeAutospacing="0" w:after="0" w:afterAutospacing="0"/>
                        </w:pPr>
                        <w:r>
                          <w:rPr>
                            <w:rFonts w:ascii="Times New Roman" w:eastAsia="ＭＳ 明朝" w:hAnsi="Times New Roman"/>
                            <w:b/>
                            <w:bCs/>
                            <w:color w:val="000000"/>
                            <w:kern w:val="24"/>
                            <w:sz w:val="24"/>
                            <w:szCs w:val="24"/>
                            <w:lang w:val="en-US"/>
                          </w:rPr>
                          <w:t>249</w:t>
                        </w:r>
                        <w:r>
                          <w:rPr>
                            <w:rFonts w:ascii="Times New Roman" w:eastAsia="ＭＳ 明朝" w:hAnsi="Times New Roman"/>
                            <w:color w:val="000000"/>
                            <w:kern w:val="24"/>
                            <w:sz w:val="24"/>
                            <w:szCs w:val="24"/>
                            <w:lang w:val="en-US"/>
                          </w:rPr>
                          <w:t xml:space="preserve"> with polymicrobial bacteremia</w:t>
                        </w:r>
                      </w:p>
                      <w:p w14:paraId="66DD5433" w14:textId="77777777" w:rsidR="00BB20B9" w:rsidRDefault="00BB20B9" w:rsidP="00BB20B9">
                        <w:pPr>
                          <w:pStyle w:val="Normalwebb"/>
                          <w:spacing w:before="0" w:beforeAutospacing="0" w:after="0" w:afterAutospacing="0"/>
                        </w:pPr>
                        <w:r>
                          <w:rPr>
                            <w:rFonts w:ascii="Times New Roman" w:eastAsia="ＭＳ 明朝" w:hAnsi="Times New Roman"/>
                            <w:b/>
                            <w:bCs/>
                            <w:color w:val="000000"/>
                            <w:kern w:val="24"/>
                            <w:sz w:val="24"/>
                            <w:szCs w:val="24"/>
                          </w:rPr>
                          <w:t>6</w:t>
                        </w:r>
                        <w:r>
                          <w:rPr>
                            <w:rFonts w:ascii="Times New Roman" w:eastAsia="ＭＳ 明朝" w:hAnsi="Times New Roman"/>
                            <w:color w:val="000000"/>
                            <w:kern w:val="24"/>
                            <w:sz w:val="24"/>
                            <w:szCs w:val="24"/>
                          </w:rPr>
                          <w:t xml:space="preserve"> with missing medical records</w:t>
                        </w:r>
                      </w:p>
                      <w:p w14:paraId="53F409EF" w14:textId="77777777" w:rsidR="00BB20B9" w:rsidRDefault="00BB20B9" w:rsidP="00BB20B9">
                        <w:pPr>
                          <w:pStyle w:val="Normalwebb"/>
                          <w:spacing w:before="0" w:beforeAutospacing="0" w:after="0" w:afterAutospacing="0"/>
                        </w:pPr>
                        <w:r>
                          <w:rPr>
                            <w:rFonts w:ascii="Times New Roman" w:eastAsia="ＭＳ 明朝" w:hAnsi="Times New Roman"/>
                            <w:color w:val="000000"/>
                            <w:kern w:val="24"/>
                            <w:sz w:val="24"/>
                            <w:szCs w:val="24"/>
                          </w:rPr>
                          <w:t> </w:t>
                        </w:r>
                      </w:p>
                    </w:txbxContent>
                  </v:textbox>
                </v:shape>
                <v:shape id="Textruta 41" o:spid="_x0000_s1030" type="#_x0000_t202" style="position:absolute;top:2603286;width:1028700;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W5mwgAA&#10;ANoAAAAPAAAAZHJzL2Rvd25yZXYueG1sRI/NasMwEITvhb6D2EJvtdymmMSJEpIGQa75eYDF2tgm&#10;1kq1FNvt01eFQo/DzHzDrDaT7cRAfWgdK3jNchDElTMt1wouZ/0yBxEissHOMSn4ogCb9ePDCkvj&#10;Rj7ScIq1SBAOJSpoYvSllKFqyGLInCdO3tX1FmOSfS1Nj2OC206+5XkhLbacFhr09NFQdTvdrQJ9&#10;0O+m0Pvxc9zZ2VEv/PB990o9P03bJYhIU/wP/7UPRkEBv1fSDZDr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6dbmbCAAAA2gAAAA8AAAAAAAAAAAAAAAAAlwIAAGRycy9kb3du&#10;cmV2LnhtbFBLBQYAAAAABAAEAPUAAACGAwAAAAA=&#10;" filled="f" strokecolor="black [3213]">
                  <v:textbox>
                    <w:txbxContent>
                      <w:p w14:paraId="021395A4"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44</w:t>
                        </w:r>
                        <w:r>
                          <w:rPr>
                            <w:rFonts w:ascii="Times New Roman" w:eastAsia="ＭＳ 明朝" w:hAnsi="Times New Roman"/>
                            <w:color w:val="000000"/>
                            <w:kern w:val="24"/>
                            <w:sz w:val="24"/>
                            <w:szCs w:val="24"/>
                          </w:rPr>
                          <w:t xml:space="preserve"> </w:t>
                        </w:r>
                      </w:p>
                      <w:p w14:paraId="44605BEA"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IE-episodes</w:t>
                        </w:r>
                      </w:p>
                    </w:txbxContent>
                  </v:textbox>
                </v:shape>
                <v:shape id="Textruta 42" o:spid="_x0000_s1031" type="#_x0000_t202" style="position:absolute;left:1699868;top:2603182;width:1271905;height:5060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0cv9wgAA&#10;ANoAAAAPAAAAZHJzL2Rvd25yZXYueG1sRI/BbsIwEETvSPyDtUi9gUOLaEkxqC2yxBXaD1jFSxI1&#10;XpvYJKFfXyMhcRzNzBvNejvYRnTUhtqxgvksA0FcOFNzqeDnW0/fQISIbLBxTAquFGC7GY/WmBvX&#10;84G6YyxFgnDIUUEVo8+lDEVFFsPMeeLknVxrMSbZltK02Ce4beRzli2lxZrTQoWevioqfo8Xq0Dv&#10;9cIs9a4/95/25aBXvvu7eKWeJsPHO4hIQ3yE7+29UfAKtyvpBsjN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HRy/3CAAAA2gAAAA8AAAAAAAAAAAAAAAAAlwIAAGRycy9kb3du&#10;cmV2LnhtbFBLBQYAAAAABAAEAPUAAACGAwAAAAA=&#10;" filled="f" strokecolor="black [3213]">
                  <v:textbox>
                    <w:txbxContent>
                      <w:p w14:paraId="523BAA95"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354</w:t>
                        </w:r>
                      </w:p>
                      <w:p w14:paraId="560BEB52"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non-IE episodes</w:t>
                        </w:r>
                      </w:p>
                    </w:txbxContent>
                  </v:textbox>
                </v:shape>
                <v:shape id="Textruta 43" o:spid="_x0000_s1032" type="#_x0000_t202" style="position:absolute;left:552734;top:1812792;width:1614806;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Tl+PvwAA&#10;ANoAAAAPAAAAZHJzL2Rvd25yZXYueG1sRE9LbsIwEN1X4g7WIHXXOG0RghQTUZAlttAeYBRPk6jx&#10;2MTOpz09XlTq8un9d+VsOzFSH1rHCp6zHARx5UzLtYLPD/20AREissHOMSn4oQDlfvGww8K4iS80&#10;XmMtUgiHAhU0MfpCylA1ZDFkzhMn7sv1FmOCfS1Nj1MKt518yfO1tNhyamjQ07Gh6vs6WAX6rFdm&#10;rU/TbXq3rxe99ePv4JV6XM6HNxCR5vgv/nOfjYK0NV1JN0Du7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BOX4+/AAAA2gAAAA8AAAAAAAAAAAAAAAAAlwIAAGRycy9kb3ducmV2&#10;LnhtbFBLBQYAAAAABAAEAPUAAACDAwAAAAA=&#10;" filled="f" strokecolor="black [3213]">
                  <v:textbox>
                    <w:txbxContent>
                      <w:p w14:paraId="6258695F" w14:textId="77777777" w:rsidR="00BB20B9" w:rsidRDefault="00BB20B9" w:rsidP="00BB20B9">
                        <w:pPr>
                          <w:pStyle w:val="Normalwebb"/>
                          <w:spacing w:before="0" w:beforeAutospacing="0" w:after="0" w:afterAutospacing="0"/>
                          <w:jc w:val="center"/>
                        </w:pPr>
                        <w:r>
                          <w:rPr>
                            <w:rFonts w:ascii="Times New Roman" w:eastAsia="ＭＳ 明朝" w:hAnsi="Times New Roman"/>
                            <w:b/>
                            <w:bCs/>
                            <w:color w:val="000000"/>
                            <w:kern w:val="24"/>
                            <w:sz w:val="24"/>
                            <w:szCs w:val="24"/>
                          </w:rPr>
                          <w:t>398</w:t>
                        </w:r>
                      </w:p>
                      <w:p w14:paraId="74CF3EDF" w14:textId="77777777" w:rsidR="00BB20B9" w:rsidRDefault="00BB20B9" w:rsidP="00BB20B9">
                        <w:pPr>
                          <w:pStyle w:val="Normalwebb"/>
                          <w:spacing w:before="0" w:beforeAutospacing="0" w:after="0" w:afterAutospacing="0"/>
                          <w:jc w:val="center"/>
                        </w:pPr>
                        <w:r>
                          <w:rPr>
                            <w:rFonts w:ascii="Times New Roman" w:eastAsia="ＭＳ 明朝" w:hAnsi="Times New Roman"/>
                            <w:color w:val="000000"/>
                            <w:kern w:val="24"/>
                            <w:sz w:val="24"/>
                            <w:szCs w:val="24"/>
                          </w:rPr>
                          <w:t>episodes</w:t>
                        </w:r>
                      </w:p>
                    </w:txbxContent>
                  </v:textbox>
                </v:shape>
                <v:shapetype id="_x0000_t32" coordsize="21600,21600" o:spt="32" o:oned="t" path="m0,0l21600,21600e" filled="f">
                  <v:path arrowok="t" fillok="f" o:connecttype="none"/>
                  <o:lock v:ext="edit" shapetype="t"/>
                </v:shapetype>
                <v:shape id="Rak pil 9" o:spid="_x0000_s1033" type="#_x0000_t32" style="position:absolute;left:1325530;top:690747;width:0;height:31115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JB7W8MAAADaAAAADwAAAGRycy9kb3ducmV2LnhtbESPQWvCQBSE7wX/w/IEb3UThVKjq2hB&#10;EAoFNQePj+wzCWbfht3tJu2v7xYKPQ4z8w2z2Y2mE5Gcby0ryOcZCOLK6pZrBeX1+PwKwgdkjZ1l&#10;UvBFHnbbydMGC20HPlO8hFokCPsCFTQh9IWUvmrIoJ/bnjh5d+sMhiRdLbXDIcFNJxdZ9iINtpwW&#10;GuzpraHqcfk0Ck75e3vP43BcfpeHxUc5RHc7R6Vm03G/BhFoDP/hv/ZJK1jB75V0A+T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SQe1vDAAAA2gAAAA8AAAAAAAAAAAAA&#10;AAAAoQIAAGRycy9kb3ducmV2LnhtbFBLBQYAAAAABAAEAPkAAACRAwAAAAA=&#10;" strokecolor="black [3213]" strokeweight="1pt">
                  <v:stroke endarrow="open"/>
                  <v:shadow on="t" opacity="24903f" origin=",.5" offset="0,20000emu"/>
                </v:shape>
                <v:shape id="Rak pil 10" o:spid="_x0000_s1034" type="#_x0000_t32" style="position:absolute;left:1328705;top:815207;width:10287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zZqRMQAAADbAAAADwAAAGRycy9kb3ducmV2LnhtbESPQWvDMAyF74P9B6PBbquTDsZI65at&#10;UCgMBu1y6FHEahIay8F2nWy/fjoMdpN4T+99Wm9nN6hMIfaeDZSLAhRx423PrYH6a//0CiomZIuD&#10;ZzLwTRG2m/u7NVbWT3ykfEqtkhCOFRroUhorrWPTkcO48COxaBcfHCZZQ6ttwEnC3aCXRfGiHfYs&#10;DR2OtOuouZ5uzsCh/OgvZZ72zz/1+/KznnI4H7Mxjw/z2wpUojn9m/+uD1bwhV5+kQH05h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NmpExAAAANsAAAAPAAAAAAAAAAAA&#10;AAAAAKECAABkcnMvZG93bnJldi54bWxQSwUGAAAAAAQABAD5AAAAkgMAAAAA&#10;" strokecolor="black [3213]" strokeweight="1pt">
                  <v:stroke endarrow="open"/>
                  <v:shadow on="t" opacity="24903f" origin=",.5" offset="0,20000emu"/>
                </v:shape>
                <v:shape id="Rak pil 11" o:spid="_x0000_s1035" type="#_x0000_t32" style="position:absolute;left:449865;top:2269992;width:457200;height:2286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r6dKsMAAADbAAAADwAAAGRycy9kb3ducmV2LnhtbERPS2vCQBC+F/wPywheRDdKLZK6CbYi&#10;lNIefFx6G7LTJDU7G3bXJP77bkHobT6+52zywTSiI+drywoW8wQEcWF1zaWC82k/W4PwAVljY5kU&#10;3MhDno0eNphq2/OBumMoRQxhn6KCKoQ2ldIXFRn0c9sSR+7bOoMhQldK7bCP4aaRyyR5kgZrjg0V&#10;tvRaUXE5Xo2C3v+8PL6Hj8O0u02Xu2Slyy/3qdRkPGyfQQQawr/47n7Tcf4C/n6JB8js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q+nSrDAAAA2wAAAA8AAAAAAAAAAAAA&#10;AAAAoQIAAGRycy9kb3ducmV2LnhtbFBLBQYAAAAABAAEAPkAAACRAwAAAAA=&#10;" strokecolor="black [3213]" strokeweight="1pt">
                  <v:stroke endarrow="open"/>
                  <v:shadow on="t" opacity="24903f" origin=",.5" offset="0,20000emu"/>
                </v:shape>
                <v:shape id="Rak pil 12" o:spid="_x0000_s1036" type="#_x0000_t32" style="position:absolute;left:1766220;top:2269992;width:457200;height:2286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hRqMIAAADbAAAADwAAAGRycy9kb3ducmV2LnhtbERP32vCMBB+H+x/CDfwbabtQKQzihsI&#10;wmCg9mGPR3O2xeZSkizt/OsXQfDtPr6ft9pMpheRnO8sK8jnGQji2uqOGwXVafe6BOEDssbeMin4&#10;Iw+b9fPTCkttRz5QPIZGpBD2JSpoQxhKKX3dkkE/twNx4s7WGQwJukZqh2MKN70ssmwhDXacGloc&#10;6LOl+nL8NQr2+Vd3zuO4e7tWH8V3NUb3c4hKzV6m7TuIQFN4iO/uvU7zC7j9kg6Q6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KhRqMIAAADbAAAADwAAAAAAAAAAAAAA&#10;AAChAgAAZHJzL2Rvd25yZXYueG1sUEsFBgAAAAAEAAQA+QAAAJADAAAAAA==&#10;" strokecolor="black [3213]" strokeweight="1pt">
                  <v:stroke endarrow="open"/>
                  <v:shadow on="t" opacity="24903f" origin=",.5" offset="0,20000emu"/>
                </v:shape>
                <v:shape id="Rak pil 13" o:spid="_x0000_s1037" type="#_x0000_t32" style="position:absolute;left:1367440;top:1469892;width:0;height:31115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T0M8EAAADbAAAADwAAAGRycy9kb3ducmV2LnhtbERP32vCMBB+F/wfwgl707QKMjqj6EAQ&#10;BoKuDz4ezdmWNZeSZGm3v94Ig73dx/fzNrvRdCKS861lBfkiA0FcWd1yraD8PM5fQfiArLGzTAp+&#10;yMNuO51ssNB24AvFa6hFCmFfoIImhL6Q0lcNGfQL2xMn7m6dwZCgq6V2OKRw08lllq2lwZZTQ4M9&#10;vTdUfV2/jYJT/tHe8zgcV7/lYXkuh+hul6jUy2zcv4EINIZ/8Z/7pNP8FTx/SQfI7Q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X5PQzwQAAANsAAAAPAAAAAAAAAAAAAAAA&#10;AKECAABkcnMvZG93bnJldi54bWxQSwUGAAAAAAQABAD5AAAAjwMAAAAA&#10;" strokecolor="black [3213]" strokeweight="1pt">
                  <v:stroke endarrow="open"/>
                  <v:shadow on="t" opacity="24903f" origin=",.5" offset="0,20000emu"/>
                </v:shape>
                <w10:anchorlock/>
              </v:group>
            </w:pict>
          </mc:Fallback>
        </mc:AlternateContent>
      </w:r>
    </w:p>
    <w:p w14:paraId="1908EDE9" w14:textId="77777777" w:rsidR="00BB20B9" w:rsidRDefault="00BB20B9" w:rsidP="00937D3E">
      <w:pPr>
        <w:rPr>
          <w:rFonts w:ascii="Times New Roman" w:hAnsi="Times New Roman" w:cs="Times New Roman"/>
          <w:lang w:val="en-GB"/>
        </w:rPr>
      </w:pPr>
    </w:p>
    <w:p w14:paraId="069BB181" w14:textId="77777777" w:rsidR="00BB20B9" w:rsidRDefault="00BB20B9">
      <w:pPr>
        <w:rPr>
          <w:rFonts w:ascii="Times New Roman" w:hAnsi="Times New Roman" w:cs="Times New Roman"/>
          <w:lang w:val="en-GB"/>
        </w:rPr>
      </w:pPr>
      <w:r>
        <w:rPr>
          <w:rFonts w:ascii="Times New Roman" w:hAnsi="Times New Roman" w:cs="Times New Roman"/>
          <w:lang w:val="en-GB"/>
        </w:rPr>
        <w:br w:type="page"/>
      </w:r>
    </w:p>
    <w:p w14:paraId="1DF56723" w14:textId="77777777" w:rsidR="00937D3E" w:rsidRPr="00ED72EA" w:rsidRDefault="00BB20B9" w:rsidP="00937D3E">
      <w:pPr>
        <w:rPr>
          <w:rFonts w:ascii="Times New Roman" w:hAnsi="Times New Roman" w:cs="Times New Roman"/>
          <w:lang w:val="en-GB"/>
        </w:rPr>
      </w:pPr>
      <w:r>
        <w:rPr>
          <w:rFonts w:ascii="Times New Roman" w:hAnsi="Times New Roman" w:cs="Times New Roman"/>
          <w:lang w:val="en-GB"/>
        </w:rPr>
        <w:t>Supplementary material 3</w:t>
      </w:r>
      <w:r w:rsidR="00937D3E" w:rsidRPr="00ED72EA">
        <w:rPr>
          <w:rFonts w:ascii="Times New Roman" w:hAnsi="Times New Roman" w:cs="Times New Roman"/>
          <w:lang w:val="en-GB"/>
        </w:rPr>
        <w:t>. Treatment, investigations and outcomes in the two cohorts</w:t>
      </w:r>
    </w:p>
    <w:tbl>
      <w:tblPr>
        <w:tblStyle w:val="Tabellrutnt"/>
        <w:tblW w:w="0" w:type="auto"/>
        <w:tblLook w:val="04A0" w:firstRow="1" w:lastRow="0" w:firstColumn="1" w:lastColumn="0" w:noHBand="0" w:noVBand="1"/>
      </w:tblPr>
      <w:tblGrid>
        <w:gridCol w:w="2376"/>
        <w:gridCol w:w="1560"/>
        <w:gridCol w:w="1417"/>
        <w:gridCol w:w="1559"/>
        <w:gridCol w:w="1604"/>
      </w:tblGrid>
      <w:tr w:rsidR="00937D3E" w:rsidRPr="00ED72EA" w14:paraId="6F8E39CB" w14:textId="77777777" w:rsidTr="00BB20B9">
        <w:tc>
          <w:tcPr>
            <w:tcW w:w="2376" w:type="dxa"/>
          </w:tcPr>
          <w:p w14:paraId="6A826D8F" w14:textId="77777777" w:rsidR="00937D3E" w:rsidRPr="00ED72EA" w:rsidRDefault="00937D3E" w:rsidP="00BB20B9">
            <w:pPr>
              <w:rPr>
                <w:rFonts w:ascii="Times New Roman" w:hAnsi="Times New Roman" w:cs="Times New Roman"/>
                <w:lang w:val="en-US"/>
              </w:rPr>
            </w:pPr>
          </w:p>
        </w:tc>
        <w:tc>
          <w:tcPr>
            <w:tcW w:w="2977" w:type="dxa"/>
            <w:gridSpan w:val="2"/>
          </w:tcPr>
          <w:p w14:paraId="28B20637" w14:textId="77777777" w:rsidR="00937D3E" w:rsidRPr="00ED72EA" w:rsidRDefault="00937D3E" w:rsidP="00BB20B9">
            <w:pPr>
              <w:rPr>
                <w:rFonts w:ascii="Times New Roman" w:hAnsi="Times New Roman" w:cs="Times New Roman"/>
              </w:rPr>
            </w:pPr>
            <w:r w:rsidRPr="00ED72EA">
              <w:rPr>
                <w:rFonts w:ascii="Times New Roman" w:hAnsi="Times New Roman" w:cs="Times New Roman"/>
              </w:rPr>
              <w:t>Calibration cohort</w:t>
            </w:r>
          </w:p>
        </w:tc>
        <w:tc>
          <w:tcPr>
            <w:tcW w:w="3163" w:type="dxa"/>
            <w:gridSpan w:val="2"/>
          </w:tcPr>
          <w:p w14:paraId="50A5467E" w14:textId="77777777" w:rsidR="00937D3E" w:rsidRPr="00ED72EA" w:rsidRDefault="00937D3E" w:rsidP="00BB20B9">
            <w:pPr>
              <w:rPr>
                <w:rFonts w:ascii="Times New Roman" w:hAnsi="Times New Roman" w:cs="Times New Roman"/>
              </w:rPr>
            </w:pPr>
            <w:r w:rsidRPr="00ED72EA">
              <w:rPr>
                <w:rFonts w:ascii="Times New Roman" w:hAnsi="Times New Roman" w:cs="Times New Roman"/>
              </w:rPr>
              <w:t>Validation cohort</w:t>
            </w:r>
          </w:p>
        </w:tc>
      </w:tr>
      <w:tr w:rsidR="00937D3E" w:rsidRPr="00ED72EA" w14:paraId="08AFCCCE" w14:textId="77777777" w:rsidTr="00BB20B9">
        <w:tc>
          <w:tcPr>
            <w:tcW w:w="2376" w:type="dxa"/>
          </w:tcPr>
          <w:p w14:paraId="3E4C21C6"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lang w:val="en-GB"/>
              </w:rPr>
              <w:t>Treatment and outcome</w:t>
            </w:r>
          </w:p>
        </w:tc>
        <w:tc>
          <w:tcPr>
            <w:tcW w:w="1560" w:type="dxa"/>
          </w:tcPr>
          <w:p w14:paraId="09B87AAE" w14:textId="77777777" w:rsidR="00937D3E" w:rsidRPr="00ED72EA" w:rsidRDefault="00937D3E" w:rsidP="00BB20B9">
            <w:pPr>
              <w:jc w:val="center"/>
              <w:rPr>
                <w:rFonts w:ascii="Times New Roman" w:hAnsi="Times New Roman" w:cs="Times New Roman"/>
                <w:lang w:val="en-GB"/>
              </w:rPr>
            </w:pPr>
            <w:r w:rsidRPr="00ED72EA">
              <w:rPr>
                <w:rFonts w:ascii="Times New Roman" w:hAnsi="Times New Roman" w:cs="Times New Roman"/>
                <w:lang w:val="en-GB"/>
              </w:rPr>
              <w:t xml:space="preserve">IE </w:t>
            </w:r>
          </w:p>
          <w:p w14:paraId="05471F36" w14:textId="77777777" w:rsidR="00937D3E" w:rsidRPr="00ED72EA" w:rsidRDefault="00937D3E" w:rsidP="00BB20B9">
            <w:pPr>
              <w:jc w:val="center"/>
              <w:rPr>
                <w:rFonts w:ascii="Times New Roman" w:hAnsi="Times New Roman" w:cs="Times New Roman"/>
                <w:lang w:val="en-GB"/>
              </w:rPr>
            </w:pPr>
            <w:r w:rsidRPr="00ED72EA">
              <w:rPr>
                <w:rFonts w:ascii="Times New Roman" w:hAnsi="Times New Roman" w:cs="Times New Roman"/>
                <w:lang w:val="en-GB"/>
              </w:rPr>
              <w:t>(n=44)</w:t>
            </w:r>
          </w:p>
        </w:tc>
        <w:tc>
          <w:tcPr>
            <w:tcW w:w="1417" w:type="dxa"/>
          </w:tcPr>
          <w:p w14:paraId="1484FE5C" w14:textId="77777777" w:rsidR="00937D3E" w:rsidRPr="00ED72EA" w:rsidRDefault="00937D3E" w:rsidP="00BB20B9">
            <w:pPr>
              <w:rPr>
                <w:rFonts w:ascii="Times New Roman" w:hAnsi="Times New Roman" w:cs="Times New Roman"/>
                <w:lang w:val="en-GB"/>
              </w:rPr>
            </w:pPr>
            <w:r w:rsidRPr="00ED72EA">
              <w:rPr>
                <w:rFonts w:ascii="Times New Roman" w:hAnsi="Times New Roman" w:cs="Times New Roman"/>
                <w:lang w:val="en-GB"/>
              </w:rPr>
              <w:t>Non-IE (n=353)</w:t>
            </w:r>
          </w:p>
        </w:tc>
        <w:tc>
          <w:tcPr>
            <w:tcW w:w="1559" w:type="dxa"/>
          </w:tcPr>
          <w:p w14:paraId="4D1EDB8C" w14:textId="77777777" w:rsidR="00937D3E" w:rsidRPr="00ED72EA" w:rsidRDefault="00937D3E" w:rsidP="00BB20B9">
            <w:pPr>
              <w:jc w:val="center"/>
              <w:rPr>
                <w:rFonts w:ascii="Times New Roman" w:hAnsi="Times New Roman" w:cs="Times New Roman"/>
                <w:lang w:val="en-GB"/>
              </w:rPr>
            </w:pPr>
            <w:r w:rsidRPr="00ED72EA">
              <w:rPr>
                <w:rFonts w:ascii="Times New Roman" w:hAnsi="Times New Roman" w:cs="Times New Roman"/>
                <w:lang w:val="en-GB"/>
              </w:rPr>
              <w:t>IE</w:t>
            </w:r>
          </w:p>
          <w:p w14:paraId="33D978AE" w14:textId="77777777" w:rsidR="00937D3E" w:rsidRPr="00ED72EA" w:rsidRDefault="00937D3E" w:rsidP="00BB20B9">
            <w:pPr>
              <w:jc w:val="center"/>
              <w:rPr>
                <w:rFonts w:ascii="Times New Roman" w:hAnsi="Times New Roman" w:cs="Times New Roman"/>
              </w:rPr>
            </w:pPr>
            <w:r w:rsidRPr="00ED72EA">
              <w:rPr>
                <w:rFonts w:ascii="Times New Roman" w:hAnsi="Times New Roman" w:cs="Times New Roman"/>
                <w:lang w:val="en-GB"/>
              </w:rPr>
              <w:t>(n=26)</w:t>
            </w:r>
          </w:p>
        </w:tc>
        <w:tc>
          <w:tcPr>
            <w:tcW w:w="1604" w:type="dxa"/>
          </w:tcPr>
          <w:p w14:paraId="38F7777D" w14:textId="77777777" w:rsidR="00937D3E" w:rsidRPr="00ED72EA" w:rsidRDefault="00937D3E" w:rsidP="00BB20B9">
            <w:pPr>
              <w:rPr>
                <w:rFonts w:ascii="Times New Roman" w:hAnsi="Times New Roman" w:cs="Times New Roman"/>
              </w:rPr>
            </w:pPr>
            <w:r w:rsidRPr="00ED72EA">
              <w:rPr>
                <w:rFonts w:ascii="Times New Roman" w:hAnsi="Times New Roman" w:cs="Times New Roman"/>
                <w:lang w:val="en-GB"/>
              </w:rPr>
              <w:t>Non-IE (n=242)</w:t>
            </w:r>
          </w:p>
        </w:tc>
      </w:tr>
      <w:tr w:rsidR="00937D3E" w:rsidRPr="00ED72EA" w14:paraId="71B7D763" w14:textId="77777777" w:rsidTr="00BB20B9">
        <w:tc>
          <w:tcPr>
            <w:tcW w:w="2376" w:type="dxa"/>
          </w:tcPr>
          <w:p w14:paraId="5B50BEDF" w14:textId="77777777" w:rsidR="00937D3E" w:rsidRPr="00ED72EA" w:rsidRDefault="00937D3E" w:rsidP="00BB20B9">
            <w:pPr>
              <w:rPr>
                <w:rFonts w:ascii="Times New Roman" w:hAnsi="Times New Roman" w:cs="Times New Roman"/>
                <w:sz w:val="22"/>
                <w:szCs w:val="22"/>
                <w:lang w:val="en-US"/>
              </w:rPr>
            </w:pPr>
            <w:r w:rsidRPr="0085441D">
              <w:rPr>
                <w:rFonts w:ascii="Times New Roman" w:hAnsi="Times New Roman" w:cs="Times New Roman"/>
                <w:sz w:val="22"/>
                <w:szCs w:val="22"/>
                <w:lang w:val="en-GB"/>
              </w:rPr>
              <w:t>Length of stay (days, median)</w:t>
            </w:r>
          </w:p>
        </w:tc>
        <w:tc>
          <w:tcPr>
            <w:tcW w:w="1560" w:type="dxa"/>
          </w:tcPr>
          <w:p w14:paraId="43B74827"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lang w:val="en-GB"/>
              </w:rPr>
              <w:t>34</w:t>
            </w:r>
          </w:p>
        </w:tc>
        <w:tc>
          <w:tcPr>
            <w:tcW w:w="1417" w:type="dxa"/>
          </w:tcPr>
          <w:p w14:paraId="6957E385"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lang w:val="en-GB"/>
              </w:rPr>
              <w:t>11</w:t>
            </w:r>
          </w:p>
        </w:tc>
        <w:tc>
          <w:tcPr>
            <w:tcW w:w="1559" w:type="dxa"/>
          </w:tcPr>
          <w:p w14:paraId="6BC05FF9"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37</w:t>
            </w:r>
          </w:p>
        </w:tc>
        <w:tc>
          <w:tcPr>
            <w:tcW w:w="1604" w:type="dxa"/>
          </w:tcPr>
          <w:p w14:paraId="4E2EBA8F"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11</w:t>
            </w:r>
          </w:p>
        </w:tc>
      </w:tr>
      <w:tr w:rsidR="00937D3E" w:rsidRPr="00ED72EA" w14:paraId="73C98F10" w14:textId="77777777" w:rsidTr="00BB20B9">
        <w:tc>
          <w:tcPr>
            <w:tcW w:w="2376" w:type="dxa"/>
          </w:tcPr>
          <w:p w14:paraId="34CEF032"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TTE performed (%)</w:t>
            </w:r>
          </w:p>
        </w:tc>
        <w:tc>
          <w:tcPr>
            <w:tcW w:w="1560" w:type="dxa"/>
          </w:tcPr>
          <w:p w14:paraId="01E17221"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39 (89)</w:t>
            </w:r>
          </w:p>
        </w:tc>
        <w:tc>
          <w:tcPr>
            <w:tcW w:w="1417" w:type="dxa"/>
          </w:tcPr>
          <w:p w14:paraId="40E405CC"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77 (22)</w:t>
            </w:r>
          </w:p>
        </w:tc>
        <w:tc>
          <w:tcPr>
            <w:tcW w:w="1559" w:type="dxa"/>
          </w:tcPr>
          <w:p w14:paraId="06BF4A97"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22 (85)</w:t>
            </w:r>
          </w:p>
        </w:tc>
        <w:tc>
          <w:tcPr>
            <w:tcW w:w="1604" w:type="dxa"/>
          </w:tcPr>
          <w:p w14:paraId="739D4769"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70 (29)</w:t>
            </w:r>
          </w:p>
        </w:tc>
      </w:tr>
      <w:tr w:rsidR="00937D3E" w:rsidRPr="00ED72EA" w14:paraId="12801CE7" w14:textId="77777777" w:rsidTr="00BB20B9">
        <w:tc>
          <w:tcPr>
            <w:tcW w:w="2376" w:type="dxa"/>
          </w:tcPr>
          <w:p w14:paraId="168245D6" w14:textId="77777777" w:rsidR="00937D3E" w:rsidRPr="0085441D" w:rsidRDefault="00937D3E" w:rsidP="00BB20B9">
            <w:pPr>
              <w:rPr>
                <w:rFonts w:ascii="Times New Roman" w:hAnsi="Times New Roman" w:cs="Times New Roman"/>
                <w:sz w:val="22"/>
                <w:szCs w:val="22"/>
              </w:rPr>
            </w:pPr>
            <w:r w:rsidRPr="0085441D">
              <w:rPr>
                <w:rFonts w:ascii="Times New Roman" w:hAnsi="Times New Roman" w:cs="Times New Roman"/>
                <w:sz w:val="22"/>
                <w:szCs w:val="22"/>
                <w:lang w:val="en-GB"/>
              </w:rPr>
              <w:t>TEE performed (%)</w:t>
            </w:r>
          </w:p>
        </w:tc>
        <w:tc>
          <w:tcPr>
            <w:tcW w:w="1560" w:type="dxa"/>
          </w:tcPr>
          <w:p w14:paraId="1EBDE14F"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lang w:val="en-GB"/>
              </w:rPr>
              <w:t>36 (82)</w:t>
            </w:r>
          </w:p>
        </w:tc>
        <w:tc>
          <w:tcPr>
            <w:tcW w:w="1417" w:type="dxa"/>
          </w:tcPr>
          <w:p w14:paraId="757960DF"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lang w:val="en-GB"/>
              </w:rPr>
              <w:t>50 (14)</w:t>
            </w:r>
          </w:p>
        </w:tc>
        <w:tc>
          <w:tcPr>
            <w:tcW w:w="1559" w:type="dxa"/>
          </w:tcPr>
          <w:p w14:paraId="4C864EA9"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25 (96)</w:t>
            </w:r>
          </w:p>
        </w:tc>
        <w:tc>
          <w:tcPr>
            <w:tcW w:w="1604" w:type="dxa"/>
          </w:tcPr>
          <w:p w14:paraId="578488C7"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32 (13)</w:t>
            </w:r>
          </w:p>
        </w:tc>
      </w:tr>
      <w:tr w:rsidR="00937D3E" w:rsidRPr="00ED72EA" w14:paraId="5A911DB8" w14:textId="77777777" w:rsidTr="00BB20B9">
        <w:tc>
          <w:tcPr>
            <w:tcW w:w="2376" w:type="dxa"/>
          </w:tcPr>
          <w:p w14:paraId="57E17EE4"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TTE and/or TEE performed (%)</w:t>
            </w:r>
          </w:p>
        </w:tc>
        <w:tc>
          <w:tcPr>
            <w:tcW w:w="1560" w:type="dxa"/>
          </w:tcPr>
          <w:p w14:paraId="00CDDAC8"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42 (95)</w:t>
            </w:r>
          </w:p>
        </w:tc>
        <w:tc>
          <w:tcPr>
            <w:tcW w:w="1417" w:type="dxa"/>
          </w:tcPr>
          <w:p w14:paraId="744ED7FC"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101 (29)</w:t>
            </w:r>
          </w:p>
        </w:tc>
        <w:tc>
          <w:tcPr>
            <w:tcW w:w="1559" w:type="dxa"/>
          </w:tcPr>
          <w:p w14:paraId="0FC0DAA2"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26 (100)</w:t>
            </w:r>
          </w:p>
        </w:tc>
        <w:tc>
          <w:tcPr>
            <w:tcW w:w="1604" w:type="dxa"/>
          </w:tcPr>
          <w:p w14:paraId="74903012"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72 (30)</w:t>
            </w:r>
          </w:p>
        </w:tc>
      </w:tr>
      <w:tr w:rsidR="00937D3E" w:rsidRPr="00ED72EA" w14:paraId="2E818274" w14:textId="77777777" w:rsidTr="00BB20B9">
        <w:tc>
          <w:tcPr>
            <w:tcW w:w="2376" w:type="dxa"/>
          </w:tcPr>
          <w:p w14:paraId="0C2E0D5D" w14:textId="77777777" w:rsidR="00937D3E" w:rsidRPr="0085441D" w:rsidRDefault="00937D3E" w:rsidP="00BB20B9">
            <w:pPr>
              <w:rPr>
                <w:rFonts w:ascii="Times New Roman" w:hAnsi="Times New Roman" w:cs="Times New Roman"/>
                <w:sz w:val="22"/>
                <w:szCs w:val="22"/>
              </w:rPr>
            </w:pPr>
            <w:r w:rsidRPr="0085441D">
              <w:rPr>
                <w:rFonts w:ascii="Times New Roman" w:hAnsi="Times New Roman" w:cs="Times New Roman"/>
                <w:sz w:val="22"/>
                <w:szCs w:val="22"/>
                <w:lang w:val="en-GB"/>
              </w:rPr>
              <w:t>30 days mortality (%)</w:t>
            </w:r>
          </w:p>
        </w:tc>
        <w:tc>
          <w:tcPr>
            <w:tcW w:w="1560" w:type="dxa"/>
          </w:tcPr>
          <w:p w14:paraId="5DC36361"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lang w:val="en-GB"/>
              </w:rPr>
              <w:t>7 (16)</w:t>
            </w:r>
          </w:p>
        </w:tc>
        <w:tc>
          <w:tcPr>
            <w:tcW w:w="1417" w:type="dxa"/>
          </w:tcPr>
          <w:p w14:paraId="2BC85BBA"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lang w:val="en-GB"/>
              </w:rPr>
              <w:t>50 (14)</w:t>
            </w:r>
          </w:p>
        </w:tc>
        <w:tc>
          <w:tcPr>
            <w:tcW w:w="1559" w:type="dxa"/>
          </w:tcPr>
          <w:p w14:paraId="4073C018"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2 (8)</w:t>
            </w:r>
          </w:p>
        </w:tc>
        <w:tc>
          <w:tcPr>
            <w:tcW w:w="1604" w:type="dxa"/>
          </w:tcPr>
          <w:p w14:paraId="339D242C"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32 (13)</w:t>
            </w:r>
          </w:p>
        </w:tc>
      </w:tr>
      <w:tr w:rsidR="00937D3E" w:rsidRPr="00ED72EA" w14:paraId="7B2DC2F9" w14:textId="77777777" w:rsidTr="00BB20B9">
        <w:tc>
          <w:tcPr>
            <w:tcW w:w="2376" w:type="dxa"/>
          </w:tcPr>
          <w:p w14:paraId="39766725"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360 days mortality (%)</w:t>
            </w:r>
          </w:p>
        </w:tc>
        <w:tc>
          <w:tcPr>
            <w:tcW w:w="1560" w:type="dxa"/>
          </w:tcPr>
          <w:p w14:paraId="0E5FC977"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18 (41)</w:t>
            </w:r>
          </w:p>
        </w:tc>
        <w:tc>
          <w:tcPr>
            <w:tcW w:w="1417" w:type="dxa"/>
          </w:tcPr>
          <w:p w14:paraId="0BC0979A"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142 (40)</w:t>
            </w:r>
          </w:p>
        </w:tc>
        <w:tc>
          <w:tcPr>
            <w:tcW w:w="1559" w:type="dxa"/>
          </w:tcPr>
          <w:p w14:paraId="7684995A"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8 (31)</w:t>
            </w:r>
          </w:p>
        </w:tc>
        <w:tc>
          <w:tcPr>
            <w:tcW w:w="1604" w:type="dxa"/>
          </w:tcPr>
          <w:p w14:paraId="57FC0A8E" w14:textId="77777777" w:rsidR="00937D3E" w:rsidRPr="00ED72EA" w:rsidRDefault="00937D3E" w:rsidP="00BB20B9">
            <w:pPr>
              <w:jc w:val="center"/>
              <w:rPr>
                <w:rFonts w:ascii="Times New Roman" w:hAnsi="Times New Roman" w:cs="Times New Roman"/>
                <w:sz w:val="22"/>
                <w:szCs w:val="22"/>
              </w:rPr>
            </w:pPr>
            <w:r w:rsidRPr="00ED72EA">
              <w:rPr>
                <w:rFonts w:ascii="Times New Roman" w:hAnsi="Times New Roman" w:cs="Times New Roman"/>
                <w:sz w:val="22"/>
                <w:szCs w:val="22"/>
              </w:rPr>
              <w:t>102 (42)</w:t>
            </w:r>
          </w:p>
        </w:tc>
      </w:tr>
    </w:tbl>
    <w:p w14:paraId="259DBF0C" w14:textId="77777777" w:rsidR="00937D3E" w:rsidRPr="00ED72EA" w:rsidRDefault="00937D3E" w:rsidP="00937D3E">
      <w:pPr>
        <w:rPr>
          <w:rFonts w:ascii="Times New Roman" w:hAnsi="Times New Roman" w:cs="Times New Roman"/>
          <w:sz w:val="22"/>
          <w:szCs w:val="22"/>
          <w:lang w:val="en-GB"/>
        </w:rPr>
      </w:pPr>
    </w:p>
    <w:p w14:paraId="2FB6FB1D" w14:textId="77777777" w:rsidR="00937D3E" w:rsidRPr="00ED72EA" w:rsidRDefault="00937D3E" w:rsidP="00937D3E">
      <w:pPr>
        <w:rPr>
          <w:rFonts w:ascii="Times New Roman" w:hAnsi="Times New Roman" w:cs="Times New Roman"/>
          <w:lang w:val="en-GB"/>
        </w:rPr>
      </w:pPr>
      <w:bookmarkStart w:id="0" w:name="_GoBack"/>
      <w:bookmarkEnd w:id="0"/>
    </w:p>
    <w:p w14:paraId="19CC5384" w14:textId="77777777" w:rsidR="00937D3E" w:rsidRPr="00ED72EA" w:rsidRDefault="00937D3E" w:rsidP="00937D3E">
      <w:pPr>
        <w:rPr>
          <w:rFonts w:ascii="Times New Roman" w:hAnsi="Times New Roman" w:cs="Times New Roman"/>
          <w:lang w:val="en-GB"/>
        </w:rPr>
      </w:pPr>
      <w:r w:rsidRPr="00ED72EA">
        <w:rPr>
          <w:rFonts w:ascii="Times New Roman" w:hAnsi="Times New Roman" w:cs="Times New Roman"/>
          <w:lang w:val="en-GB"/>
        </w:rPr>
        <w:br w:type="page"/>
      </w:r>
    </w:p>
    <w:p w14:paraId="4EACA979" w14:textId="77777777" w:rsidR="00937D3E" w:rsidRPr="0085441D" w:rsidRDefault="00BB20B9" w:rsidP="00937D3E">
      <w:pPr>
        <w:rPr>
          <w:rFonts w:ascii="Times New Roman" w:hAnsi="Times New Roman" w:cs="Times New Roman"/>
          <w:lang w:val="en-GB"/>
        </w:rPr>
      </w:pPr>
      <w:r>
        <w:rPr>
          <w:rFonts w:ascii="Times New Roman" w:hAnsi="Times New Roman" w:cs="Times New Roman"/>
          <w:lang w:val="en-GB"/>
        </w:rPr>
        <w:lastRenderedPageBreak/>
        <w:t>Supplementary material 4</w:t>
      </w:r>
      <w:r w:rsidR="00937D3E" w:rsidRPr="0085441D">
        <w:rPr>
          <w:rFonts w:ascii="Times New Roman" w:hAnsi="Times New Roman" w:cs="Times New Roman"/>
          <w:lang w:val="en-GB"/>
        </w:rPr>
        <w:t xml:space="preserve">. Characteristics of patients in the validation </w:t>
      </w:r>
    </w:p>
    <w:p w14:paraId="50EE5B7A" w14:textId="77777777" w:rsidR="00937D3E" w:rsidRPr="0085441D" w:rsidRDefault="00937D3E" w:rsidP="00937D3E">
      <w:pPr>
        <w:rPr>
          <w:rFonts w:ascii="Times New Roman" w:hAnsi="Times New Roman" w:cs="Times New Roman"/>
          <w:lang w:val="en-GB"/>
        </w:rPr>
      </w:pPr>
      <w:r w:rsidRPr="0085441D">
        <w:rPr>
          <w:rFonts w:ascii="Times New Roman" w:hAnsi="Times New Roman" w:cs="Times New Roman"/>
          <w:lang w:val="en-GB"/>
        </w:rPr>
        <w:t xml:space="preserve">cohort with and without IE at time of </w:t>
      </w:r>
      <w:r w:rsidRPr="00ED72EA">
        <w:rPr>
          <w:rFonts w:ascii="Times New Roman" w:hAnsi="Times New Roman" w:cs="Times New Roman"/>
          <w:lang w:val="en-GB"/>
        </w:rPr>
        <w:t>scoring</w:t>
      </w:r>
    </w:p>
    <w:tbl>
      <w:tblPr>
        <w:tblStyle w:val="Tabellrutnt"/>
        <w:tblW w:w="5270" w:type="dxa"/>
        <w:tblLook w:val="04A0" w:firstRow="1" w:lastRow="0" w:firstColumn="1" w:lastColumn="0" w:noHBand="0" w:noVBand="1"/>
      </w:tblPr>
      <w:tblGrid>
        <w:gridCol w:w="2897"/>
        <w:gridCol w:w="1115"/>
        <w:gridCol w:w="1258"/>
      </w:tblGrid>
      <w:tr w:rsidR="00937D3E" w:rsidRPr="00ED72EA" w14:paraId="5B6FB360" w14:textId="77777777" w:rsidTr="00BB20B9">
        <w:tc>
          <w:tcPr>
            <w:tcW w:w="2897" w:type="dxa"/>
          </w:tcPr>
          <w:p w14:paraId="63382CF6" w14:textId="77777777" w:rsidR="00937D3E" w:rsidRPr="0085441D" w:rsidRDefault="00937D3E" w:rsidP="00BB20B9">
            <w:pPr>
              <w:rPr>
                <w:rFonts w:ascii="Times New Roman" w:hAnsi="Times New Roman" w:cs="Times New Roman"/>
                <w:lang w:val="en-GB"/>
              </w:rPr>
            </w:pPr>
          </w:p>
        </w:tc>
        <w:tc>
          <w:tcPr>
            <w:tcW w:w="1115" w:type="dxa"/>
          </w:tcPr>
          <w:p w14:paraId="7D21CACE" w14:textId="77777777" w:rsidR="00937D3E" w:rsidRPr="0085441D" w:rsidRDefault="00937D3E" w:rsidP="00BB20B9">
            <w:pPr>
              <w:jc w:val="center"/>
              <w:rPr>
                <w:rFonts w:ascii="Times New Roman" w:hAnsi="Times New Roman" w:cs="Times New Roman"/>
                <w:lang w:val="en-GB"/>
              </w:rPr>
            </w:pPr>
            <w:r w:rsidRPr="0085441D">
              <w:rPr>
                <w:rFonts w:ascii="Times New Roman" w:hAnsi="Times New Roman" w:cs="Times New Roman"/>
                <w:lang w:val="en-GB"/>
              </w:rPr>
              <w:t xml:space="preserve">IE </w:t>
            </w:r>
          </w:p>
          <w:p w14:paraId="146E4131" w14:textId="77777777" w:rsidR="00937D3E" w:rsidRPr="00ED72EA" w:rsidRDefault="00937D3E" w:rsidP="00BB20B9">
            <w:pPr>
              <w:jc w:val="center"/>
              <w:rPr>
                <w:rFonts w:ascii="Times New Roman" w:hAnsi="Times New Roman" w:cs="Times New Roman"/>
                <w:lang w:val="en-GB"/>
              </w:rPr>
            </w:pPr>
            <w:r w:rsidRPr="00ED72EA">
              <w:rPr>
                <w:rFonts w:ascii="Times New Roman" w:hAnsi="Times New Roman" w:cs="Times New Roman"/>
                <w:lang w:val="en-GB"/>
              </w:rPr>
              <w:t>(n=26)</w:t>
            </w:r>
          </w:p>
        </w:tc>
        <w:tc>
          <w:tcPr>
            <w:tcW w:w="1258" w:type="dxa"/>
          </w:tcPr>
          <w:p w14:paraId="64C7AE1E" w14:textId="77777777" w:rsidR="00937D3E" w:rsidRPr="00ED72EA" w:rsidRDefault="00937D3E" w:rsidP="00BB20B9">
            <w:pPr>
              <w:jc w:val="center"/>
              <w:rPr>
                <w:rFonts w:ascii="Times New Roman" w:hAnsi="Times New Roman" w:cs="Times New Roman"/>
                <w:lang w:val="en-GB"/>
              </w:rPr>
            </w:pPr>
            <w:r w:rsidRPr="00ED72EA">
              <w:rPr>
                <w:rFonts w:ascii="Times New Roman" w:hAnsi="Times New Roman" w:cs="Times New Roman"/>
                <w:lang w:val="en-GB"/>
              </w:rPr>
              <w:t>Non-IE (n=242)</w:t>
            </w:r>
          </w:p>
        </w:tc>
      </w:tr>
      <w:tr w:rsidR="00937D3E" w:rsidRPr="00ED72EA" w14:paraId="40314570" w14:textId="77777777" w:rsidTr="00BB20B9">
        <w:tc>
          <w:tcPr>
            <w:tcW w:w="2897" w:type="dxa"/>
          </w:tcPr>
          <w:p w14:paraId="67415B17"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lang w:val="en-GB"/>
              </w:rPr>
              <w:t>General demographics</w:t>
            </w:r>
          </w:p>
        </w:tc>
        <w:tc>
          <w:tcPr>
            <w:tcW w:w="1115" w:type="dxa"/>
          </w:tcPr>
          <w:p w14:paraId="51506CCD" w14:textId="77777777" w:rsidR="00937D3E" w:rsidRPr="0085441D" w:rsidRDefault="00937D3E" w:rsidP="00BB20B9">
            <w:pPr>
              <w:jc w:val="center"/>
              <w:rPr>
                <w:rFonts w:ascii="Times New Roman" w:hAnsi="Times New Roman" w:cs="Times New Roman"/>
                <w:lang w:val="en-GB"/>
              </w:rPr>
            </w:pPr>
          </w:p>
        </w:tc>
        <w:tc>
          <w:tcPr>
            <w:tcW w:w="1258" w:type="dxa"/>
          </w:tcPr>
          <w:p w14:paraId="156AE072" w14:textId="77777777" w:rsidR="00937D3E" w:rsidRPr="0085441D" w:rsidRDefault="00937D3E" w:rsidP="00BB20B9">
            <w:pPr>
              <w:jc w:val="center"/>
              <w:rPr>
                <w:rFonts w:ascii="Times New Roman" w:hAnsi="Times New Roman" w:cs="Times New Roman"/>
                <w:lang w:val="en-GB"/>
              </w:rPr>
            </w:pPr>
          </w:p>
        </w:tc>
      </w:tr>
      <w:tr w:rsidR="00937D3E" w:rsidRPr="00ED72EA" w14:paraId="1BCAF46E" w14:textId="77777777" w:rsidTr="00BB20B9">
        <w:tc>
          <w:tcPr>
            <w:tcW w:w="2897" w:type="dxa"/>
          </w:tcPr>
          <w:p w14:paraId="3D41B33A"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Age (years, median)</w:t>
            </w:r>
          </w:p>
        </w:tc>
        <w:tc>
          <w:tcPr>
            <w:tcW w:w="1115" w:type="dxa"/>
          </w:tcPr>
          <w:p w14:paraId="1C85943C"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69</w:t>
            </w:r>
          </w:p>
        </w:tc>
        <w:tc>
          <w:tcPr>
            <w:tcW w:w="1258" w:type="dxa"/>
          </w:tcPr>
          <w:p w14:paraId="4B94854F"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71</w:t>
            </w:r>
          </w:p>
        </w:tc>
      </w:tr>
      <w:tr w:rsidR="00937D3E" w:rsidRPr="00ED72EA" w14:paraId="5CFBDCDC" w14:textId="77777777" w:rsidTr="00BB20B9">
        <w:tc>
          <w:tcPr>
            <w:tcW w:w="2897" w:type="dxa"/>
          </w:tcPr>
          <w:p w14:paraId="540FD370" w14:textId="77777777" w:rsidR="00937D3E" w:rsidRPr="0085441D" w:rsidRDefault="00937D3E" w:rsidP="00BB20B9">
            <w:pPr>
              <w:rPr>
                <w:rFonts w:ascii="Times New Roman" w:hAnsi="Times New Roman" w:cs="Times New Roman"/>
                <w:sz w:val="22"/>
                <w:szCs w:val="22"/>
                <w:u w:val="single"/>
                <w:lang w:val="en-GB"/>
              </w:rPr>
            </w:pPr>
            <w:r w:rsidRPr="0085441D">
              <w:rPr>
                <w:rFonts w:ascii="Times New Roman" w:hAnsi="Times New Roman" w:cs="Times New Roman"/>
                <w:sz w:val="22"/>
                <w:szCs w:val="22"/>
                <w:lang w:val="en-GB"/>
              </w:rPr>
              <w:t xml:space="preserve">  &lt;55</w:t>
            </w:r>
          </w:p>
        </w:tc>
        <w:tc>
          <w:tcPr>
            <w:tcW w:w="1115" w:type="dxa"/>
          </w:tcPr>
          <w:p w14:paraId="7E2F415B"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8 (31)</w:t>
            </w:r>
          </w:p>
        </w:tc>
        <w:tc>
          <w:tcPr>
            <w:tcW w:w="1258" w:type="dxa"/>
          </w:tcPr>
          <w:p w14:paraId="75EB3FCF"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35 (14)</w:t>
            </w:r>
          </w:p>
        </w:tc>
      </w:tr>
      <w:tr w:rsidR="00937D3E" w:rsidRPr="00ED72EA" w14:paraId="53693D2A" w14:textId="77777777" w:rsidTr="00BB20B9">
        <w:tc>
          <w:tcPr>
            <w:tcW w:w="2897" w:type="dxa"/>
          </w:tcPr>
          <w:p w14:paraId="4554DD15" w14:textId="77777777" w:rsidR="00937D3E" w:rsidRPr="0085441D" w:rsidRDefault="00937D3E" w:rsidP="00BB20B9">
            <w:pPr>
              <w:rPr>
                <w:rFonts w:ascii="Times New Roman" w:hAnsi="Times New Roman" w:cs="Times New Roman"/>
                <w:sz w:val="22"/>
                <w:szCs w:val="22"/>
                <w:u w:val="single"/>
                <w:lang w:val="en-GB"/>
              </w:rPr>
            </w:pPr>
            <w:r w:rsidRPr="0085441D">
              <w:rPr>
                <w:rFonts w:ascii="Times New Roman" w:hAnsi="Times New Roman" w:cs="Times New Roman"/>
                <w:sz w:val="22"/>
                <w:szCs w:val="22"/>
                <w:lang w:val="en-GB"/>
              </w:rPr>
              <w:t xml:space="preserve">  55-64</w:t>
            </w:r>
          </w:p>
        </w:tc>
        <w:tc>
          <w:tcPr>
            <w:tcW w:w="1115" w:type="dxa"/>
          </w:tcPr>
          <w:p w14:paraId="63B23D74"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3 (12)</w:t>
            </w:r>
          </w:p>
        </w:tc>
        <w:tc>
          <w:tcPr>
            <w:tcW w:w="1258" w:type="dxa"/>
          </w:tcPr>
          <w:p w14:paraId="47EC6847"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39 (16)</w:t>
            </w:r>
          </w:p>
        </w:tc>
      </w:tr>
      <w:tr w:rsidR="00937D3E" w:rsidRPr="00ED72EA" w14:paraId="5C8B4555" w14:textId="77777777" w:rsidTr="00BB20B9">
        <w:tc>
          <w:tcPr>
            <w:tcW w:w="2897" w:type="dxa"/>
          </w:tcPr>
          <w:p w14:paraId="075C5824"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65-74</w:t>
            </w:r>
          </w:p>
        </w:tc>
        <w:tc>
          <w:tcPr>
            <w:tcW w:w="1115" w:type="dxa"/>
          </w:tcPr>
          <w:p w14:paraId="7CAE156C"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7 (27)</w:t>
            </w:r>
          </w:p>
        </w:tc>
        <w:tc>
          <w:tcPr>
            <w:tcW w:w="1258" w:type="dxa"/>
          </w:tcPr>
          <w:p w14:paraId="3D78C0DA"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67 (28)</w:t>
            </w:r>
          </w:p>
        </w:tc>
      </w:tr>
      <w:tr w:rsidR="00937D3E" w:rsidRPr="00ED72EA" w14:paraId="4EF1A785" w14:textId="77777777" w:rsidTr="00BB20B9">
        <w:tc>
          <w:tcPr>
            <w:tcW w:w="2897" w:type="dxa"/>
          </w:tcPr>
          <w:p w14:paraId="65EFBB6C"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75-84</w:t>
            </w:r>
          </w:p>
        </w:tc>
        <w:tc>
          <w:tcPr>
            <w:tcW w:w="1115" w:type="dxa"/>
          </w:tcPr>
          <w:p w14:paraId="38F60D81"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8 (31)</w:t>
            </w:r>
          </w:p>
        </w:tc>
        <w:tc>
          <w:tcPr>
            <w:tcW w:w="1258" w:type="dxa"/>
          </w:tcPr>
          <w:p w14:paraId="5270DD96"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70 (29)</w:t>
            </w:r>
          </w:p>
        </w:tc>
      </w:tr>
      <w:tr w:rsidR="00937D3E" w:rsidRPr="00ED72EA" w14:paraId="1C755E47" w14:textId="77777777" w:rsidTr="00BB20B9">
        <w:tc>
          <w:tcPr>
            <w:tcW w:w="2897" w:type="dxa"/>
          </w:tcPr>
          <w:p w14:paraId="27B485F7" w14:textId="77777777" w:rsidR="00937D3E" w:rsidRPr="0085441D" w:rsidRDefault="00937D3E" w:rsidP="00BB20B9">
            <w:pPr>
              <w:rPr>
                <w:rFonts w:ascii="Times New Roman" w:hAnsi="Times New Roman" w:cs="Times New Roman"/>
                <w:sz w:val="22"/>
                <w:szCs w:val="22"/>
                <w:u w:val="single"/>
                <w:lang w:val="en-GB"/>
              </w:rPr>
            </w:pPr>
            <w:r w:rsidRPr="0085441D">
              <w:rPr>
                <w:rFonts w:ascii="Times New Roman" w:hAnsi="Times New Roman" w:cs="Times New Roman"/>
                <w:sz w:val="22"/>
                <w:szCs w:val="22"/>
                <w:u w:val="single"/>
                <w:lang w:val="en-GB"/>
              </w:rPr>
              <w:t xml:space="preserve">  &gt;</w:t>
            </w:r>
            <w:r w:rsidRPr="0085441D">
              <w:rPr>
                <w:rFonts w:ascii="Times New Roman" w:hAnsi="Times New Roman" w:cs="Times New Roman"/>
                <w:sz w:val="22"/>
                <w:szCs w:val="22"/>
                <w:lang w:val="en-GB"/>
              </w:rPr>
              <w:t>85</w:t>
            </w:r>
          </w:p>
        </w:tc>
        <w:tc>
          <w:tcPr>
            <w:tcW w:w="1115" w:type="dxa"/>
          </w:tcPr>
          <w:p w14:paraId="538416BE"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0</w:t>
            </w:r>
          </w:p>
        </w:tc>
        <w:tc>
          <w:tcPr>
            <w:tcW w:w="1258" w:type="dxa"/>
          </w:tcPr>
          <w:p w14:paraId="0D6951D7"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13 (13)</w:t>
            </w:r>
          </w:p>
        </w:tc>
      </w:tr>
      <w:tr w:rsidR="00937D3E" w:rsidRPr="00ED72EA" w14:paraId="5FA58362" w14:textId="77777777" w:rsidTr="00BB20B9">
        <w:tc>
          <w:tcPr>
            <w:tcW w:w="2897" w:type="dxa"/>
          </w:tcPr>
          <w:p w14:paraId="5DAE93F8"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Sex (% women)</w:t>
            </w:r>
          </w:p>
        </w:tc>
        <w:tc>
          <w:tcPr>
            <w:tcW w:w="1115" w:type="dxa"/>
          </w:tcPr>
          <w:p w14:paraId="0D6F8A8E"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7 (27)</w:t>
            </w:r>
          </w:p>
        </w:tc>
        <w:tc>
          <w:tcPr>
            <w:tcW w:w="1258" w:type="dxa"/>
          </w:tcPr>
          <w:p w14:paraId="0B232DED"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80 (33)</w:t>
            </w:r>
          </w:p>
        </w:tc>
      </w:tr>
      <w:tr w:rsidR="00937D3E" w:rsidRPr="00ED72EA" w14:paraId="68F94AA3" w14:textId="77777777" w:rsidTr="00BB20B9">
        <w:tc>
          <w:tcPr>
            <w:tcW w:w="2897" w:type="dxa"/>
          </w:tcPr>
          <w:p w14:paraId="6BAE3FD5"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lang w:val="en-GB"/>
              </w:rPr>
              <w:t>Underlying conditions</w:t>
            </w:r>
          </w:p>
        </w:tc>
        <w:tc>
          <w:tcPr>
            <w:tcW w:w="1115" w:type="dxa"/>
          </w:tcPr>
          <w:p w14:paraId="16D3CA8A" w14:textId="77777777" w:rsidR="00937D3E" w:rsidRPr="0085441D" w:rsidRDefault="00937D3E" w:rsidP="00BB20B9">
            <w:pPr>
              <w:jc w:val="center"/>
              <w:rPr>
                <w:rFonts w:ascii="Times New Roman" w:hAnsi="Times New Roman" w:cs="Times New Roman"/>
                <w:sz w:val="22"/>
                <w:szCs w:val="22"/>
                <w:lang w:val="en-GB"/>
              </w:rPr>
            </w:pPr>
          </w:p>
        </w:tc>
        <w:tc>
          <w:tcPr>
            <w:tcW w:w="1258" w:type="dxa"/>
          </w:tcPr>
          <w:p w14:paraId="560DC2DC" w14:textId="77777777" w:rsidR="00937D3E" w:rsidRPr="0085441D" w:rsidRDefault="00937D3E" w:rsidP="00BB20B9">
            <w:pPr>
              <w:jc w:val="center"/>
              <w:rPr>
                <w:rFonts w:ascii="Times New Roman" w:hAnsi="Times New Roman" w:cs="Times New Roman"/>
                <w:sz w:val="22"/>
                <w:szCs w:val="22"/>
                <w:lang w:val="en-GB"/>
              </w:rPr>
            </w:pPr>
          </w:p>
        </w:tc>
      </w:tr>
      <w:tr w:rsidR="00937D3E" w:rsidRPr="00ED72EA" w14:paraId="5FC9FF5C" w14:textId="77777777" w:rsidTr="00BB20B9">
        <w:tc>
          <w:tcPr>
            <w:tcW w:w="2897" w:type="dxa"/>
          </w:tcPr>
          <w:p w14:paraId="3EB12B74"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Charlson score (median)</w:t>
            </w:r>
          </w:p>
        </w:tc>
        <w:tc>
          <w:tcPr>
            <w:tcW w:w="1115" w:type="dxa"/>
          </w:tcPr>
          <w:p w14:paraId="2DDCCB9F"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w:t>
            </w:r>
          </w:p>
        </w:tc>
        <w:tc>
          <w:tcPr>
            <w:tcW w:w="1258" w:type="dxa"/>
          </w:tcPr>
          <w:p w14:paraId="0A7C5B5F"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3</w:t>
            </w:r>
          </w:p>
        </w:tc>
      </w:tr>
      <w:tr w:rsidR="00937D3E" w:rsidRPr="00ED72EA" w14:paraId="51197B18" w14:textId="77777777" w:rsidTr="00BB20B9">
        <w:tc>
          <w:tcPr>
            <w:tcW w:w="2897" w:type="dxa"/>
          </w:tcPr>
          <w:p w14:paraId="635660EF"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0-1</w:t>
            </w:r>
          </w:p>
        </w:tc>
        <w:tc>
          <w:tcPr>
            <w:tcW w:w="1115" w:type="dxa"/>
          </w:tcPr>
          <w:p w14:paraId="03D19BFA"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13 (50)</w:t>
            </w:r>
          </w:p>
        </w:tc>
        <w:tc>
          <w:tcPr>
            <w:tcW w:w="1258" w:type="dxa"/>
          </w:tcPr>
          <w:p w14:paraId="1B596F8F"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56 (23)</w:t>
            </w:r>
          </w:p>
        </w:tc>
      </w:tr>
      <w:tr w:rsidR="00937D3E" w:rsidRPr="00ED72EA" w14:paraId="5DFF1686" w14:textId="77777777" w:rsidTr="00BB20B9">
        <w:tc>
          <w:tcPr>
            <w:tcW w:w="2897" w:type="dxa"/>
          </w:tcPr>
          <w:p w14:paraId="59941FC2"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2-3</w:t>
            </w:r>
          </w:p>
        </w:tc>
        <w:tc>
          <w:tcPr>
            <w:tcW w:w="1115" w:type="dxa"/>
          </w:tcPr>
          <w:p w14:paraId="22933FBA"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7 (27)</w:t>
            </w:r>
          </w:p>
        </w:tc>
        <w:tc>
          <w:tcPr>
            <w:tcW w:w="1258" w:type="dxa"/>
          </w:tcPr>
          <w:p w14:paraId="06008BC7"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100 (41)</w:t>
            </w:r>
          </w:p>
        </w:tc>
      </w:tr>
      <w:tr w:rsidR="00937D3E" w:rsidRPr="00ED72EA" w14:paraId="0E79D8FC" w14:textId="77777777" w:rsidTr="00BB20B9">
        <w:tc>
          <w:tcPr>
            <w:tcW w:w="2897" w:type="dxa"/>
          </w:tcPr>
          <w:p w14:paraId="1E100C97"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w:t>
            </w:r>
            <w:r w:rsidRPr="0085441D">
              <w:rPr>
                <w:rFonts w:ascii="Times New Roman" w:hAnsi="Times New Roman" w:cs="Times New Roman"/>
                <w:sz w:val="22"/>
                <w:szCs w:val="22"/>
                <w:u w:val="single"/>
                <w:lang w:val="en-GB"/>
              </w:rPr>
              <w:t>&gt;</w:t>
            </w:r>
            <w:r w:rsidRPr="0085441D">
              <w:rPr>
                <w:rFonts w:ascii="Times New Roman" w:hAnsi="Times New Roman" w:cs="Times New Roman"/>
                <w:sz w:val="22"/>
                <w:szCs w:val="22"/>
                <w:lang w:val="en-GB"/>
              </w:rPr>
              <w:t>4</w:t>
            </w:r>
          </w:p>
        </w:tc>
        <w:tc>
          <w:tcPr>
            <w:tcW w:w="1115" w:type="dxa"/>
          </w:tcPr>
          <w:p w14:paraId="68BFC4A2"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6 (23)</w:t>
            </w:r>
          </w:p>
        </w:tc>
        <w:tc>
          <w:tcPr>
            <w:tcW w:w="1258" w:type="dxa"/>
          </w:tcPr>
          <w:p w14:paraId="1FE77B81"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86 (36)</w:t>
            </w:r>
          </w:p>
        </w:tc>
      </w:tr>
      <w:tr w:rsidR="00937D3E" w:rsidRPr="00ED72EA" w14:paraId="48F67A38" w14:textId="77777777" w:rsidTr="00BB20B9">
        <w:tc>
          <w:tcPr>
            <w:tcW w:w="2897" w:type="dxa"/>
          </w:tcPr>
          <w:p w14:paraId="7385FC35" w14:textId="77777777" w:rsidR="00937D3E" w:rsidRPr="0085441D" w:rsidRDefault="00937D3E" w:rsidP="00BB20B9">
            <w:pPr>
              <w:rPr>
                <w:rFonts w:ascii="Times New Roman" w:hAnsi="Times New Roman" w:cs="Times New Roman"/>
              </w:rPr>
            </w:pPr>
            <w:r w:rsidRPr="0085441D">
              <w:rPr>
                <w:rFonts w:ascii="Times New Roman" w:hAnsi="Times New Roman" w:cs="Times New Roman"/>
              </w:rPr>
              <w:t>Predisposing heart condition</w:t>
            </w:r>
            <w:r w:rsidRPr="0085441D">
              <w:rPr>
                <w:rFonts w:ascii="Times New Roman" w:hAnsi="Times New Roman" w:cs="Times New Roman"/>
                <w:vertAlign w:val="superscript"/>
              </w:rPr>
              <w:t>1</w:t>
            </w:r>
          </w:p>
        </w:tc>
        <w:tc>
          <w:tcPr>
            <w:tcW w:w="1115" w:type="dxa"/>
          </w:tcPr>
          <w:p w14:paraId="76297416" w14:textId="77777777" w:rsidR="00937D3E" w:rsidRPr="00ED72EA" w:rsidRDefault="00937D3E" w:rsidP="00BB20B9">
            <w:pPr>
              <w:jc w:val="center"/>
              <w:rPr>
                <w:rFonts w:ascii="Times New Roman" w:hAnsi="Times New Roman" w:cs="Times New Roman"/>
              </w:rPr>
            </w:pPr>
            <w:r w:rsidRPr="00ED72EA">
              <w:rPr>
                <w:rFonts w:ascii="Times New Roman" w:hAnsi="Times New Roman" w:cs="Times New Roman"/>
              </w:rPr>
              <w:t>15 (58)</w:t>
            </w:r>
          </w:p>
        </w:tc>
        <w:tc>
          <w:tcPr>
            <w:tcW w:w="1258" w:type="dxa"/>
          </w:tcPr>
          <w:p w14:paraId="2F57737E" w14:textId="77777777" w:rsidR="00937D3E" w:rsidRPr="00ED72EA" w:rsidRDefault="00937D3E" w:rsidP="00BB20B9">
            <w:pPr>
              <w:jc w:val="center"/>
              <w:rPr>
                <w:rFonts w:ascii="Times New Roman" w:hAnsi="Times New Roman" w:cs="Times New Roman"/>
              </w:rPr>
            </w:pPr>
            <w:r w:rsidRPr="00ED72EA">
              <w:rPr>
                <w:rFonts w:ascii="Times New Roman" w:hAnsi="Times New Roman" w:cs="Times New Roman"/>
              </w:rPr>
              <w:t>37 (15)</w:t>
            </w:r>
          </w:p>
        </w:tc>
      </w:tr>
      <w:tr w:rsidR="00937D3E" w:rsidRPr="00ED72EA" w14:paraId="53E3E28C" w14:textId="77777777" w:rsidTr="00BB20B9">
        <w:tc>
          <w:tcPr>
            <w:tcW w:w="2897" w:type="dxa"/>
          </w:tcPr>
          <w:p w14:paraId="32BBA131"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Previous IE (%)</w:t>
            </w:r>
          </w:p>
        </w:tc>
        <w:tc>
          <w:tcPr>
            <w:tcW w:w="1115" w:type="dxa"/>
          </w:tcPr>
          <w:p w14:paraId="6323AF63"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8 (31)</w:t>
            </w:r>
          </w:p>
        </w:tc>
        <w:tc>
          <w:tcPr>
            <w:tcW w:w="1258" w:type="dxa"/>
          </w:tcPr>
          <w:p w14:paraId="6B0C59F4"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6 (3)</w:t>
            </w:r>
          </w:p>
        </w:tc>
      </w:tr>
      <w:tr w:rsidR="00937D3E" w:rsidRPr="00ED72EA" w14:paraId="15842803" w14:textId="77777777" w:rsidTr="00BB20B9">
        <w:tc>
          <w:tcPr>
            <w:tcW w:w="2897" w:type="dxa"/>
          </w:tcPr>
          <w:p w14:paraId="6876E6E7"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Native valve disease (%)</w:t>
            </w:r>
          </w:p>
        </w:tc>
        <w:tc>
          <w:tcPr>
            <w:tcW w:w="1115" w:type="dxa"/>
          </w:tcPr>
          <w:p w14:paraId="34852826"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9 (35)</w:t>
            </w:r>
          </w:p>
        </w:tc>
        <w:tc>
          <w:tcPr>
            <w:tcW w:w="1258" w:type="dxa"/>
          </w:tcPr>
          <w:p w14:paraId="736219C9"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24 (10)</w:t>
            </w:r>
          </w:p>
        </w:tc>
      </w:tr>
      <w:tr w:rsidR="00937D3E" w:rsidRPr="00ED72EA" w14:paraId="257CBF17" w14:textId="77777777" w:rsidTr="00BB20B9">
        <w:tc>
          <w:tcPr>
            <w:tcW w:w="2897" w:type="dxa"/>
          </w:tcPr>
          <w:p w14:paraId="09FFB576"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Valve prosthesis (%)</w:t>
            </w:r>
          </w:p>
        </w:tc>
        <w:tc>
          <w:tcPr>
            <w:tcW w:w="1115" w:type="dxa"/>
          </w:tcPr>
          <w:p w14:paraId="31E13673"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9 (35)</w:t>
            </w:r>
          </w:p>
        </w:tc>
        <w:tc>
          <w:tcPr>
            <w:tcW w:w="1258" w:type="dxa"/>
          </w:tcPr>
          <w:p w14:paraId="27F2B7AA"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21 (9)</w:t>
            </w:r>
          </w:p>
        </w:tc>
      </w:tr>
      <w:tr w:rsidR="00937D3E" w:rsidRPr="00ED72EA" w14:paraId="0DEA633B" w14:textId="77777777" w:rsidTr="00BB20B9">
        <w:tc>
          <w:tcPr>
            <w:tcW w:w="2897" w:type="dxa"/>
          </w:tcPr>
          <w:p w14:paraId="3DBB9006"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Intracardiac device (%)</w:t>
            </w:r>
          </w:p>
        </w:tc>
        <w:tc>
          <w:tcPr>
            <w:tcW w:w="1115" w:type="dxa"/>
          </w:tcPr>
          <w:p w14:paraId="5F9118A2"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3 (12)</w:t>
            </w:r>
          </w:p>
        </w:tc>
        <w:tc>
          <w:tcPr>
            <w:tcW w:w="1258" w:type="dxa"/>
          </w:tcPr>
          <w:p w14:paraId="5C6AF29D"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23 (10)</w:t>
            </w:r>
          </w:p>
        </w:tc>
      </w:tr>
      <w:tr w:rsidR="00937D3E" w:rsidRPr="00ED72EA" w14:paraId="76F2BA4F" w14:textId="77777777" w:rsidTr="00BB20B9">
        <w:tc>
          <w:tcPr>
            <w:tcW w:w="2897" w:type="dxa"/>
          </w:tcPr>
          <w:p w14:paraId="73ED7B03"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Previous EFsB</w:t>
            </w:r>
            <w:r w:rsidRPr="0085441D">
              <w:rPr>
                <w:rFonts w:ascii="Times New Roman" w:hAnsi="Times New Roman" w:cs="Times New Roman"/>
                <w:i/>
                <w:sz w:val="22"/>
                <w:szCs w:val="22"/>
                <w:lang w:val="en-GB"/>
              </w:rPr>
              <w:t xml:space="preserve"> </w:t>
            </w:r>
            <w:r w:rsidRPr="0085441D">
              <w:rPr>
                <w:rFonts w:ascii="Times New Roman" w:hAnsi="Times New Roman" w:cs="Times New Roman"/>
                <w:sz w:val="22"/>
                <w:szCs w:val="22"/>
                <w:lang w:val="en-GB"/>
              </w:rPr>
              <w:t>(%)</w:t>
            </w:r>
          </w:p>
        </w:tc>
        <w:tc>
          <w:tcPr>
            <w:tcW w:w="1115" w:type="dxa"/>
          </w:tcPr>
          <w:p w14:paraId="78952536"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10 (38)</w:t>
            </w:r>
          </w:p>
        </w:tc>
        <w:tc>
          <w:tcPr>
            <w:tcW w:w="1258" w:type="dxa"/>
          </w:tcPr>
          <w:p w14:paraId="0CC18407"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7 (3)</w:t>
            </w:r>
          </w:p>
        </w:tc>
      </w:tr>
      <w:tr w:rsidR="00937D3E" w:rsidRPr="00ED72EA" w14:paraId="675AC88E" w14:textId="77777777" w:rsidTr="00BB20B9">
        <w:tc>
          <w:tcPr>
            <w:tcW w:w="2897" w:type="dxa"/>
          </w:tcPr>
          <w:p w14:paraId="58E26AA0"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lang w:val="en-GB"/>
              </w:rPr>
              <w:t>Site of acquisition (%)</w:t>
            </w:r>
          </w:p>
        </w:tc>
        <w:tc>
          <w:tcPr>
            <w:tcW w:w="1115" w:type="dxa"/>
          </w:tcPr>
          <w:p w14:paraId="012154C5" w14:textId="77777777" w:rsidR="00937D3E" w:rsidRPr="0085441D" w:rsidRDefault="00937D3E" w:rsidP="00BB20B9">
            <w:pPr>
              <w:jc w:val="center"/>
              <w:rPr>
                <w:rFonts w:ascii="Times New Roman" w:hAnsi="Times New Roman" w:cs="Times New Roman"/>
                <w:sz w:val="22"/>
                <w:szCs w:val="22"/>
                <w:lang w:val="en-GB"/>
              </w:rPr>
            </w:pPr>
          </w:p>
        </w:tc>
        <w:tc>
          <w:tcPr>
            <w:tcW w:w="1258" w:type="dxa"/>
          </w:tcPr>
          <w:p w14:paraId="76BDB878" w14:textId="77777777" w:rsidR="00937D3E" w:rsidRPr="0085441D" w:rsidRDefault="00937D3E" w:rsidP="00BB20B9">
            <w:pPr>
              <w:jc w:val="center"/>
              <w:rPr>
                <w:rFonts w:ascii="Times New Roman" w:hAnsi="Times New Roman" w:cs="Times New Roman"/>
                <w:sz w:val="22"/>
                <w:szCs w:val="22"/>
                <w:lang w:val="en-GB"/>
              </w:rPr>
            </w:pPr>
          </w:p>
        </w:tc>
      </w:tr>
      <w:tr w:rsidR="00937D3E" w:rsidRPr="00ED72EA" w14:paraId="2928AA67" w14:textId="77777777" w:rsidTr="00BB20B9">
        <w:tc>
          <w:tcPr>
            <w:tcW w:w="2897" w:type="dxa"/>
          </w:tcPr>
          <w:p w14:paraId="20CCE9CC"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Community</w:t>
            </w:r>
          </w:p>
        </w:tc>
        <w:tc>
          <w:tcPr>
            <w:tcW w:w="1115" w:type="dxa"/>
          </w:tcPr>
          <w:p w14:paraId="7031F466"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12 (46)</w:t>
            </w:r>
          </w:p>
        </w:tc>
        <w:tc>
          <w:tcPr>
            <w:tcW w:w="1258" w:type="dxa"/>
          </w:tcPr>
          <w:p w14:paraId="4779DD39"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37 (15)</w:t>
            </w:r>
          </w:p>
        </w:tc>
      </w:tr>
      <w:tr w:rsidR="00937D3E" w:rsidRPr="00ED72EA" w14:paraId="1979FC80" w14:textId="77777777" w:rsidTr="00BB20B9">
        <w:tc>
          <w:tcPr>
            <w:tcW w:w="2897" w:type="dxa"/>
          </w:tcPr>
          <w:p w14:paraId="181DEAF7"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Health care</w:t>
            </w:r>
          </w:p>
        </w:tc>
        <w:tc>
          <w:tcPr>
            <w:tcW w:w="1115" w:type="dxa"/>
          </w:tcPr>
          <w:p w14:paraId="4ECBCC63"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13 (50)</w:t>
            </w:r>
          </w:p>
        </w:tc>
        <w:tc>
          <w:tcPr>
            <w:tcW w:w="1258" w:type="dxa"/>
          </w:tcPr>
          <w:p w14:paraId="7B6CD6D1"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110 (45)</w:t>
            </w:r>
          </w:p>
        </w:tc>
      </w:tr>
      <w:tr w:rsidR="00937D3E" w:rsidRPr="00ED72EA" w14:paraId="70C8A62A" w14:textId="77777777" w:rsidTr="00BB20B9">
        <w:tc>
          <w:tcPr>
            <w:tcW w:w="2897" w:type="dxa"/>
          </w:tcPr>
          <w:p w14:paraId="77D8759E"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Nosocomial</w:t>
            </w:r>
          </w:p>
        </w:tc>
        <w:tc>
          <w:tcPr>
            <w:tcW w:w="1115" w:type="dxa"/>
          </w:tcPr>
          <w:p w14:paraId="4625144D"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 (4)</w:t>
            </w:r>
          </w:p>
        </w:tc>
        <w:tc>
          <w:tcPr>
            <w:tcW w:w="1258" w:type="dxa"/>
          </w:tcPr>
          <w:p w14:paraId="1788A903"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95 (39)</w:t>
            </w:r>
          </w:p>
        </w:tc>
      </w:tr>
      <w:tr w:rsidR="00937D3E" w:rsidRPr="00ED72EA" w14:paraId="5626A8F6" w14:textId="77777777" w:rsidTr="00BB20B9">
        <w:tc>
          <w:tcPr>
            <w:tcW w:w="2897" w:type="dxa"/>
          </w:tcPr>
          <w:p w14:paraId="5C9B7D6F"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lang w:val="en-GB"/>
              </w:rPr>
              <w:t>Signs at presentation</w:t>
            </w:r>
          </w:p>
        </w:tc>
        <w:tc>
          <w:tcPr>
            <w:tcW w:w="1115" w:type="dxa"/>
          </w:tcPr>
          <w:p w14:paraId="542805FB" w14:textId="77777777" w:rsidR="00937D3E" w:rsidRPr="0085441D" w:rsidRDefault="00937D3E" w:rsidP="00BB20B9">
            <w:pPr>
              <w:jc w:val="center"/>
              <w:rPr>
                <w:rFonts w:ascii="Times New Roman" w:hAnsi="Times New Roman" w:cs="Times New Roman"/>
                <w:lang w:val="en-GB"/>
              </w:rPr>
            </w:pPr>
          </w:p>
        </w:tc>
        <w:tc>
          <w:tcPr>
            <w:tcW w:w="1258" w:type="dxa"/>
          </w:tcPr>
          <w:p w14:paraId="1E7A554A" w14:textId="77777777" w:rsidR="00937D3E" w:rsidRPr="0085441D" w:rsidRDefault="00937D3E" w:rsidP="00BB20B9">
            <w:pPr>
              <w:jc w:val="center"/>
              <w:rPr>
                <w:rFonts w:ascii="Times New Roman" w:hAnsi="Times New Roman" w:cs="Times New Roman"/>
                <w:lang w:val="en-GB"/>
              </w:rPr>
            </w:pPr>
          </w:p>
        </w:tc>
      </w:tr>
      <w:tr w:rsidR="00937D3E" w:rsidRPr="00ED72EA" w14:paraId="6A3D4CFF" w14:textId="77777777" w:rsidTr="00BB20B9">
        <w:trPr>
          <w:trHeight w:val="74"/>
        </w:trPr>
        <w:tc>
          <w:tcPr>
            <w:tcW w:w="2897" w:type="dxa"/>
          </w:tcPr>
          <w:p w14:paraId="242CBE3C"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Fever (%)</w:t>
            </w:r>
          </w:p>
        </w:tc>
        <w:tc>
          <w:tcPr>
            <w:tcW w:w="1115" w:type="dxa"/>
          </w:tcPr>
          <w:p w14:paraId="638AC79B"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22 (85)</w:t>
            </w:r>
          </w:p>
        </w:tc>
        <w:tc>
          <w:tcPr>
            <w:tcW w:w="1258" w:type="dxa"/>
          </w:tcPr>
          <w:p w14:paraId="5E186DE8"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188 (78)</w:t>
            </w:r>
          </w:p>
        </w:tc>
      </w:tr>
      <w:tr w:rsidR="00937D3E" w:rsidRPr="00ED72EA" w14:paraId="68516FC0" w14:textId="77777777" w:rsidTr="00BB20B9">
        <w:tc>
          <w:tcPr>
            <w:tcW w:w="2897" w:type="dxa"/>
          </w:tcPr>
          <w:p w14:paraId="4CBFCC2C"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Murmur (%)</w:t>
            </w:r>
          </w:p>
        </w:tc>
        <w:tc>
          <w:tcPr>
            <w:tcW w:w="1115" w:type="dxa"/>
          </w:tcPr>
          <w:p w14:paraId="75087F49"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15 (58)</w:t>
            </w:r>
          </w:p>
        </w:tc>
        <w:tc>
          <w:tcPr>
            <w:tcW w:w="1258" w:type="dxa"/>
          </w:tcPr>
          <w:p w14:paraId="62080269"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31 (13)</w:t>
            </w:r>
          </w:p>
        </w:tc>
      </w:tr>
      <w:tr w:rsidR="00937D3E" w:rsidRPr="00ED72EA" w14:paraId="19C9B3E4" w14:textId="77777777" w:rsidTr="00BB20B9">
        <w:tc>
          <w:tcPr>
            <w:tcW w:w="2897" w:type="dxa"/>
          </w:tcPr>
          <w:p w14:paraId="17391163"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Embolization (%)</w:t>
            </w:r>
          </w:p>
        </w:tc>
        <w:tc>
          <w:tcPr>
            <w:tcW w:w="1115" w:type="dxa"/>
          </w:tcPr>
          <w:p w14:paraId="035CC761"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3 (12)</w:t>
            </w:r>
          </w:p>
        </w:tc>
        <w:tc>
          <w:tcPr>
            <w:tcW w:w="1258" w:type="dxa"/>
          </w:tcPr>
          <w:p w14:paraId="1959817F"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 (0)</w:t>
            </w:r>
          </w:p>
        </w:tc>
      </w:tr>
      <w:tr w:rsidR="00937D3E" w:rsidRPr="00ED72EA" w14:paraId="51234C30" w14:textId="77777777" w:rsidTr="00BB20B9">
        <w:tc>
          <w:tcPr>
            <w:tcW w:w="2897" w:type="dxa"/>
          </w:tcPr>
          <w:p w14:paraId="6A06E1A1"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lang w:val="en-GB"/>
              </w:rPr>
              <w:t>Duration of symptoms ≥7 days</w:t>
            </w:r>
          </w:p>
        </w:tc>
        <w:tc>
          <w:tcPr>
            <w:tcW w:w="1115" w:type="dxa"/>
          </w:tcPr>
          <w:p w14:paraId="250AD959" w14:textId="77777777" w:rsidR="00937D3E" w:rsidRPr="0085441D" w:rsidRDefault="00937D3E" w:rsidP="00BB20B9">
            <w:pPr>
              <w:jc w:val="center"/>
              <w:rPr>
                <w:rFonts w:ascii="Times New Roman" w:hAnsi="Times New Roman" w:cs="Times New Roman"/>
                <w:lang w:val="en-GB"/>
              </w:rPr>
            </w:pPr>
            <w:r w:rsidRPr="0085441D">
              <w:rPr>
                <w:rFonts w:ascii="Times New Roman" w:hAnsi="Times New Roman" w:cs="Times New Roman"/>
                <w:lang w:val="en-GB"/>
              </w:rPr>
              <w:t>19 (73)</w:t>
            </w:r>
          </w:p>
        </w:tc>
        <w:tc>
          <w:tcPr>
            <w:tcW w:w="1258" w:type="dxa"/>
          </w:tcPr>
          <w:p w14:paraId="2C40E87A" w14:textId="77777777" w:rsidR="00937D3E" w:rsidRPr="00ED72EA" w:rsidRDefault="00937D3E" w:rsidP="00BB20B9">
            <w:pPr>
              <w:jc w:val="center"/>
              <w:rPr>
                <w:rFonts w:ascii="Times New Roman" w:hAnsi="Times New Roman" w:cs="Times New Roman"/>
                <w:lang w:val="en-GB"/>
              </w:rPr>
            </w:pPr>
            <w:r w:rsidRPr="00ED72EA">
              <w:rPr>
                <w:rFonts w:ascii="Times New Roman" w:hAnsi="Times New Roman" w:cs="Times New Roman"/>
                <w:lang w:val="en-GB"/>
              </w:rPr>
              <w:t>18 (7)</w:t>
            </w:r>
          </w:p>
        </w:tc>
      </w:tr>
      <w:tr w:rsidR="00937D3E" w:rsidRPr="00ED72EA" w14:paraId="7443F592" w14:textId="77777777" w:rsidTr="00BB20B9">
        <w:tc>
          <w:tcPr>
            <w:tcW w:w="2897" w:type="dxa"/>
          </w:tcPr>
          <w:p w14:paraId="522EAC4C"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lang w:val="en-GB"/>
              </w:rPr>
              <w:t>Microbiology</w:t>
            </w:r>
          </w:p>
        </w:tc>
        <w:tc>
          <w:tcPr>
            <w:tcW w:w="1115" w:type="dxa"/>
          </w:tcPr>
          <w:p w14:paraId="6394B7CC" w14:textId="77777777" w:rsidR="00937D3E" w:rsidRPr="0085441D" w:rsidRDefault="00937D3E" w:rsidP="00BB20B9">
            <w:pPr>
              <w:jc w:val="center"/>
              <w:rPr>
                <w:rFonts w:ascii="Times New Roman" w:hAnsi="Times New Roman" w:cs="Times New Roman"/>
                <w:sz w:val="22"/>
                <w:szCs w:val="22"/>
                <w:lang w:val="en-GB"/>
              </w:rPr>
            </w:pPr>
          </w:p>
        </w:tc>
        <w:tc>
          <w:tcPr>
            <w:tcW w:w="1258" w:type="dxa"/>
          </w:tcPr>
          <w:p w14:paraId="5B5C054B" w14:textId="77777777" w:rsidR="00937D3E" w:rsidRPr="0085441D" w:rsidRDefault="00937D3E" w:rsidP="00BB20B9">
            <w:pPr>
              <w:jc w:val="center"/>
              <w:rPr>
                <w:rFonts w:ascii="Times New Roman" w:hAnsi="Times New Roman" w:cs="Times New Roman"/>
                <w:sz w:val="22"/>
                <w:szCs w:val="22"/>
                <w:lang w:val="en-GB"/>
              </w:rPr>
            </w:pPr>
          </w:p>
        </w:tc>
      </w:tr>
      <w:tr w:rsidR="00937D3E" w:rsidRPr="00ED72EA" w14:paraId="018CC4BC" w14:textId="77777777" w:rsidTr="00BB20B9">
        <w:tc>
          <w:tcPr>
            <w:tcW w:w="2897" w:type="dxa"/>
          </w:tcPr>
          <w:p w14:paraId="6E30CE62"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≥2 positive cultures (%)</w:t>
            </w:r>
          </w:p>
        </w:tc>
        <w:tc>
          <w:tcPr>
            <w:tcW w:w="1115" w:type="dxa"/>
          </w:tcPr>
          <w:p w14:paraId="616A789D"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24 (92)</w:t>
            </w:r>
          </w:p>
        </w:tc>
        <w:tc>
          <w:tcPr>
            <w:tcW w:w="1258" w:type="dxa"/>
          </w:tcPr>
          <w:p w14:paraId="4CA21858"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131 (54)</w:t>
            </w:r>
          </w:p>
        </w:tc>
      </w:tr>
      <w:tr w:rsidR="00937D3E" w:rsidRPr="00ED72EA" w14:paraId="13D2DD46" w14:textId="77777777" w:rsidTr="00BB20B9">
        <w:tc>
          <w:tcPr>
            <w:tcW w:w="2897" w:type="dxa"/>
          </w:tcPr>
          <w:p w14:paraId="10640ED5"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lang w:val="en-GB"/>
              </w:rPr>
              <w:t>Origin of infection (%)</w:t>
            </w:r>
          </w:p>
        </w:tc>
        <w:tc>
          <w:tcPr>
            <w:tcW w:w="1115" w:type="dxa"/>
          </w:tcPr>
          <w:p w14:paraId="6999AD23" w14:textId="77777777" w:rsidR="00937D3E" w:rsidRPr="00ED72EA" w:rsidRDefault="00937D3E" w:rsidP="00BB20B9">
            <w:pPr>
              <w:jc w:val="center"/>
              <w:rPr>
                <w:rFonts w:ascii="Times New Roman" w:hAnsi="Times New Roman" w:cs="Times New Roman"/>
                <w:sz w:val="22"/>
                <w:szCs w:val="22"/>
                <w:lang w:val="en-GB"/>
              </w:rPr>
            </w:pPr>
          </w:p>
        </w:tc>
        <w:tc>
          <w:tcPr>
            <w:tcW w:w="1258" w:type="dxa"/>
          </w:tcPr>
          <w:p w14:paraId="4794000D" w14:textId="77777777" w:rsidR="00937D3E" w:rsidRPr="00ED72EA" w:rsidRDefault="00937D3E" w:rsidP="00BB20B9">
            <w:pPr>
              <w:jc w:val="center"/>
              <w:rPr>
                <w:rFonts w:ascii="Times New Roman" w:hAnsi="Times New Roman" w:cs="Times New Roman"/>
                <w:sz w:val="22"/>
                <w:szCs w:val="22"/>
                <w:lang w:val="en-GB"/>
              </w:rPr>
            </w:pPr>
          </w:p>
        </w:tc>
      </w:tr>
      <w:tr w:rsidR="00937D3E" w:rsidRPr="00ED72EA" w14:paraId="3FD6DB8C" w14:textId="77777777" w:rsidTr="00BB20B9">
        <w:tc>
          <w:tcPr>
            <w:tcW w:w="2897" w:type="dxa"/>
          </w:tcPr>
          <w:p w14:paraId="1B7F8526" w14:textId="77777777" w:rsidR="00937D3E" w:rsidRPr="0085441D" w:rsidRDefault="00937D3E" w:rsidP="00BB20B9">
            <w:pPr>
              <w:rPr>
                <w:rFonts w:ascii="Times New Roman" w:hAnsi="Times New Roman" w:cs="Times New Roman"/>
                <w:lang w:val="en-GB"/>
              </w:rPr>
            </w:pPr>
            <w:r w:rsidRPr="0085441D">
              <w:rPr>
                <w:rFonts w:ascii="Times New Roman" w:hAnsi="Times New Roman" w:cs="Times New Roman"/>
                <w:sz w:val="22"/>
                <w:szCs w:val="22"/>
                <w:lang w:val="en-GB"/>
              </w:rPr>
              <w:t xml:space="preserve">  Urinary tract</w:t>
            </w:r>
          </w:p>
        </w:tc>
        <w:tc>
          <w:tcPr>
            <w:tcW w:w="1115" w:type="dxa"/>
          </w:tcPr>
          <w:p w14:paraId="0623B78F"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0 (0)</w:t>
            </w:r>
          </w:p>
        </w:tc>
        <w:tc>
          <w:tcPr>
            <w:tcW w:w="1258" w:type="dxa"/>
          </w:tcPr>
          <w:p w14:paraId="234597A2"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103 (43)</w:t>
            </w:r>
          </w:p>
        </w:tc>
      </w:tr>
      <w:tr w:rsidR="00937D3E" w:rsidRPr="00ED72EA" w14:paraId="093317E8" w14:textId="77777777" w:rsidTr="00BB20B9">
        <w:tc>
          <w:tcPr>
            <w:tcW w:w="2897" w:type="dxa"/>
          </w:tcPr>
          <w:p w14:paraId="30B15E74"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Gastrointestinal and biliary</w:t>
            </w:r>
          </w:p>
        </w:tc>
        <w:tc>
          <w:tcPr>
            <w:tcW w:w="1115" w:type="dxa"/>
          </w:tcPr>
          <w:p w14:paraId="1F8164C1"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0 (0)</w:t>
            </w:r>
          </w:p>
        </w:tc>
        <w:tc>
          <w:tcPr>
            <w:tcW w:w="1258" w:type="dxa"/>
          </w:tcPr>
          <w:p w14:paraId="42030712"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41 (17)</w:t>
            </w:r>
          </w:p>
        </w:tc>
      </w:tr>
      <w:tr w:rsidR="00937D3E" w:rsidRPr="00ED72EA" w14:paraId="14784F7A" w14:textId="77777777" w:rsidTr="00BB20B9">
        <w:tc>
          <w:tcPr>
            <w:tcW w:w="2897" w:type="dxa"/>
          </w:tcPr>
          <w:p w14:paraId="0828D502"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Other</w:t>
            </w:r>
          </w:p>
        </w:tc>
        <w:tc>
          <w:tcPr>
            <w:tcW w:w="1115" w:type="dxa"/>
          </w:tcPr>
          <w:p w14:paraId="21806A45"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0 (0)</w:t>
            </w:r>
          </w:p>
        </w:tc>
        <w:tc>
          <w:tcPr>
            <w:tcW w:w="1258" w:type="dxa"/>
          </w:tcPr>
          <w:p w14:paraId="5679A9EA"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25 (10)</w:t>
            </w:r>
          </w:p>
        </w:tc>
      </w:tr>
      <w:tr w:rsidR="00937D3E" w:rsidRPr="00ED72EA" w14:paraId="5D299903" w14:textId="77777777" w:rsidTr="00BB20B9">
        <w:tc>
          <w:tcPr>
            <w:tcW w:w="2897" w:type="dxa"/>
          </w:tcPr>
          <w:p w14:paraId="668DAA26" w14:textId="77777777" w:rsidR="00937D3E" w:rsidRPr="0085441D" w:rsidRDefault="00937D3E" w:rsidP="00BB20B9">
            <w:pPr>
              <w:rPr>
                <w:rFonts w:ascii="Times New Roman" w:hAnsi="Times New Roman" w:cs="Times New Roman"/>
                <w:sz w:val="22"/>
                <w:szCs w:val="22"/>
                <w:lang w:val="en-GB"/>
              </w:rPr>
            </w:pPr>
            <w:r w:rsidRPr="0085441D">
              <w:rPr>
                <w:rFonts w:ascii="Times New Roman" w:hAnsi="Times New Roman" w:cs="Times New Roman"/>
                <w:sz w:val="22"/>
                <w:szCs w:val="22"/>
                <w:lang w:val="en-GB"/>
              </w:rPr>
              <w:t xml:space="preserve">  Unknown</w:t>
            </w:r>
          </w:p>
        </w:tc>
        <w:tc>
          <w:tcPr>
            <w:tcW w:w="1115" w:type="dxa"/>
          </w:tcPr>
          <w:p w14:paraId="63C561CC" w14:textId="77777777" w:rsidR="00937D3E" w:rsidRPr="0085441D" w:rsidRDefault="00937D3E" w:rsidP="00BB20B9">
            <w:pPr>
              <w:jc w:val="center"/>
              <w:rPr>
                <w:rFonts w:ascii="Times New Roman" w:hAnsi="Times New Roman" w:cs="Times New Roman"/>
                <w:sz w:val="22"/>
                <w:szCs w:val="22"/>
                <w:lang w:val="en-GB"/>
              </w:rPr>
            </w:pPr>
            <w:r w:rsidRPr="0085441D">
              <w:rPr>
                <w:rFonts w:ascii="Times New Roman" w:hAnsi="Times New Roman" w:cs="Times New Roman"/>
                <w:sz w:val="22"/>
                <w:szCs w:val="22"/>
                <w:lang w:val="en-GB"/>
              </w:rPr>
              <w:t>26 (100)</w:t>
            </w:r>
          </w:p>
        </w:tc>
        <w:tc>
          <w:tcPr>
            <w:tcW w:w="1258" w:type="dxa"/>
          </w:tcPr>
          <w:p w14:paraId="2645C1D4" w14:textId="77777777" w:rsidR="00937D3E" w:rsidRPr="00ED72EA" w:rsidRDefault="00937D3E" w:rsidP="00BB20B9">
            <w:pPr>
              <w:jc w:val="center"/>
              <w:rPr>
                <w:rFonts w:ascii="Times New Roman" w:hAnsi="Times New Roman" w:cs="Times New Roman"/>
                <w:sz w:val="22"/>
                <w:szCs w:val="22"/>
                <w:lang w:val="en-GB"/>
              </w:rPr>
            </w:pPr>
            <w:r w:rsidRPr="00ED72EA">
              <w:rPr>
                <w:rFonts w:ascii="Times New Roman" w:hAnsi="Times New Roman" w:cs="Times New Roman"/>
                <w:sz w:val="22"/>
                <w:szCs w:val="22"/>
                <w:lang w:val="en-GB"/>
              </w:rPr>
              <w:t>73 (30)</w:t>
            </w:r>
          </w:p>
        </w:tc>
      </w:tr>
    </w:tbl>
    <w:p w14:paraId="1FDFEE5F" w14:textId="77777777" w:rsidR="00937D3E" w:rsidRPr="0085441D" w:rsidRDefault="00937D3E" w:rsidP="00937D3E">
      <w:pPr>
        <w:rPr>
          <w:rFonts w:ascii="Times New Roman" w:hAnsi="Times New Roman" w:cs="Times New Roman"/>
          <w:vertAlign w:val="superscript"/>
          <w:lang w:val="en-GB"/>
        </w:rPr>
      </w:pPr>
      <w:r w:rsidRPr="0085441D">
        <w:rPr>
          <w:rFonts w:ascii="Times New Roman" w:hAnsi="Times New Roman" w:cs="Times New Roman"/>
          <w:vertAlign w:val="superscript"/>
          <w:lang w:val="en-GB"/>
        </w:rPr>
        <w:t>1</w:t>
      </w:r>
      <w:r w:rsidRPr="0085441D">
        <w:rPr>
          <w:rFonts w:ascii="Times New Roman" w:hAnsi="Times New Roman" w:cs="Times New Roman"/>
          <w:sz w:val="22"/>
          <w:szCs w:val="22"/>
          <w:lang w:val="en-GB"/>
        </w:rPr>
        <w:t xml:space="preserve"> Consisting of </w:t>
      </w:r>
      <w:r w:rsidRPr="0085441D">
        <w:rPr>
          <w:rFonts w:ascii="Times New Roman" w:hAnsi="Times New Roman" w:cs="Times New Roman"/>
          <w:lang w:val="en-GB"/>
        </w:rPr>
        <w:t>any of previous IE, native valve disease, or valve prosthesis</w:t>
      </w:r>
      <w:r w:rsidRPr="0085441D">
        <w:rPr>
          <w:rFonts w:ascii="Times New Roman" w:hAnsi="Times New Roman" w:cs="Times New Roman"/>
          <w:sz w:val="22"/>
          <w:szCs w:val="22"/>
          <w:lang w:val="en-GB"/>
        </w:rPr>
        <w:t xml:space="preserve"> and is Valve disease (V) in NOVA </w:t>
      </w:r>
      <w:r w:rsidRPr="0085441D">
        <w:rPr>
          <w:rFonts w:ascii="Times New Roman" w:hAnsi="Times New Roman" w:cs="Times New Roman"/>
          <w:sz w:val="22"/>
          <w:szCs w:val="22"/>
          <w:lang w:val="en-GB"/>
        </w:rPr>
        <w:fldChar w:fldCharType="begin"/>
      </w:r>
      <w:r w:rsidR="00013B98">
        <w:rPr>
          <w:rFonts w:ascii="Times New Roman" w:hAnsi="Times New Roman" w:cs="Times New Roman"/>
          <w:sz w:val="22"/>
          <w:szCs w:val="22"/>
          <w:lang w:val="en-GB"/>
        </w:rPr>
        <w:instrText xml:space="preserve"> ADDIN PAPERS2_CITATIONS &lt;citation&gt;&lt;uuid&gt;74BA90D6-4372-41EC-B043-0BAF044B311A&lt;/uuid&gt;&lt;priority&gt;12&lt;/priority&gt;&lt;publications&gt;&lt;publication&gt;&lt;uuid&gt;185D54EA-7D6A-4BC7-A990-969DF8F4BF25&lt;/uuid&gt;&lt;volume&gt;60&lt;/volume&gt;&lt;doi&gt;10.1093/cid/ciu872&lt;/doi&gt;&lt;startpage&gt;528&lt;/startpage&gt;&lt;publication_date&gt;99201502151200000000222000&lt;/publication_date&gt;&lt;url&gt;http://eutils.ncbi.nlm.nih.gov/entrez/eutils/elink.fcgi?dbfrom=pubmed&amp;amp;id=25381321&amp;amp;retmode=ref&amp;amp;cmd=prlinks&lt;/url&gt;&lt;type&gt;400&lt;/type&gt;&lt;title&gt;The NOVA score: a proposal to reduce the need for transesophageal echocardiography in patients with enterococcal bacteremia.&lt;/title&gt;&lt;institution&gt;Clinical Microbiology and Infectious Diseases, Hospital General Universitario Gregorio Marañón Centros de Investigación Biomédica en Red Enfermedades Respiratorias Medicine Department, School of Medicine, Universidad Complutense de Madrid Instituto de Investigación Sanitaria Gregorio Marañón.&lt;/institution&gt;&lt;number&gt;4&lt;/number&gt;&lt;subtype&gt;400&lt;/subtype&gt;&lt;endpage&gt;535&lt;/endpage&gt;&lt;bundle&gt;&lt;publication&gt;&lt;title&gt;Clinical infectious diseases : an official publication of the Infectious Diseases Society of America&lt;/title&gt;&lt;type&gt;-100&lt;/type&gt;&lt;subtype&gt;-100&lt;/subtype&gt;&lt;uuid&gt;BF920409-39D6-4542-90FA-292FC6805263&lt;/uuid&gt;&lt;/publication&gt;&lt;/bundle&gt;&lt;authors&gt;&lt;author&gt;&lt;firstName&gt;Emilio&lt;/firstName&gt;&lt;lastName&gt;Bouza&lt;/lastName&gt;&lt;/author&gt;&lt;author&gt;&lt;firstName&gt;Martha&lt;/firstName&gt;&lt;lastName&gt;Kestler&lt;/lastName&gt;&lt;/author&gt;&lt;author&gt;&lt;firstName&gt;Teresa&lt;/firstName&gt;&lt;lastName&gt;Beca&lt;/lastName&gt;&lt;/author&gt;&lt;author&gt;&lt;firstName&gt;Gabriel&lt;/firstName&gt;&lt;lastName&gt;Mariscal&lt;/lastName&gt;&lt;/author&gt;&lt;author&gt;&lt;firstName&gt;Marta&lt;/firstName&gt;&lt;lastName&gt;Rodríguez-Créixems&lt;/lastName&gt;&lt;/author&gt;&lt;author&gt;&lt;firstName&gt;Javier&lt;/firstName&gt;&lt;lastName&gt;Bermejo&lt;/lastName&gt;&lt;/author&gt;&lt;author&gt;&lt;firstName&gt;Ana&lt;/firstName&gt;&lt;lastName&gt;Fernández-Cruz&lt;/lastName&gt;&lt;/author&gt;&lt;author&gt;&lt;firstName&gt;Francisco&lt;/firstName&gt;&lt;lastName&gt;Fernández-Avilés&lt;/lastName&gt;&lt;/author&gt;&lt;author&gt;&lt;firstName&gt;Patricia&lt;/firstName&gt;&lt;lastName&gt;Muñoz&lt;/lastName&gt;&lt;/author&gt;&lt;author&gt;&lt;lastName&gt;Grupo de Apoyo al Manejo de la Endocarditis&lt;/lastName&gt;&lt;/author&gt;&lt;/authors&gt;&lt;/publication&gt;&lt;/publications&gt;&lt;cites&gt;&lt;/cites&gt;&lt;/citation&gt;</w:instrText>
      </w:r>
      <w:r w:rsidRPr="0085441D">
        <w:rPr>
          <w:rFonts w:ascii="Times New Roman" w:hAnsi="Times New Roman" w:cs="Times New Roman"/>
          <w:sz w:val="22"/>
          <w:szCs w:val="22"/>
          <w:lang w:val="en-GB"/>
        </w:rPr>
        <w:fldChar w:fldCharType="separate"/>
      </w:r>
      <w:r w:rsidR="00013B98">
        <w:rPr>
          <w:rFonts w:ascii="Times New Roman" w:hAnsi="Times New Roman" w:cs="Times New Roman"/>
          <w:sz w:val="22"/>
          <w:szCs w:val="22"/>
          <w:lang w:eastAsia="sv-SE"/>
        </w:rPr>
        <w:t>(2)</w:t>
      </w:r>
      <w:r w:rsidRPr="0085441D">
        <w:rPr>
          <w:rFonts w:ascii="Times New Roman" w:hAnsi="Times New Roman" w:cs="Times New Roman"/>
          <w:sz w:val="22"/>
          <w:szCs w:val="22"/>
          <w:lang w:val="en-GB"/>
        </w:rPr>
        <w:fldChar w:fldCharType="end"/>
      </w:r>
      <w:r w:rsidRPr="0085441D">
        <w:rPr>
          <w:rFonts w:ascii="Times New Roman" w:hAnsi="Times New Roman" w:cs="Times New Roman"/>
          <w:sz w:val="22"/>
          <w:szCs w:val="22"/>
          <w:lang w:val="en-GB"/>
        </w:rPr>
        <w:t xml:space="preserve"> and DENOVA</w:t>
      </w:r>
    </w:p>
    <w:p w14:paraId="6CC863AA" w14:textId="77777777" w:rsidR="00013B98" w:rsidRDefault="00013B98"/>
    <w:p w14:paraId="5EA45097" w14:textId="77777777" w:rsidR="00013B98" w:rsidRDefault="00013B98"/>
    <w:p w14:paraId="60B496FB" w14:textId="77777777" w:rsidR="00013B98" w:rsidRDefault="00013B98">
      <w:pPr>
        <w:rPr>
          <w:lang w:eastAsia="sv-SE"/>
        </w:rPr>
      </w:pPr>
    </w:p>
    <w:sectPr w:rsidR="00013B98" w:rsidSect="00BB20B9">
      <w:footerReference w:type="even" r:id="rId7"/>
      <w:footerReference w:type="default" r:id="rId8"/>
      <w:pgSz w:w="11900" w:h="16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74365" w14:textId="77777777" w:rsidR="00BB20B9" w:rsidRDefault="00BB20B9">
      <w:r>
        <w:separator/>
      </w:r>
    </w:p>
  </w:endnote>
  <w:endnote w:type="continuationSeparator" w:id="0">
    <w:p w14:paraId="2E94BBA2" w14:textId="77777777" w:rsidR="00BB20B9" w:rsidRDefault="00BB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156DE" w14:textId="77777777" w:rsidR="00BB20B9" w:rsidRDefault="00BB20B9" w:rsidP="00BB20B9">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23</w:t>
    </w:r>
    <w:r>
      <w:rPr>
        <w:rStyle w:val="Sidnummer"/>
      </w:rPr>
      <w:fldChar w:fldCharType="end"/>
    </w:r>
  </w:p>
  <w:p w14:paraId="02DE7DE9" w14:textId="77777777" w:rsidR="00BB20B9" w:rsidRDefault="00BB20B9">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2EF41" w14:textId="77777777" w:rsidR="00BB20B9" w:rsidRPr="00455D4A" w:rsidRDefault="00BB20B9" w:rsidP="00BB20B9">
    <w:pPr>
      <w:pStyle w:val="Sidfot"/>
      <w:framePr w:wrap="around" w:vAnchor="text" w:hAnchor="margin" w:xAlign="center" w:y="1"/>
      <w:rPr>
        <w:rStyle w:val="Sidnummer"/>
        <w:rFonts w:ascii="Times New Roman" w:hAnsi="Times New Roman" w:cs="Times New Roman"/>
      </w:rPr>
    </w:pPr>
    <w:r w:rsidRPr="00455D4A">
      <w:rPr>
        <w:rStyle w:val="Sidnummer"/>
        <w:rFonts w:ascii="Times New Roman" w:hAnsi="Times New Roman" w:cs="Times New Roman"/>
      </w:rPr>
      <w:fldChar w:fldCharType="begin"/>
    </w:r>
    <w:r w:rsidRPr="00455D4A">
      <w:rPr>
        <w:rStyle w:val="Sidnummer"/>
        <w:rFonts w:ascii="Times New Roman" w:hAnsi="Times New Roman" w:cs="Times New Roman"/>
      </w:rPr>
      <w:instrText xml:space="preserve">PAGE  </w:instrText>
    </w:r>
    <w:r w:rsidRPr="00455D4A">
      <w:rPr>
        <w:rStyle w:val="Sidnummer"/>
        <w:rFonts w:ascii="Times New Roman" w:hAnsi="Times New Roman" w:cs="Times New Roman"/>
      </w:rPr>
      <w:fldChar w:fldCharType="separate"/>
    </w:r>
    <w:r w:rsidR="00B37780">
      <w:rPr>
        <w:rStyle w:val="Sidnummer"/>
        <w:rFonts w:ascii="Times New Roman" w:hAnsi="Times New Roman" w:cs="Times New Roman"/>
        <w:noProof/>
      </w:rPr>
      <w:t>1</w:t>
    </w:r>
    <w:r w:rsidRPr="00455D4A">
      <w:rPr>
        <w:rStyle w:val="Sidnummer"/>
        <w:rFonts w:ascii="Times New Roman" w:hAnsi="Times New Roman" w:cs="Times New Roman"/>
      </w:rPr>
      <w:fldChar w:fldCharType="end"/>
    </w:r>
  </w:p>
  <w:p w14:paraId="72C1837A" w14:textId="77777777" w:rsidR="00BB20B9" w:rsidRDefault="00BB20B9">
    <w:pPr>
      <w:pStyle w:val="Sidfot"/>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86255" w14:textId="77777777" w:rsidR="00BB20B9" w:rsidRDefault="00BB20B9">
      <w:r>
        <w:separator/>
      </w:r>
    </w:p>
  </w:footnote>
  <w:footnote w:type="continuationSeparator" w:id="0">
    <w:p w14:paraId="52D9F073" w14:textId="77777777" w:rsidR="00BB20B9" w:rsidRDefault="00BB20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D3E"/>
    <w:rsid w:val="00013B98"/>
    <w:rsid w:val="006A655A"/>
    <w:rsid w:val="00937D3E"/>
    <w:rsid w:val="00B37780"/>
    <w:rsid w:val="00BB20B9"/>
    <w:rsid w:val="00EC538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72ED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3E"/>
    <w:rPr>
      <w:lang w:eastAsia="ja-JP"/>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937D3E"/>
    <w:pPr>
      <w:tabs>
        <w:tab w:val="center" w:pos="4536"/>
        <w:tab w:val="right" w:pos="9072"/>
      </w:tabs>
    </w:pPr>
  </w:style>
  <w:style w:type="character" w:customStyle="1" w:styleId="SidfotChar">
    <w:name w:val="Sidfot Char"/>
    <w:basedOn w:val="Standardstycketypsnitt"/>
    <w:link w:val="Sidfot"/>
    <w:uiPriority w:val="99"/>
    <w:rsid w:val="00937D3E"/>
    <w:rPr>
      <w:lang w:eastAsia="ja-JP"/>
    </w:rPr>
  </w:style>
  <w:style w:type="character" w:styleId="Sidnummer">
    <w:name w:val="page number"/>
    <w:basedOn w:val="Standardstycketypsnitt"/>
    <w:uiPriority w:val="99"/>
    <w:semiHidden/>
    <w:unhideWhenUsed/>
    <w:rsid w:val="00937D3E"/>
  </w:style>
  <w:style w:type="table" w:styleId="Tabellrutnt">
    <w:name w:val="Table Grid"/>
    <w:basedOn w:val="Normaltabell"/>
    <w:uiPriority w:val="59"/>
    <w:rsid w:val="00937D3E"/>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adnummer">
    <w:name w:val="line number"/>
    <w:basedOn w:val="Standardstycketypsnitt"/>
    <w:uiPriority w:val="99"/>
    <w:semiHidden/>
    <w:unhideWhenUsed/>
    <w:rsid w:val="00937D3E"/>
  </w:style>
  <w:style w:type="paragraph" w:styleId="Normalwebb">
    <w:name w:val="Normal (Web)"/>
    <w:basedOn w:val="Normal"/>
    <w:uiPriority w:val="99"/>
    <w:semiHidden/>
    <w:unhideWhenUsed/>
    <w:rsid w:val="00BB20B9"/>
    <w:pPr>
      <w:spacing w:before="100" w:beforeAutospacing="1" w:after="100" w:afterAutospacing="1"/>
    </w:pPr>
    <w:rPr>
      <w:rFonts w:ascii="Times" w:hAnsi="Times" w:cs="Times New Roman"/>
      <w:sz w:val="20"/>
      <w:szCs w:val="20"/>
      <w:lang w:eastAsia="sv-S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3E"/>
    <w:rPr>
      <w:lang w:eastAsia="ja-JP"/>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937D3E"/>
    <w:pPr>
      <w:tabs>
        <w:tab w:val="center" w:pos="4536"/>
        <w:tab w:val="right" w:pos="9072"/>
      </w:tabs>
    </w:pPr>
  </w:style>
  <w:style w:type="character" w:customStyle="1" w:styleId="SidfotChar">
    <w:name w:val="Sidfot Char"/>
    <w:basedOn w:val="Standardstycketypsnitt"/>
    <w:link w:val="Sidfot"/>
    <w:uiPriority w:val="99"/>
    <w:rsid w:val="00937D3E"/>
    <w:rPr>
      <w:lang w:eastAsia="ja-JP"/>
    </w:rPr>
  </w:style>
  <w:style w:type="character" w:styleId="Sidnummer">
    <w:name w:val="page number"/>
    <w:basedOn w:val="Standardstycketypsnitt"/>
    <w:uiPriority w:val="99"/>
    <w:semiHidden/>
    <w:unhideWhenUsed/>
    <w:rsid w:val="00937D3E"/>
  </w:style>
  <w:style w:type="table" w:styleId="Tabellrutnt">
    <w:name w:val="Table Grid"/>
    <w:basedOn w:val="Normaltabell"/>
    <w:uiPriority w:val="59"/>
    <w:rsid w:val="00937D3E"/>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adnummer">
    <w:name w:val="line number"/>
    <w:basedOn w:val="Standardstycketypsnitt"/>
    <w:uiPriority w:val="99"/>
    <w:semiHidden/>
    <w:unhideWhenUsed/>
    <w:rsid w:val="00937D3E"/>
  </w:style>
  <w:style w:type="paragraph" w:styleId="Normalwebb">
    <w:name w:val="Normal (Web)"/>
    <w:basedOn w:val="Normal"/>
    <w:uiPriority w:val="99"/>
    <w:semiHidden/>
    <w:unhideWhenUsed/>
    <w:rsid w:val="00BB20B9"/>
    <w:pPr>
      <w:spacing w:before="100" w:beforeAutospacing="1" w:after="100" w:afterAutospacing="1"/>
    </w:pPr>
    <w:rPr>
      <w:rFonts w:ascii="Times" w:hAnsi="Times"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6434</Words>
  <Characters>34105</Characters>
  <Application>Microsoft Macintosh Word</Application>
  <DocSecurity>0</DocSecurity>
  <Lines>284</Lines>
  <Paragraphs>80</Paragraphs>
  <ScaleCrop>false</ScaleCrop>
  <Company>BMC</Company>
  <LinksUpToDate>false</LinksUpToDate>
  <CharactersWithSpaces>40459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Rasmussen</dc:creator>
  <cp:keywords/>
  <dc:description/>
  <cp:lastModifiedBy>Magnus Rasmussen</cp:lastModifiedBy>
  <cp:revision>3</cp:revision>
  <dcterms:created xsi:type="dcterms:W3CDTF">2018-08-20T09:37:00Z</dcterms:created>
  <dcterms:modified xsi:type="dcterms:W3CDTF">2018-08-20T09:47:00Z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id="http://www.zotero.org/styles/vancouver"/&gt;&lt;format class="21"/&gt;&lt;count citations="13" publications="12"/&gt;&lt;/info&gt;PAPERS2_INFO_END</vt:lpwstr>
  </property>
</Properties>
</file>