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Untertitel"/>
        <w:numPr>
          <w:ilvl w:val="0"/>
          <w:numId w:val="0"/>
        </w:numPr>
        <w:rPr>
          <w:b/>
          <w:color w:val="auto"/>
          <w:lang w:val="en-GB"/>
        </w:rPr>
      </w:pPr>
      <w:r>
        <w:rPr>
          <w:b/>
          <w:color w:val="auto"/>
          <w:lang w:val="en-GB"/>
        </w:rPr>
        <w:t>Supplementary Information</w:t>
      </w:r>
    </w:p>
    <w:p>
      <w:pPr>
        <w:pStyle w:val="berschrift1"/>
        <w:rPr>
          <w:lang w:val="en-GB"/>
        </w:rPr>
      </w:pPr>
      <w:r>
        <w:rPr>
          <w:lang w:val="en-GB"/>
        </w:rPr>
        <w:t>Recovery and Sequelae in 523 Adults and Children with Tick-Borne Encephalitis in Germany</w:t>
      </w:r>
    </w:p>
    <w:p>
      <w:pPr>
        <w:pStyle w:val="Untertitel"/>
        <w:numPr>
          <w:ilvl w:val="0"/>
          <w:numId w:val="0"/>
        </w:numPr>
        <w:rPr>
          <w:b/>
          <w:color w:val="auto"/>
          <w:sz w:val="20"/>
          <w:lang w:val="en-GB"/>
        </w:rPr>
      </w:pPr>
    </w:p>
    <w:p>
      <w:pPr>
        <w:rPr>
          <w:lang w:val="en-GB"/>
        </w:rPr>
      </w:pPr>
      <w:r>
        <w:rPr>
          <w:lang w:val="en-GB"/>
        </w:rPr>
        <w:t>Journal: Infection</w:t>
      </w:r>
    </w:p>
    <w:p>
      <w:pPr>
        <w:spacing w:line="360" w:lineRule="auto"/>
        <w:outlineLvl w:val="0"/>
        <w:rPr>
          <w:rFonts w:cstheme="minorHAnsi"/>
          <w:b/>
          <w:szCs w:val="24"/>
          <w:lang w:val="en-GB"/>
        </w:rPr>
      </w:pPr>
      <w:r>
        <w:rPr>
          <w:lang w:val="en-GB"/>
        </w:rPr>
        <w:t xml:space="preserve">Authors: </w:t>
      </w:r>
      <w:bookmarkStart w:id="0" w:name="_Hlk92356486"/>
      <w:r>
        <w:rPr>
          <w:rFonts w:cstheme="minorHAnsi"/>
          <w:szCs w:val="24"/>
          <w:lang w:val="en-GB"/>
        </w:rPr>
        <w:t>Teresa M. Nygren, Antonia Pilic, Merle M. Böhmer, Christiane Wagner-Wiening, Ole Wichmann, Wiebke Hellenbrand</w:t>
      </w:r>
    </w:p>
    <w:bookmarkEnd w:id="0"/>
    <w:p>
      <w:pPr>
        <w:rPr>
          <w:lang w:val="en-GB"/>
        </w:rPr>
      </w:pPr>
      <w:r>
        <w:rPr>
          <w:lang w:val="en-GB"/>
        </w:rPr>
        <w:t xml:space="preserve">Corresponding author: Teresa M. Nygren, Affiliation: </w:t>
      </w:r>
      <w:r>
        <w:rPr>
          <w:rFonts w:cstheme="minorHAnsi"/>
          <w:szCs w:val="24"/>
          <w:lang w:val="en-GB"/>
        </w:rPr>
        <w:t xml:space="preserve">Immunization Unit, Robert Koch Institute, Berlin, Germany, E-Mail: </w:t>
      </w:r>
      <w:hyperlink r:id="rId6" w:history="1">
        <w:r>
          <w:rPr>
            <w:rStyle w:val="Hyperlink"/>
            <w:rFonts w:cstheme="minorHAnsi"/>
            <w:szCs w:val="24"/>
            <w:lang w:val="en-GB"/>
          </w:rPr>
          <w:t>NygrenT@rki.de</w:t>
        </w:r>
      </w:hyperlink>
      <w:r>
        <w:rPr>
          <w:rFonts w:cstheme="minorHAnsi"/>
          <w:szCs w:val="24"/>
          <w:lang w:val="en-GB"/>
        </w:rPr>
        <w:t xml:space="preserve"> </w:t>
      </w:r>
    </w:p>
    <w:p>
      <w:pPr>
        <w:rPr>
          <w:lang w:val="en-GB"/>
        </w:rPr>
      </w:pPr>
    </w:p>
    <w:p>
      <w:pPr>
        <w:rPr>
          <w:rFonts w:eastAsiaTheme="minorEastAsia"/>
          <w:b/>
          <w:spacing w:val="15"/>
          <w:lang w:val="en-GB"/>
        </w:rPr>
      </w:pPr>
      <w:r>
        <w:rPr>
          <w:b/>
          <w:lang w:val="en-GB"/>
        </w:rPr>
        <w:br w:type="page"/>
      </w:r>
    </w:p>
    <w:p>
      <w:pPr>
        <w:pStyle w:val="Untertitel"/>
        <w:numPr>
          <w:ilvl w:val="0"/>
          <w:numId w:val="0"/>
        </w:numPr>
        <w:rPr>
          <w:color w:val="auto"/>
          <w:lang w:val="en-GB"/>
        </w:rPr>
      </w:pPr>
      <w:r>
        <w:rPr>
          <w:b/>
          <w:color w:val="auto"/>
          <w:lang w:val="en-GB"/>
        </w:rPr>
        <w:lastRenderedPageBreak/>
        <w:t>Appendix 1</w:t>
      </w:r>
      <w:r>
        <w:rPr>
          <w:color w:val="auto"/>
          <w:lang w:val="en-GB"/>
        </w:rPr>
        <w:t xml:space="preserve">. Modified RANKIN scale translated to German, as used in study interviews with TBE cases. Full recovery was defined as score 0 on this scale. Source of English original modified RANKIN scale: </w:t>
      </w:r>
      <w:r>
        <w:rPr>
          <w:color w:val="auto"/>
          <w:lang w:val="en-GB"/>
        </w:rPr>
        <w:fldChar w:fldCharType="begin"/>
      </w:r>
      <w:r>
        <w:rPr>
          <w:color w:val="auto"/>
          <w:lang w:val="en-GB"/>
        </w:rPr>
        <w:instrText xml:space="preserve"> ADDIN EN.CITE &lt;EndNote&gt;&lt;Cite&gt;&lt;Author&gt;Bruno&lt;/Author&gt;&lt;Year&gt;2011&lt;/Year&gt;&lt;RecNum&gt;1717&lt;/RecNum&gt;&lt;DisplayText&gt;(1)&lt;/DisplayText&gt;&lt;record&gt;&lt;rec-number&gt;1717&lt;/rec-number&gt;&lt;foreign-keys&gt;&lt;key app="EN" db-id="rftxdtv0hxfexhep05ivvvpzvxftfz0exf2x" timestamp="1519116216"&gt;1717&lt;/key&gt;&lt;/foreign-keys&gt;&lt;ref-type name="Journal Article"&gt;17&lt;/ref-type&gt;&lt;contributors&gt;&lt;authors&gt;&lt;author&gt;Bruno, A.&lt;/author&gt;&lt;author&gt;Akinwuntan, A. E.&lt;/author&gt;&lt;author&gt;Lin, C.&lt;/author&gt;&lt;author&gt;Close, B.&lt;/author&gt;&lt;author&gt;Davis, K.&lt;/author&gt;&lt;author&gt;Baute, V.&lt;/author&gt;&lt;author&gt;Aryal, T.&lt;/author&gt;&lt;author&gt;Brooks, D.&lt;/author&gt;&lt;author&gt;Hess, D. C.&lt;/author&gt;&lt;author&gt;Switzer, J. A.&lt;/author&gt;&lt;author&gt;Nichols, F. T.&lt;/author&gt;&lt;/authors&gt;&lt;/contributors&gt;&lt;auth-address&gt;Department of Neurology, Medical College of Georgia, Augusta, GA 30912, USA. abruno@georgiahealth.edu&lt;/auth-address&gt;&lt;titles&gt;&lt;title&gt;Simplified modified rankin scale questionnaire: reproducibility over the telephone and validation with quality of life&lt;/title&gt;&lt;secondary-title&gt;Stroke&lt;/secondary-title&gt;&lt;alt-title&gt;Stroke&lt;/alt-title&gt;&lt;/titles&gt;&lt;periodical&gt;&lt;full-title&gt;Stroke&lt;/full-title&gt;&lt;abbr-1&gt;Stroke&lt;/abbr-1&gt;&lt;abbr-2&gt;Stroke&lt;/abbr-2&gt;&lt;/periodical&gt;&lt;alt-periodical&gt;&lt;full-title&gt;Stroke&lt;/full-title&gt;&lt;abbr-1&gt;Stroke&lt;/abbr-1&gt;&lt;abbr-2&gt;Stroke&lt;/abbr-2&gt;&lt;/alt-periodical&gt;&lt;pages&gt;2276-9&lt;/pages&gt;&lt;volume&gt;42&lt;/volume&gt;&lt;number&gt;8&lt;/number&gt;&lt;edition&gt;2011/06/18&lt;/edition&gt;&lt;keywords&gt;&lt;keyword&gt;Aged&lt;/keyword&gt;&lt;keyword&gt;Female&lt;/keyword&gt;&lt;keyword&gt;Humans&lt;/keyword&gt;&lt;keyword&gt;Interviews as Topic&lt;/keyword&gt;&lt;keyword&gt;Male&lt;/keyword&gt;&lt;keyword&gt;Middle Aged&lt;/keyword&gt;&lt;keyword&gt;*Quality of Life&lt;/keyword&gt;&lt;keyword&gt;*Recovery of Function&lt;/keyword&gt;&lt;keyword&gt;Reproducibility of Results&lt;/keyword&gt;&lt;keyword&gt;*Stroke&lt;/keyword&gt;&lt;keyword&gt;*Surveys and Questionnaires&lt;/keyword&gt;&lt;/keywords&gt;&lt;dates&gt;&lt;year&gt;2011&lt;/year&gt;&lt;/dates&gt;&lt;isbn&gt;0039-2499&lt;/isbn&gt;&lt;accession-num&gt;21680905&lt;/accession-num&gt;&lt;urls&gt;&lt;/urls&gt;&lt;electronic-resource-num&gt;https://doi.org/10.1161/strokeaha.111.613273&lt;/electronic-resource-num&gt;&lt;remote-database-provider&gt;NLM&lt;/remote-database-provider&gt;&lt;language&gt;eng&lt;/language&gt;&lt;/record&gt;&lt;/Cite&gt;&lt;/EndNote&gt;</w:instrText>
      </w:r>
      <w:r>
        <w:rPr>
          <w:color w:val="auto"/>
          <w:lang w:val="en-GB"/>
        </w:rPr>
        <w:fldChar w:fldCharType="separate"/>
      </w:r>
      <w:r>
        <w:rPr>
          <w:color w:val="auto"/>
          <w:lang w:val="en-GB"/>
        </w:rPr>
        <w:t>(1)</w:t>
      </w:r>
      <w:r>
        <w:rPr>
          <w:color w:val="auto"/>
          <w:lang w:val="en-GB"/>
        </w:rPr>
        <w:fldChar w:fldCharType="end"/>
      </w:r>
    </w:p>
    <w:p>
      <w:pPr>
        <w:ind w:left="708"/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t>Version for adults:</w:t>
      </w:r>
    </w:p>
    <w:p>
      <w:pPr>
        <w:ind w:left="708"/>
        <w:rPr>
          <w:color w:val="C00000"/>
          <w:lang w:val="en-GB"/>
        </w:rPr>
      </w:pPr>
      <w:r>
        <w:rPr>
          <w:noProof/>
          <w:lang w:val="en-IN" w:eastAsia="en-IN"/>
        </w:rPr>
        <w:drawing>
          <wp:inline distT="0" distB="0" distL="0" distR="0">
            <wp:extent cx="4019550" cy="305409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7792" cy="306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08"/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t xml:space="preserve">Version for children: </w:t>
      </w:r>
    </w:p>
    <w:p>
      <w:pPr>
        <w:ind w:left="708"/>
        <w:rPr>
          <w:color w:val="C00000"/>
          <w:lang w:val="en-GB"/>
        </w:rPr>
      </w:pPr>
      <w:r>
        <w:rPr>
          <w:noProof/>
          <w:lang w:val="en-IN" w:eastAsia="en-IN"/>
        </w:rPr>
        <w:drawing>
          <wp:inline distT="0" distB="0" distL="0" distR="0">
            <wp:extent cx="4067175" cy="309476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2029" cy="311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Theme="minorEastAsia"/>
          <w:b/>
          <w:spacing w:val="15"/>
          <w:lang w:val="en-GB"/>
        </w:rPr>
      </w:pPr>
      <w:r>
        <w:rPr>
          <w:b/>
          <w:lang w:val="en-GB"/>
        </w:rPr>
        <w:br w:type="page"/>
      </w:r>
    </w:p>
    <w:p>
      <w:pPr>
        <w:pStyle w:val="Untertitel"/>
        <w:numPr>
          <w:ilvl w:val="0"/>
          <w:numId w:val="0"/>
        </w:numPr>
        <w:rPr>
          <w:b/>
          <w:color w:val="auto"/>
          <w:lang w:val="en-GB"/>
        </w:rPr>
      </w:pPr>
      <w:r>
        <w:rPr>
          <w:b/>
          <w:color w:val="auto"/>
          <w:lang w:val="en-GB"/>
        </w:rPr>
        <w:lastRenderedPageBreak/>
        <w:t xml:space="preserve">Appendix 2. </w:t>
      </w:r>
      <w:r>
        <w:rPr>
          <w:color w:val="auto"/>
          <w:lang w:val="en-GB"/>
        </w:rPr>
        <w:t xml:space="preserve">Directed acyclic graph (DAG) of the causal structure underlying mechanisms connecting potential exposures to the outcome recovery from TBE, as determined by subject-specific knowledge. Created with Dagitty </w:t>
      </w:r>
      <w:r>
        <w:rPr>
          <w:color w:val="auto"/>
          <w:lang w:val="en-GB"/>
        </w:rPr>
        <w:fldChar w:fldCharType="begin">
          <w:fldData xml:space="preserve">PEVuZE5vdGU+PENpdGU+PEF1dGhvcj5UZXh0b3I8L0F1dGhvcj48WWVhcj4yMDE2PC9ZZWFyPjxS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</w:fldData>
        </w:fldChar>
      </w:r>
      <w:r>
        <w:rPr>
          <w:color w:val="auto"/>
          <w:lang w:val="en-GB"/>
        </w:rPr>
        <w:instrText xml:space="preserve"> ADDIN EN.CITE </w:instrText>
      </w:r>
      <w:r>
        <w:rPr>
          <w:color w:val="auto"/>
          <w:lang w:val="en-GB"/>
        </w:rPr>
        <w:fldChar w:fldCharType="begin">
          <w:fldData xml:space="preserve">PEVuZE5vdGU+PENpdGU+PEF1dGhvcj5UZXh0b3I8L0F1dGhvcj48WWVhcj4yMDE2PC9ZZWFyPjxS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</w:fldData>
        </w:fldChar>
      </w:r>
      <w:r>
        <w:rPr>
          <w:color w:val="auto"/>
          <w:lang w:val="en-GB"/>
        </w:rPr>
        <w:instrText xml:space="preserve"> ADDIN EN.CITE.DATA </w:instrText>
      </w:r>
      <w:r>
        <w:rPr>
          <w:color w:val="auto"/>
          <w:lang w:val="en-GB"/>
        </w:rPr>
      </w:r>
      <w:r>
        <w:rPr>
          <w:color w:val="auto"/>
          <w:lang w:val="en-GB"/>
        </w:rPr>
        <w:fldChar w:fldCharType="end"/>
      </w:r>
      <w:r>
        <w:rPr>
          <w:color w:val="auto"/>
          <w:lang w:val="en-GB"/>
        </w:rPr>
      </w:r>
      <w:r>
        <w:rPr>
          <w:color w:val="auto"/>
          <w:lang w:val="en-GB"/>
        </w:rPr>
        <w:fldChar w:fldCharType="separate"/>
      </w:r>
      <w:r>
        <w:rPr>
          <w:noProof/>
          <w:color w:val="auto"/>
          <w:lang w:val="en-GB"/>
        </w:rPr>
        <w:t>(2)</w:t>
      </w:r>
      <w:r>
        <w:rPr>
          <w:color w:val="auto"/>
          <w:lang w:val="en-GB"/>
        </w:rPr>
        <w:fldChar w:fldCharType="end"/>
      </w:r>
      <w:r>
        <w:rPr>
          <w:color w:val="auto"/>
          <w:lang w:val="en-GB"/>
        </w:rPr>
        <w:t>.</w:t>
      </w:r>
    </w:p>
    <w:p>
      <w:pPr>
        <w:rPr>
          <w:color w:val="C00000"/>
          <w:lang w:val="en-GB"/>
        </w:rPr>
      </w:pPr>
      <w:r>
        <w:rPr>
          <w:noProof/>
          <w:lang w:val="en-IN" w:eastAsia="en-IN"/>
        </w:rPr>
        <w:drawing>
          <wp:inline distT="0" distB="0" distL="0" distR="0">
            <wp:extent cx="5760720" cy="36963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Blue node (</w:t>
      </w:r>
      <w:r>
        <w:rPr>
          <w:rFonts w:ascii="Arial Black" w:hAnsi="Arial Black" w:cs="Arial"/>
          <w:b/>
          <w:szCs w:val="24"/>
          <w:lang w:val="en-GB"/>
        </w:rPr>
        <w:t>I</w:t>
      </w:r>
      <w:r>
        <w:rPr>
          <w:rFonts w:ascii="Arial" w:hAnsi="Arial" w:cs="Arial"/>
          <w:szCs w:val="24"/>
          <w:lang w:val="en-GB"/>
        </w:rPr>
        <w:t xml:space="preserve">) = outcome. Green nodes (►) = exposures of interest. One exposure was selected at a time to identify the minimal sufficient adjustment set of covariates necessary to estimate the adjusted total causal effect of that exposure on the outcome. </w:t>
      </w:r>
    </w:p>
    <w:p>
      <w:pPr>
        <w:rPr>
          <w:b/>
          <w:lang w:val="en-GB"/>
        </w:rPr>
      </w:pPr>
    </w:p>
    <w:p>
      <w:pPr>
        <w:rPr>
          <w:b/>
          <w:lang w:val="en-GB"/>
        </w:rPr>
        <w:sectPr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>
      <w:pPr>
        <w:rPr>
          <w:rFonts w:eastAsiaTheme="minorEastAsia"/>
          <w:b/>
          <w:spacing w:val="15"/>
          <w:lang w:val="en-GB"/>
        </w:rPr>
      </w:pPr>
      <w:r>
        <w:rPr>
          <w:rFonts w:eastAsiaTheme="minorEastAsia"/>
          <w:b/>
          <w:spacing w:val="15"/>
          <w:lang w:val="en-GB"/>
        </w:rPr>
        <w:lastRenderedPageBreak/>
        <w:t xml:space="preserve">Appendix 3. </w:t>
      </w:r>
      <w:r>
        <w:rPr>
          <w:rFonts w:eastAsiaTheme="minorEastAsia"/>
          <w:spacing w:val="15"/>
          <w:lang w:val="en-GB"/>
        </w:rPr>
        <w:t>Percentage of patients reporting TBE symptoms at different time points</w:t>
      </w:r>
      <w:r>
        <w:rPr>
          <w:lang w:val="en-GB"/>
        </w:rPr>
        <w:fldChar w:fldCharType="begin"/>
      </w:r>
      <w:r>
        <w:rPr>
          <w:lang w:val="en-GB"/>
        </w:rPr>
        <w:instrText xml:space="preserve"> LINK Excel.Sheet.12 "\\\\rki.local\\daten\\Projekte\\FG33_FSME_Studie_2018-22\\Analyse\\Diagramme_und_Excel\\M4.xlsx" "Figure2_2M!Z2S1:Z23S29" \a \f 4 \h  \* MERGEFORMAT </w:instrText>
      </w:r>
      <w:r>
        <w:rPr>
          <w:lang w:val="en-GB"/>
        </w:rPr>
        <w:fldChar w:fldCharType="separate"/>
      </w:r>
    </w:p>
    <w:tbl>
      <w:tblPr>
        <w:tblW w:w="14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242"/>
        <w:gridCol w:w="1070"/>
        <w:gridCol w:w="958"/>
        <w:gridCol w:w="958"/>
        <w:gridCol w:w="958"/>
        <w:gridCol w:w="958"/>
        <w:gridCol w:w="958"/>
        <w:gridCol w:w="958"/>
        <w:gridCol w:w="958"/>
        <w:gridCol w:w="958"/>
        <w:gridCol w:w="958"/>
        <w:gridCol w:w="958"/>
        <w:gridCol w:w="7"/>
        <w:gridCol w:w="933"/>
        <w:gridCol w:w="7"/>
      </w:tblGrid>
      <w:tr>
        <w:trPr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Symptom</w:t>
            </w:r>
          </w:p>
        </w:tc>
        <w:tc>
          <w:tcPr>
            <w:tcW w:w="9587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Proportion of cases reporting symptoms at different time points (in months) since symptom onset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Data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General symptoms/sequelae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absent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≥18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missing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Fatigue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Headache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General weakness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Myalgia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12%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Poor sleep quality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Handwriting deficit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Excessive sweating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Neurological symptoms/sequelae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≥18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Impaired balance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12%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Concentration deficit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Memory deficit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Impaired coordination (ataxia)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Dysphasia (speaking)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Tremor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Impaired consciousness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Sensory impairment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15%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Pareses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83%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Hearing impairment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84%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16%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12%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11%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10%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6%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Dysphagia (swallowing)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90%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5%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  <w:tc>
          <w:tcPr>
            <w:tcW w:w="9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0%</w:t>
            </w:r>
          </w:p>
        </w:tc>
      </w:tr>
      <w:tr>
        <w:trPr>
          <w:gridAfter w:val="1"/>
          <w:wAfter w:w="7" w:type="dxa"/>
          <w:trHeight w:val="28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Seizures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92%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7%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1%</w:t>
            </w:r>
          </w:p>
        </w:tc>
      </w:tr>
    </w:tbl>
    <w:p>
      <w:pPr>
        <w:rPr>
          <w:lang w:val="en-GB"/>
        </w:rPr>
      </w:pPr>
      <w:r>
        <w:rPr>
          <w:lang w:val="en-GB"/>
        </w:rPr>
        <w:fldChar w:fldCharType="end"/>
      </w:r>
    </w:p>
    <w:p>
      <w:pPr>
        <w:rPr>
          <w:b/>
          <w:lang w:val="en-GB"/>
        </w:rPr>
      </w:pPr>
    </w:p>
    <w:p>
      <w:pPr>
        <w:rPr>
          <w:b/>
          <w:lang w:val="en-GB"/>
        </w:rPr>
        <w:sectPr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>
      <w:pPr>
        <w:pStyle w:val="Untertitel"/>
        <w:numPr>
          <w:ilvl w:val="0"/>
          <w:numId w:val="0"/>
        </w:numPr>
        <w:rPr>
          <w:color w:val="auto"/>
          <w:lang w:val="en-GB"/>
        </w:rPr>
      </w:pPr>
      <w:r>
        <w:rPr>
          <w:b/>
          <w:color w:val="auto"/>
          <w:lang w:val="en-GB"/>
        </w:rPr>
        <w:lastRenderedPageBreak/>
        <w:t>Appendix 4</w:t>
      </w:r>
      <w:r>
        <w:rPr>
          <w:color w:val="auto"/>
          <w:lang w:val="en-GB"/>
        </w:rPr>
        <w:t>. Presence of post-encephalitic syndrome (PES) reported by adults and children at 6, 12, and 18 months after TBE symptom onset</w:t>
      </w:r>
    </w:p>
    <w:p>
      <w:pPr>
        <w:rPr>
          <w:lang w:val="en-GB"/>
        </w:rPr>
      </w:pPr>
      <w:r>
        <w:rPr>
          <w:noProof/>
          <w:lang w:val="en-IN" w:eastAsia="en-IN"/>
        </w:rPr>
        <w:drawing>
          <wp:inline distT="0" distB="0" distL="0" distR="0">
            <wp:extent cx="5645150" cy="2959101"/>
            <wp:effectExtent l="0" t="0" r="0" b="0"/>
            <wp:docPr id="5" name="Diagramm 5">
              <a:extLst xmlns:a="http://schemas.openxmlformats.org/drawingml/2006/main">
                <a:ext uri="{FF2B5EF4-FFF2-40B4-BE49-F238E27FC236}">
                  <a16:creationId xmlns:a16="http://schemas.microsoft.com/office/drawing/2014/main" id="{D8D537E4-DD60-4AA8-BC5E-2BE913E46A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Mild PES: presence of 2–3 subjective symptoms reported due to TBE virus infection, following the definition in </w:t>
      </w:r>
      <w:r>
        <w:rPr>
          <w:rFonts w:ascii="Arial" w:hAnsi="Arial" w:cs="Arial"/>
          <w:sz w:val="20"/>
          <w:lang w:val="en-GB"/>
        </w:rPr>
        <w:fldChar w:fldCharType="begin"/>
      </w:r>
      <w:r>
        <w:rPr>
          <w:rFonts w:ascii="Arial" w:hAnsi="Arial" w:cs="Arial"/>
          <w:sz w:val="20"/>
          <w:lang w:val="en-GB"/>
        </w:rPr>
        <w:instrText xml:space="preserve"> ADDIN EN.CITE &lt;EndNote&gt;&lt;Cite&gt;&lt;Author&gt;Bogovič&lt;/Author&gt;&lt;Year&gt;2018&lt;/Year&gt;&lt;RecNum&gt;1687&lt;/RecNum&gt;&lt;DisplayText&gt;(3)&lt;/DisplayText&gt;&lt;record&gt;&lt;rec-number&gt;1687&lt;/rec-number&gt;&lt;foreign-keys&gt;&lt;key app="EN" db-id="rftxdtv0hxfexhep05ivvvpzvxftfz0exf2x" timestamp="1515773669"&gt;1687&lt;/key&gt;&lt;/foreign-keys&gt;&lt;ref-type name="Journal Article"&gt;17&lt;/ref-type&gt;&lt;contributors&gt;&lt;authors&gt;&lt;author&gt;Bogovič, Petra&lt;/author&gt;&lt;author&gt;Stupica, Daša&lt;/author&gt;&lt;author&gt;Rojko, Tereza&lt;/author&gt;&lt;author&gt;Lotrič-Furlan, Stanka&lt;/author&gt;&lt;author&gt;Avšič-Županc, Tatjana&lt;/author&gt;&lt;author&gt;Kastrin, Andrej&lt;/author&gt;&lt;author&gt;Lusa, Lara&lt;/author&gt;&lt;author&gt;Strle, Franc&lt;/author&gt;&lt;/authors&gt;&lt;/contributors&gt;&lt;titles&gt;&lt;title&gt;The long-term outcome of tick-borne encephalitis in Central Europe&lt;/title&gt;&lt;secondary-title&gt;Ticks and Tick-borne Diseases&lt;/secondary-title&gt;&lt;/titles&gt;&lt;periodical&gt;&lt;full-title&gt;Ticks and Tick-Borne Diseases&lt;/full-title&gt;&lt;abbr-1&gt;Ticks Tick Borne Dis.&lt;/abbr-1&gt;&lt;abbr-2&gt;Ticks Tick Borne Dis&lt;/abbr-2&gt;&lt;abbr-3&gt;Ticks &amp;amp; Tick-Borne Diseases&lt;/abbr-3&gt;&lt;/periodical&gt;&lt;pages&gt;369-378&lt;/pages&gt;&lt;volume&gt;9&lt;/volume&gt;&lt;number&gt;2&lt;/number&gt;&lt;keywords&gt;&lt;keyword&gt;Tick-borne encephalitis&lt;/keyword&gt;&lt;keyword&gt;Post-encephalitic syndrome&lt;/keyword&gt;&lt;keyword&gt;Long-term outcome&lt;/keyword&gt;&lt;keyword&gt;Unfavourable outcome&lt;/keyword&gt;&lt;keyword&gt;Predictive factors&lt;/keyword&gt;&lt;keyword&gt;Controls&lt;/keyword&gt;&lt;/keywords&gt;&lt;dates&gt;&lt;year&gt;2018&lt;/year&gt;&lt;pub-dates&gt;&lt;date&gt;Feb&lt;/date&gt;&lt;/pub-dates&gt;&lt;/dates&gt;&lt;isbn&gt;1877-9603 (Electronic)&amp;#xD;1877-959X (Linking)&lt;/isbn&gt;&lt;urls&gt;&lt;related-urls&gt;&lt;url&gt;http://www.sciencedirect.com/science/article/pii/S1877959X17303928&lt;/url&gt;&lt;/related-urls&gt;&lt;/urls&gt;&lt;electronic-resource-num&gt;10.1016/j.ttbdis.2017.12.001&lt;/electronic-resource-num&gt;&lt;/record&gt;&lt;/Cite&gt;&lt;/EndNote&gt;</w:instrText>
      </w:r>
      <w:r>
        <w:rPr>
          <w:rFonts w:ascii="Arial" w:hAnsi="Arial" w:cs="Arial"/>
          <w:sz w:val="20"/>
          <w:lang w:val="en-GB"/>
        </w:rPr>
        <w:fldChar w:fldCharType="separate"/>
      </w:r>
      <w:r>
        <w:rPr>
          <w:rFonts w:ascii="Arial" w:hAnsi="Arial" w:cs="Arial"/>
          <w:noProof/>
          <w:sz w:val="20"/>
          <w:lang w:val="en-GB"/>
        </w:rPr>
        <w:t>(3)</w:t>
      </w:r>
      <w:r>
        <w:rPr>
          <w:rFonts w:ascii="Arial" w:hAnsi="Arial" w:cs="Arial"/>
          <w:sz w:val="20"/>
          <w:lang w:val="en-GB"/>
        </w:rPr>
        <w:fldChar w:fldCharType="end"/>
      </w:r>
      <w:r>
        <w:rPr>
          <w:rFonts w:ascii="Arial" w:hAnsi="Arial" w:cs="Arial"/>
          <w:sz w:val="20"/>
          <w:lang w:val="en-GB"/>
        </w:rPr>
        <w:t>. Moderate PES: 4–5 subjective symptoms. Severe PES: ≥6 subjective symptoms.</w:t>
      </w: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pStyle w:val="Untertitel"/>
        <w:numPr>
          <w:ilvl w:val="0"/>
          <w:numId w:val="0"/>
        </w:numPr>
        <w:rPr>
          <w:color w:val="auto"/>
          <w:lang w:val="en-GB"/>
        </w:rPr>
      </w:pPr>
      <w:r>
        <w:rPr>
          <w:b/>
          <w:color w:val="auto"/>
          <w:lang w:val="en-GB"/>
        </w:rPr>
        <w:t>Appendix 5</w:t>
      </w:r>
      <w:r>
        <w:rPr>
          <w:color w:val="auto"/>
          <w:lang w:val="en-GB"/>
        </w:rPr>
        <w:t>. Factors associated with time to recovery from TBE: Results of univariable logistic regression analyses</w:t>
      </w:r>
    </w:p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375"/>
        <w:gridCol w:w="745"/>
        <w:gridCol w:w="1258"/>
        <w:gridCol w:w="1250"/>
        <w:gridCol w:w="983"/>
        <w:gridCol w:w="1376"/>
        <w:gridCol w:w="983"/>
      </w:tblGrid>
      <w:tr>
        <w:trPr>
          <w:trHeight w:val="159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Exposure of Interest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Levels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Cases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Recovered cases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Median time to recovery (months)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HR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95% CI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AIC</w:t>
            </w:r>
          </w:p>
        </w:tc>
      </w:tr>
      <w:tr>
        <w:trPr>
          <w:trHeight w:val="81"/>
        </w:trPr>
        <w:tc>
          <w:tcPr>
            <w:tcW w:w="13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Age group at onset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&lt;18 years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56 (95%)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1.79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1.25 – 2.56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4057.78</w:t>
            </w: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18–39 years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65 (81%)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3.0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Ref.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40–49 years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49 (61%)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10.5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0.38 – 0.80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≥50 years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182 (60%)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7.5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0.42 – 0.75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81"/>
        </w:trPr>
        <w:tc>
          <w:tcPr>
            <w:tcW w:w="13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Sex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333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227 (68%)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5.0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Ref.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4108.09</w:t>
            </w: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Female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125 (66%)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6.0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0.88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0.71 – 1.09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65"/>
        </w:trPr>
        <w:tc>
          <w:tcPr>
            <w:tcW w:w="13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Acute severity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Mild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96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82 (85%)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2.0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Ref.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4063.89</w:t>
            </w: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Moderate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320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222 (69%)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6.0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0.43 – 0.71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Severe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48 (45%)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0.20 – 0.42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81"/>
        </w:trPr>
        <w:tc>
          <w:tcPr>
            <w:tcW w:w="13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Comorbidity at onset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Absent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298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224 (75%)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5.0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Ref.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4091.34</w:t>
            </w: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Present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128 (57%)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9.0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0.51 – 0.78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>
        <w:trPr>
          <w:trHeight w:val="81"/>
        </w:trPr>
        <w:tc>
          <w:tcPr>
            <w:tcW w:w="13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Hypertension at onset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Absent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411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293 (71%)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6.0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Ref.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4096.09</w:t>
            </w:r>
          </w:p>
        </w:tc>
      </w:tr>
      <w:tr>
        <w:trPr>
          <w:trHeight w:val="81"/>
        </w:trPr>
        <w:tc>
          <w:tcPr>
            <w:tcW w:w="13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Present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59 (53%)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12.0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0.46 – 0.81</w:t>
            </w:r>
          </w:p>
        </w:tc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</w:tbl>
    <w:p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* Only 45% of cases in this stratum had recovered by 18 months, hence the median time to recovery could not be determined.</w:t>
      </w:r>
    </w:p>
    <w:p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HR = hazard ratio; CI = confidence interval; AIC = Akaike information criterion;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Ref. = reference</w:t>
      </w:r>
    </w:p>
    <w:p>
      <w:pPr>
        <w:pStyle w:val="Untertitel"/>
        <w:numPr>
          <w:ilvl w:val="0"/>
          <w:numId w:val="0"/>
        </w:numPr>
        <w:rPr>
          <w:color w:val="auto"/>
          <w:lang w:val="en-GB"/>
        </w:rPr>
      </w:pPr>
      <w:r>
        <w:rPr>
          <w:b/>
          <w:lang w:val="en-GB"/>
        </w:rPr>
        <w:br w:type="page"/>
      </w:r>
      <w:r>
        <w:rPr>
          <w:b/>
          <w:color w:val="auto"/>
          <w:lang w:val="en-GB"/>
        </w:rPr>
        <w:lastRenderedPageBreak/>
        <w:t>Appendix 6</w:t>
      </w:r>
      <w:r>
        <w:rPr>
          <w:color w:val="auto"/>
          <w:lang w:val="en-GB"/>
        </w:rPr>
        <w:t xml:space="preserve">. Definition of acute TBE disease severity for the 581 TBE cases who participated at the first data collection point. Source: </w:t>
      </w:r>
      <w:r>
        <w:rPr>
          <w:color w:val="auto"/>
          <w:lang w:val="en-GB"/>
        </w:rPr>
        <w:fldChar w:fldCharType="begin"/>
      </w:r>
      <w:r>
        <w:rPr>
          <w:color w:val="auto"/>
          <w:lang w:val="en-GB"/>
        </w:rPr>
        <w:instrText xml:space="preserve"> ADDIN EN.CITE &lt;EndNote&gt;&lt;Cite&gt;&lt;Author&gt;Nygren&lt;/Author&gt;&lt;Year&gt;2023&lt;/Year&gt;&lt;RecNum&gt;1982&lt;/RecNum&gt;&lt;DisplayText&gt;(4)&lt;/DisplayText&gt;&lt;record&gt;&lt;rec-number&gt;1982&lt;/rec-number&gt;&lt;foreign-keys&gt;&lt;key app="EN" db-id="rftxdtv0hxfexhep05ivvvpzvxftfz0exf2x" timestamp="1676630688"&gt;1982&lt;/key&gt;&lt;/foreign-keys&gt;&lt;ref-type name="Journal Article"&gt;17&lt;/ref-type&gt;&lt;contributors&gt;&lt;authors&gt;&lt;author&gt;Nygren, Teresa M.&lt;/author&gt;&lt;author&gt;Pilic, Antonia&lt;/author&gt;&lt;author&gt;Böhmer, Merle M.&lt;/author&gt;&lt;author&gt;Wagner-Wiening, Christiane&lt;/author&gt;&lt;author&gt;Went, Simone-Beatrice&lt;/author&gt;&lt;author&gt;Wichmann, Ole&lt;/author&gt;&lt;author&gt;Hellenbrand, Wiebke&lt;/author&gt;&lt;/authors&gt;&lt;/contributors&gt;&lt;titles&gt;&lt;title&gt;Tick-Borne Encephalitis: Acute Clinical Manifestations and Severity in 581 cases from Germany, 2018-2020&lt;/title&gt;&lt;secondary-title&gt;Journal of Infection&lt;/secondary-title&gt;&lt;/titles&gt;&lt;periodical&gt;&lt;full-title&gt;Journal of Infection&lt;/full-title&gt;&lt;abbr-1&gt;J. Infect.&lt;/abbr-1&gt;&lt;abbr-2&gt;J Infect&lt;/abbr-2&gt;&lt;/periodical&gt;&lt;dates&gt;&lt;year&gt;2023&lt;/year&gt;&lt;pub-dates&gt;&lt;date&gt;14.02.2023&lt;/date&gt;&lt;/pub-dates&gt;&lt;/dates&gt;&lt;publisher&gt;Elsevier&lt;/publisher&gt;&lt;isbn&gt;0163-4453&lt;/isbn&gt;&lt;urls&gt;&lt;related-urls&gt;&lt;url&gt;https://doi.org/10.1016/j.jinf.2023.02.018&lt;/url&gt;&lt;/related-urls&gt;&lt;/urls&gt;&lt;electronic-resource-num&gt;https://doi.org/10.1016/j.jinf.2023.02.018&lt;/electronic-resource-num&gt;&lt;access-date&gt;2023/02/17&lt;/access-date&gt;&lt;/record&gt;&lt;/Cite&gt;&lt;/EndNote&gt;</w:instrText>
      </w:r>
      <w:r>
        <w:rPr>
          <w:color w:val="auto"/>
          <w:lang w:val="en-GB"/>
        </w:rPr>
        <w:fldChar w:fldCharType="separate"/>
      </w:r>
      <w:r>
        <w:rPr>
          <w:noProof/>
          <w:color w:val="auto"/>
          <w:lang w:val="en-GB"/>
        </w:rPr>
        <w:t>(4)</w:t>
      </w:r>
      <w:r>
        <w:rPr>
          <w:color w:val="auto"/>
          <w:lang w:val="en-GB"/>
        </w:rPr>
        <w:fldChar w:fldCharType="end"/>
      </w:r>
    </w:p>
    <w:p>
      <w:pPr>
        <w:spacing w:line="360" w:lineRule="auto"/>
        <w:rPr>
          <w:rFonts w:cstheme="minorHAnsi"/>
          <w:b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>
            <wp:extent cx="5760720" cy="383730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ICU: intensive care unit</w:t>
      </w:r>
    </w:p>
    <w:p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* symptoms occurring at any point during the acute disease course. At least 1 of: ataxia, sensory impairment, dysphasia, dysphagia, pareses, impaired consciousness, seizures, hearing impairment, respiratory difficulty/paralysis</w:t>
      </w:r>
    </w:p>
    <w:p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** according to hospital discharge summaries</w:t>
      </w:r>
    </w:p>
    <w:p>
      <w:pPr>
        <w:rPr>
          <w:rFonts w:ascii="Arial" w:hAnsi="Arial" w:cs="Arial"/>
          <w:sz w:val="20"/>
          <w:lang w:val="en-GB"/>
        </w:rPr>
      </w:pPr>
    </w:p>
    <w:p>
      <w:pPr>
        <w:rPr>
          <w:b/>
          <w:lang w:val="en-GB"/>
        </w:rPr>
      </w:pPr>
    </w:p>
    <w:p>
      <w:pPr>
        <w:rPr>
          <w:b/>
          <w:lang w:val="en-GB"/>
        </w:rPr>
      </w:pPr>
      <w:bookmarkStart w:id="1" w:name="_GoBack"/>
      <w:bookmarkEnd w:id="1"/>
    </w:p>
    <w:p>
      <w:pPr>
        <w:rPr>
          <w:rFonts w:eastAsiaTheme="minorEastAsia"/>
          <w:b/>
          <w:spacing w:val="15"/>
          <w:lang w:val="en-GB"/>
        </w:rPr>
      </w:pPr>
      <w:r>
        <w:rPr>
          <w:rFonts w:eastAsiaTheme="minorEastAsia"/>
          <w:b/>
          <w:spacing w:val="15"/>
          <w:lang w:val="en-GB"/>
        </w:rPr>
        <w:t>References</w:t>
      </w:r>
    </w:p>
    <w:p>
      <w:pPr>
        <w:pStyle w:val="EndNoteBibliography"/>
        <w:spacing w:after="0"/>
        <w:rPr>
          <w:lang w:val="de-DE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>1.</w:t>
      </w:r>
      <w:r>
        <w:tab/>
        <w:t xml:space="preserve">Bruno A, Akinwuntan AE, Lin C, Close B, Davis K, Baute V, et al. Simplified modified rankin scale questionnaire: reproducibility over the telephone and validation with quality of life. </w:t>
      </w:r>
      <w:r>
        <w:rPr>
          <w:lang w:val="de-DE"/>
        </w:rPr>
        <w:t>Stroke. 2011;42(8):2276-9.</w:t>
      </w:r>
    </w:p>
    <w:p>
      <w:pPr>
        <w:pStyle w:val="EndNoteBibliography"/>
        <w:spacing w:after="0"/>
      </w:pPr>
      <w:r>
        <w:rPr>
          <w:lang w:val="de-DE"/>
        </w:rPr>
        <w:t>2.</w:t>
      </w:r>
      <w:r>
        <w:rPr>
          <w:lang w:val="de-DE"/>
        </w:rPr>
        <w:tab/>
        <w:t xml:space="preserve">Textor J, van der Zander B, Gilthorpe MS, Liskiewicz M, Ellison GT. </w:t>
      </w:r>
      <w:r>
        <w:t>Robust causal inference using directed acyclic graphs: the R package 'dagitty'. Int J Epidemiol. 2016;45(6):1887-94.</w:t>
      </w:r>
    </w:p>
    <w:p>
      <w:pPr>
        <w:pStyle w:val="EndNoteBibliography"/>
        <w:spacing w:after="0"/>
      </w:pPr>
      <w:r>
        <w:t>3.</w:t>
      </w:r>
      <w:r>
        <w:tab/>
        <w:t>Bogovič P, Stupica D, Rojko T, Lotrič-Furlan S, Avšič-Županc T, Kastrin A, et al. The long-term outcome of tick-borne encephalitis in Central Europe. Ticks Tick Borne Dis. 2018;9(2):369-78.</w:t>
      </w:r>
    </w:p>
    <w:p>
      <w:pPr>
        <w:pStyle w:val="EndNoteBibliography"/>
      </w:pPr>
      <w:r>
        <w:t>4.</w:t>
      </w:r>
      <w:r>
        <w:tab/>
        <w:t>Nygren TM, Pilic A, Böhmer MM, Wagner-Wiening C, Went S-B, Wichmann O, et al. Tick-Borne Encephalitis: Acute Clinical Manifestations and Severity in 581 cases from Germany, 2018-2020. J Infect. 2023.</w:t>
      </w:r>
    </w:p>
    <w:p>
      <w:r>
        <w:fldChar w:fldCharType="end"/>
      </w: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038231"/>
      <w:docPartObj>
        <w:docPartGallery w:val="Page Numbers (Bottom of Page)"/>
        <w:docPartUnique/>
      </w:docPartObj>
    </w:sdtPr>
    <w:sdtContent>
      <w:p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txdtv0hxfexhep05ivvvpzvxftfz0exf2x&quot;&gt;Tessa&amp;apos;s EndNote Library-Converted&lt;record-ids&gt;&lt;item&gt;1687&lt;/item&gt;&lt;item&gt;1717&lt;/item&gt;&lt;item&gt;1936&lt;/item&gt;&lt;item&gt;1982&lt;/item&gt;&lt;/record-ids&gt;&lt;/item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9ECEC-4341-4459-87BE-6E722BEB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Pr>
      <w:rFonts w:ascii="Calibri" w:hAnsi="Calibri" w:cs="Calibri"/>
      <w:noProof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inorEastAsia"/>
      <w:color w:val="5A5A5A" w:themeColor="text1" w:themeTint="A5"/>
      <w:spacing w:val="15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ygrenT@rki.de" TargetMode="External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rki.local\daten\Projekte\FG33_FSME_Studie_2018-22\Analyse\Diagramme_und_Excel\M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PES_revision!$B$28</c:f>
              <c:strCache>
                <c:ptCount val="1"/>
                <c:pt idx="0">
                  <c:v>mild PES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multiLvlStrRef>
              <c:f>PES_revision!$C$26:$I$27</c:f>
              <c:multiLvlStrCache>
                <c:ptCount val="7"/>
                <c:lvl>
                  <c:pt idx="0">
                    <c:v>6</c:v>
                  </c:pt>
                  <c:pt idx="1">
                    <c:v>12</c:v>
                  </c:pt>
                  <c:pt idx="2">
                    <c:v>18</c:v>
                  </c:pt>
                  <c:pt idx="4">
                    <c:v>6</c:v>
                  </c:pt>
                  <c:pt idx="5">
                    <c:v>12</c:v>
                  </c:pt>
                  <c:pt idx="6">
                    <c:v>18</c:v>
                  </c:pt>
                </c:lvl>
                <c:lvl>
                  <c:pt idx="0">
                    <c:v>Adults (n = 464)</c:v>
                  </c:pt>
                  <c:pt idx="4">
                    <c:v>Children (n = 59)</c:v>
                  </c:pt>
                </c:lvl>
              </c:multiLvlStrCache>
            </c:multiLvlStrRef>
          </c:cat>
          <c:val>
            <c:numRef>
              <c:f>PES_revision!$C$28:$I$28</c:f>
              <c:numCache>
                <c:formatCode>0%</c:formatCode>
                <c:ptCount val="7"/>
                <c:pt idx="0">
                  <c:v>0.17025862068965517</c:v>
                </c:pt>
                <c:pt idx="1">
                  <c:v>0.13577586206896552</c:v>
                </c:pt>
                <c:pt idx="2">
                  <c:v>8.4051724137931036E-2</c:v>
                </c:pt>
                <c:pt idx="4">
                  <c:v>0.10169491525423729</c:v>
                </c:pt>
                <c:pt idx="5">
                  <c:v>3.3898305084745763E-2</c:v>
                </c:pt>
                <c:pt idx="6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45-42AA-B70E-76B43F5CB1E9}"/>
            </c:ext>
          </c:extLst>
        </c:ser>
        <c:ser>
          <c:idx val="1"/>
          <c:order val="1"/>
          <c:tx>
            <c:strRef>
              <c:f>PES_revision!$B$29</c:f>
              <c:strCache>
                <c:ptCount val="1"/>
                <c:pt idx="0">
                  <c:v>moderate PES</c:v>
                </c:pt>
              </c:strCache>
            </c:strRef>
          </c:tx>
          <c:spPr>
            <a:ln w="28575" cap="rnd">
              <a:solidFill>
                <a:srgbClr val="FF818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8181"/>
              </a:solidFill>
              <a:ln w="9525">
                <a:solidFill>
                  <a:srgbClr val="FF8181"/>
                </a:solidFill>
              </a:ln>
              <a:effectLst/>
            </c:spPr>
          </c:marker>
          <c:cat>
            <c:multiLvlStrRef>
              <c:f>PES_revision!$C$26:$I$27</c:f>
              <c:multiLvlStrCache>
                <c:ptCount val="7"/>
                <c:lvl>
                  <c:pt idx="0">
                    <c:v>6</c:v>
                  </c:pt>
                  <c:pt idx="1">
                    <c:v>12</c:v>
                  </c:pt>
                  <c:pt idx="2">
                    <c:v>18</c:v>
                  </c:pt>
                  <c:pt idx="4">
                    <c:v>6</c:v>
                  </c:pt>
                  <c:pt idx="5">
                    <c:v>12</c:v>
                  </c:pt>
                  <c:pt idx="6">
                    <c:v>18</c:v>
                  </c:pt>
                </c:lvl>
                <c:lvl>
                  <c:pt idx="0">
                    <c:v>Adults (n = 464)</c:v>
                  </c:pt>
                  <c:pt idx="4">
                    <c:v>Children (n = 59)</c:v>
                  </c:pt>
                </c:lvl>
              </c:multiLvlStrCache>
            </c:multiLvlStrRef>
          </c:cat>
          <c:val>
            <c:numRef>
              <c:f>PES_revision!$C$29:$I$29</c:f>
              <c:numCache>
                <c:formatCode>0%</c:formatCode>
                <c:ptCount val="7"/>
                <c:pt idx="0">
                  <c:v>0.10129310344827586</c:v>
                </c:pt>
                <c:pt idx="1">
                  <c:v>0.10775862068965517</c:v>
                </c:pt>
                <c:pt idx="2">
                  <c:v>6.25E-2</c:v>
                </c:pt>
                <c:pt idx="4">
                  <c:v>3.3898305084745763E-2</c:v>
                </c:pt>
                <c:pt idx="5">
                  <c:v>5.0847457627118647E-2</c:v>
                </c:pt>
                <c:pt idx="6">
                  <c:v>3.3898305084745763E-2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45-42AA-B70E-76B43F5CB1E9}"/>
            </c:ext>
          </c:extLst>
        </c:ser>
        <c:ser>
          <c:idx val="2"/>
          <c:order val="2"/>
          <c:tx>
            <c:strRef>
              <c:f>PES_revision!$B$30</c:f>
              <c:strCache>
                <c:ptCount val="1"/>
                <c:pt idx="0">
                  <c:v>severe PES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multiLvlStrRef>
              <c:f>PES_revision!$C$26:$I$27</c:f>
              <c:multiLvlStrCache>
                <c:ptCount val="7"/>
                <c:lvl>
                  <c:pt idx="0">
                    <c:v>6</c:v>
                  </c:pt>
                  <c:pt idx="1">
                    <c:v>12</c:v>
                  </c:pt>
                  <c:pt idx="2">
                    <c:v>18</c:v>
                  </c:pt>
                  <c:pt idx="4">
                    <c:v>6</c:v>
                  </c:pt>
                  <c:pt idx="5">
                    <c:v>12</c:v>
                  </c:pt>
                  <c:pt idx="6">
                    <c:v>18</c:v>
                  </c:pt>
                </c:lvl>
                <c:lvl>
                  <c:pt idx="0">
                    <c:v>Adults (n = 464)</c:v>
                  </c:pt>
                  <c:pt idx="4">
                    <c:v>Children (n = 59)</c:v>
                  </c:pt>
                </c:lvl>
              </c:multiLvlStrCache>
            </c:multiLvlStrRef>
          </c:cat>
          <c:val>
            <c:numRef>
              <c:f>PES_revision!$C$30:$I$30</c:f>
              <c:numCache>
                <c:formatCode>0%</c:formatCode>
                <c:ptCount val="7"/>
                <c:pt idx="0">
                  <c:v>0.29525862068965519</c:v>
                </c:pt>
                <c:pt idx="1">
                  <c:v>0.21551724137931033</c:v>
                </c:pt>
                <c:pt idx="2">
                  <c:v>0.12931034482758622</c:v>
                </c:pt>
                <c:pt idx="4">
                  <c:v>5.0847457627118647E-2</c:v>
                </c:pt>
                <c:pt idx="5">
                  <c:v>3.3898305084745763E-2</c:v>
                </c:pt>
                <c:pt idx="6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F45-42AA-B70E-76B43F5CB1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150112"/>
        <c:axId val="87146848"/>
      </c:lineChart>
      <c:catAx>
        <c:axId val="87150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b="0"/>
                  <a:t>Months since symptom onset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87146848"/>
        <c:crosses val="autoZero"/>
        <c:auto val="1"/>
        <c:lblAlgn val="ctr"/>
        <c:lblOffset val="100"/>
        <c:tickMarkSkip val="2"/>
        <c:noMultiLvlLbl val="0"/>
      </c:catAx>
      <c:valAx>
        <c:axId val="8714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Proportion of cases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87150112"/>
        <c:crosses val="autoZero"/>
        <c:crossBetween val="midCat"/>
      </c:valAx>
      <c:dTable>
        <c:showHorzBorder val="1"/>
        <c:showVertBorder val="0"/>
        <c:showOutline val="0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</c:dTable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78118008436129294"/>
          <c:y val="7.9122194411232485E-2"/>
          <c:w val="0.19905653445933086"/>
          <c:h val="0.21141107453873212"/>
        </c:manualLayout>
      </c:layout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1449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Nygren, Teresa</dc:creator>
  <cp:keywords/>
  <dc:description/>
  <cp:lastModifiedBy>Nygren, Teresa</cp:lastModifiedBy>
  <cp:revision>11</cp:revision>
  <dcterms:created xsi:type="dcterms:W3CDTF">2023-02-07T12:28:00Z</dcterms:created>
  <dcterms:modified xsi:type="dcterms:W3CDTF">2023-04-06T21:17:00Z</dcterms:modified>
</cp:coreProperties>
</file>