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vertAnchor="text" w:horzAnchor="margin" w:tblpY="-149"/>
        <w:tblW w:w="751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10"/>
        <w:gridCol w:w="5044"/>
        <w:gridCol w:w="59"/>
      </w:tblGrid>
      <w:tr>
        <w:trPr>
          <w:gridAfter w:val="1"/>
          <w:wAfter w:w="59" w:type="dxa"/>
          <w:trHeight w:val="20"/>
        </w:trPr>
        <w:tc>
          <w:tcPr>
            <w:tcW w:w="7454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Additional file 3:  Table S4</w:t>
            </w:r>
          </w:p>
          <w:p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Table S4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  Five 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most frequently observed AIDS-defining illnesses among PLHIV who experienced an AIDS-defining event after &gt; 1 year of continuous ART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Stratified by 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ears under continuous ART at the time of the AIDS event</w:t>
            </w:r>
            <w:r>
              <w:rPr>
                <w:rFonts w:ascii="Times New Roman" w:hAnsi="Times New Roman" w:cs="Times New Roman"/>
                <w:sz w:val="20"/>
                <w:szCs w:val="24"/>
                <w:lang w:val="en-GB"/>
              </w:rPr>
              <w:t>, transmission mode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CD4 count at the time of the AIDS event, and viral load at the time of the AIDS event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en-GB"/>
              </w:rPr>
              <w:t>AIDS-defining illness,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 n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 (%)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Years under continuous ART at the time of the AIDS event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43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 1 to 3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195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100.0%)</w:t>
            </w:r>
          </w:p>
        </w:tc>
      </w:tr>
      <w:tr>
        <w:trPr>
          <w:trHeight w:val="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Oesophageal candidiasis    27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13.8%)</w:t>
            </w:r>
          </w:p>
        </w:tc>
      </w:tr>
      <w:tr>
        <w:trPr>
          <w:trHeight w:val="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Wasting syndrome    21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10.8%)</w:t>
            </w:r>
          </w:p>
        </w:tc>
      </w:tr>
      <w:tr>
        <w:trPr>
          <w:trHeight w:val="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-pneumonia    19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9.7%)</w:t>
            </w:r>
          </w:p>
        </w:tc>
      </w:tr>
      <w:tr>
        <w:trPr>
          <w:trHeight w:val="64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Extrapulmonary tuberculosis    18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Pulmonary tuberculosis    16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 3 to 6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-pneumonia    16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Oesophageal candidiasis    15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Wasting syndrome    15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HIV encephalitis    14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11.6%)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HSV ulcers    12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 6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Oesophageal candidiasis    19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HIV encephalitis    13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Wasting syndrome    11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-pneumonia      8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Atypical mycobacteria      8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Transmission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mode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Men who have sex with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men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191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HSV ulcers    21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Wasting syndrome    21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Oesophageal candidiasis    20    (10.5%)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lastRenderedPageBreak/>
              <w:t xml:space="preserve"> 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Non-Hodgkin lymphoma    19      (9.9%)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19      (9.9%)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Persons with heterosexual 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contact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78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13    (16.7%)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11    (14.1%)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9    (11.5%)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Cerebral toxoplasmosis      6      (7.7%)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Atypical mycobacteria      4      (5.6%)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Persons who inject drugs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13    (28.3%)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12    (26.1%)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 5    (10.9%)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HIV encephalitis      3      (6.5%)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 Recurrent pneumonia      3      (6.5%)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Persons from high-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prevalence countries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  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Extrapulmonary tuberculosis    15    (25.0%)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11    (18.3%)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 8    (13.3%)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Pulmonary tuberculosis      7    (11.7%)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HSV ulcers      7    (11.7%)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CD4 count (cells/µL) at the time of the AIDS event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10    (31.3%)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5    (15.6%)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 4    (12.5%)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Cerebral toxoplasmosis      3      (9.4%)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Cytomegalovirus      3      (9.4%)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50-199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49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9    (18.4%)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 8    (16.3%)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5    (10.2%)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Cerebral toxoplasmosis      4      (8.2%)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Cytomegalovirus      4      (8.2%)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200-499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12    (17.9%)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8    (11.9%)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  7    (10.4%)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Pulmonary tuberculosis      7    (10.4%)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 6      (9.0%)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 500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HSV ulcers      8    (17.0%)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5    (10.6%)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Kaposi’s sarcoma      5    (10.6%)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Extrapulmonary tuberculosis      4      (8.5%)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HIV encephalitis      4      (8.5%)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221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32    (14.5%)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24    (10.9%)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23    (10.4%)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 21      (9.5%)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Non-Hodgkin lymphoma     20      (9.0%)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Viral load (copies/mL) at the time of the AIDS event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&lt; 50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119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14    (11.8%)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13    (10.9%)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HSV ulcers    13    (10.9%)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12    (10.1%)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HIV encephalitis    12    (10.1%)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50-999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  5    (23.8%)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  5    (23.8%)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 2      (9.5%)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2      (9.5%)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Cytomegalovirus      2      (9.5%)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1,000-9,999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  2    (16.7%)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2    (16.7%)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Progressive multifocal leukoencephalopathy      2    (16.7%)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Extrapulmonary tuberculosis      1      (8.3%)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 1      (8.3%)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10,000-99,999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  2    (18.2%)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  2    (18.2%)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Cerebral toxoplasmosis      1      (9.1%)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1      (9.1%)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Extrapulmonary tuberculosis      1      (9.1%)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&gt; 100,000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  6    (27.3%)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 5    (18.5%)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Cerebral toxoplasmosis      3    (13.6%)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HIV encephalitis      2      (9.1%)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 2      (9.1%)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Missing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231  (100.0%)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Oesophageal candidiasis    36    (15.6%)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Wasting syndrome     24    (10.4%)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Pneumocystis-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jirovecii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-pneumonia     23    (10.0%)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Non-Hodgkin lymphoma     20      (8.7%)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 </w:t>
            </w:r>
            <w:r>
              <w:rPr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 HIV encephalitis     19      (8.2%)</w:t>
            </w:r>
          </w:p>
        </w:tc>
      </w:tr>
      <w:tr>
        <w:trPr>
          <w:trHeight w:val="20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 xml:space="preserve">Abbreviations: </w:t>
      </w:r>
      <w:r>
        <w:rPr>
          <w:rFonts w:ascii="Times New Roman" w:hAnsi="Times New Roman" w:cs="Times New Roman"/>
          <w:i/>
          <w:sz w:val="18"/>
          <w:szCs w:val="18"/>
          <w:lang w:val="en-GB"/>
        </w:rPr>
        <w:t>PLHIV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People living with HIV  </w:t>
      </w:r>
      <w:r>
        <w:rPr>
          <w:rFonts w:ascii="Times New Roman" w:hAnsi="Times New Roman" w:cs="Times New Roman"/>
          <w:i/>
          <w:sz w:val="18"/>
          <w:szCs w:val="18"/>
          <w:lang w:val="en-GB"/>
        </w:rPr>
        <w:t>ART</w:t>
      </w:r>
      <w:r>
        <w:rPr>
          <w:rFonts w:ascii="Times New Roman" w:hAnsi="Times New Roman" w:cs="Times New Roman"/>
          <w:sz w:val="18"/>
          <w:szCs w:val="18"/>
          <w:lang w:val="en-GB"/>
        </w:rPr>
        <w:t xml:space="preserve"> Antiretroviral therapy </w:t>
      </w:r>
    </w:p>
    <w:p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18"/>
          <w:szCs w:val="18"/>
          <w:lang w:val="en-GB"/>
        </w:rPr>
        <w:t>The</w:t>
      </w:r>
      <w:proofErr w:type="spellEnd"/>
      <w:r>
        <w:rPr>
          <w:rFonts w:ascii="Times New Roman" w:hAnsi="Times New Roman" w:cs="Times New Roman"/>
          <w:sz w:val="18"/>
          <w:szCs w:val="18"/>
          <w:lang w:val="en-GB"/>
        </w:rPr>
        <w:t xml:space="preserve"> number of recorded AIDS-defining illnesses exceeds the number of first AIDS-defining events since </w:t>
      </w:r>
    </w:p>
    <w:p>
      <w:pPr>
        <w:spacing w:after="0"/>
        <w:rPr>
          <w:rFonts w:ascii="Times New Roman" w:hAnsi="Times New Roman" w:cs="Times New Roman"/>
          <w:sz w:val="18"/>
          <w:szCs w:val="18"/>
          <w:lang w:val="en-GB"/>
        </w:rPr>
      </w:pPr>
      <w:r>
        <w:rPr>
          <w:rFonts w:ascii="Times New Roman" w:hAnsi="Times New Roman" w:cs="Times New Roman"/>
          <w:sz w:val="18"/>
          <w:szCs w:val="18"/>
          <w:lang w:val="en-GB"/>
        </w:rPr>
        <w:t>an AIDS event can comprise more than one AIDS-defining illness if these were recorded in the same month</w:t>
      </w:r>
    </w:p>
    <w:p>
      <w:pPr>
        <w:spacing w:after="0"/>
        <w:rPr>
          <w:rFonts w:ascii="Times New Roman" w:hAnsi="Times New Roman" w:cs="Times New Roman"/>
          <w:sz w:val="18"/>
          <w:szCs w:val="20"/>
          <w:lang w:val="en-GB"/>
        </w:rPr>
      </w:pPr>
      <w:proofErr w:type="spellStart"/>
      <w:r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b</w:t>
      </w:r>
      <w:r>
        <w:rPr>
          <w:rFonts w:ascii="Times New Roman" w:hAnsi="Times New Roman" w:cs="Times New Roman"/>
          <w:sz w:val="18"/>
          <w:szCs w:val="20"/>
          <w:lang w:val="en-GB"/>
        </w:rPr>
        <w:t>Transmission</w:t>
      </w:r>
      <w:proofErr w:type="spellEnd"/>
      <w:r>
        <w:rPr>
          <w:rFonts w:ascii="Times New Roman" w:hAnsi="Times New Roman" w:cs="Times New Roman"/>
          <w:sz w:val="18"/>
          <w:szCs w:val="20"/>
          <w:lang w:val="en-GB"/>
        </w:rPr>
        <w:t xml:space="preserve"> groups “other” and “unknown” are not presented due to sparse data and limited interpretability</w:t>
      </w:r>
    </w:p>
    <w:p>
      <w:pPr>
        <w:spacing w:after="0" w:line="360" w:lineRule="auto"/>
        <w:rPr>
          <w:rFonts w:ascii="Times New Roman" w:hAnsi="Times New Roman" w:cs="Times New Roman"/>
          <w:sz w:val="18"/>
          <w:szCs w:val="18"/>
          <w:lang w:val="en-GB"/>
        </w:rPr>
      </w:pPr>
    </w:p>
    <w:p>
      <w:pPr>
        <w:rPr>
          <w:lang w:val="en-GB"/>
        </w:rPr>
      </w:pPr>
    </w:p>
    <w:sectPr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13C29-0FA6-4A5B-8568-406943F5B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pPr>
      <w:spacing w:after="0" w:line="240" w:lineRule="auto"/>
    </w:pPr>
    <w:rPr>
      <w:rFonts w:eastAsiaTheme="minorEastAsia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780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Pantke, Annemarie</dc:creator>
  <cp:keywords/>
  <dc:description/>
  <cp:lastModifiedBy>Pantke, Annemarie</cp:lastModifiedBy>
  <cp:revision>455</cp:revision>
  <dcterms:created xsi:type="dcterms:W3CDTF">2022-10-07T14:17:00Z</dcterms:created>
  <dcterms:modified xsi:type="dcterms:W3CDTF">2024-01-15T09:53:00Z</dcterms:modified>
</cp:coreProperties>
</file>