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3DC4EA" w14:textId="7DCF83E9" w:rsidR="00A2199B" w:rsidRPr="00740FEB" w:rsidRDefault="00A2199B" w:rsidP="00A6188E">
      <w:pPr>
        <w:spacing w:line="360" w:lineRule="auto"/>
        <w:rPr>
          <w:rFonts w:ascii="Times New Roman" w:eastAsia="MS Mincho" w:hAnsi="Times New Roman"/>
          <w:b/>
          <w:i/>
          <w:color w:val="000000" w:themeColor="text1"/>
          <w:sz w:val="28"/>
          <w:szCs w:val="28"/>
          <w:lang w:val="en-US" w:eastAsia="ja-JP"/>
        </w:rPr>
      </w:pPr>
      <w:bookmarkStart w:id="0" w:name="_GoBack"/>
      <w:bookmarkEnd w:id="0"/>
      <w:r w:rsidRPr="00740FEB">
        <w:rPr>
          <w:rFonts w:ascii="Times New Roman" w:eastAsia="MS Mincho" w:hAnsi="Times New Roman"/>
          <w:b/>
          <w:i/>
          <w:color w:val="000000" w:themeColor="text1"/>
          <w:sz w:val="28"/>
          <w:szCs w:val="28"/>
          <w:lang w:val="en-US" w:eastAsia="ja-JP"/>
        </w:rPr>
        <w:t>Supplement</w:t>
      </w:r>
      <w:r w:rsidR="00A4778E" w:rsidRPr="00740FEB">
        <w:rPr>
          <w:rFonts w:ascii="Times New Roman" w:eastAsia="MS Mincho" w:hAnsi="Times New Roman"/>
          <w:b/>
          <w:i/>
          <w:color w:val="000000" w:themeColor="text1"/>
          <w:sz w:val="28"/>
          <w:szCs w:val="28"/>
          <w:lang w:val="en-US" w:eastAsia="ja-JP"/>
        </w:rPr>
        <w:t>ary Material</w:t>
      </w:r>
    </w:p>
    <w:p w14:paraId="34E99D8F" w14:textId="1551135A" w:rsidR="006932D4" w:rsidRPr="00740FEB" w:rsidRDefault="006932D4" w:rsidP="00A6188E">
      <w:pPr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</w:p>
    <w:p w14:paraId="6C21E6A3" w14:textId="77777777" w:rsidR="006932D4" w:rsidRPr="00740FEB" w:rsidRDefault="006932D4" w:rsidP="00A6188E">
      <w:pPr>
        <w:spacing w:line="360" w:lineRule="auto"/>
        <w:rPr>
          <w:rFonts w:ascii="Times New Roman" w:eastAsia="MS Mincho" w:hAnsi="Times New Roman"/>
          <w:b/>
          <w:bCs/>
          <w:color w:val="000000" w:themeColor="text1"/>
          <w:sz w:val="28"/>
          <w:szCs w:val="28"/>
          <w:lang w:val="en-US" w:eastAsia="ja-JP"/>
        </w:rPr>
      </w:pPr>
      <w:r w:rsidRPr="00740FEB">
        <w:rPr>
          <w:rFonts w:ascii="Times New Roman" w:eastAsia="MS Mincho" w:hAnsi="Times New Roman"/>
          <w:b/>
          <w:bCs/>
          <w:color w:val="000000" w:themeColor="text1"/>
          <w:sz w:val="28"/>
          <w:szCs w:val="28"/>
          <w:lang w:val="en-US" w:eastAsia="ja-JP"/>
        </w:rPr>
        <w:t xml:space="preserve">Shorter time-to-positivity and turnaround time with mycosis blood culture bottles when detecting </w:t>
      </w:r>
      <w:r w:rsidRPr="00740FEB">
        <w:rPr>
          <w:rFonts w:ascii="Times New Roman" w:eastAsia="MS Mincho" w:hAnsi="Times New Roman"/>
          <w:b/>
          <w:bCs/>
          <w:i/>
          <w:color w:val="000000" w:themeColor="text1"/>
          <w:sz w:val="28"/>
          <w:szCs w:val="28"/>
          <w:lang w:val="en-US" w:eastAsia="ja-JP"/>
        </w:rPr>
        <w:t>Candida albicans</w:t>
      </w:r>
    </w:p>
    <w:p w14:paraId="5DED245A" w14:textId="5666DD8D" w:rsidR="006932D4" w:rsidRPr="00740FEB" w:rsidRDefault="006932D4" w:rsidP="00A6188E">
      <w:pPr>
        <w:tabs>
          <w:tab w:val="left" w:pos="720"/>
          <w:tab w:val="left" w:pos="2410"/>
          <w:tab w:val="center" w:pos="4536"/>
          <w:tab w:val="right" w:pos="9072"/>
        </w:tabs>
        <w:spacing w:line="360" w:lineRule="auto"/>
        <w:rPr>
          <w:rFonts w:ascii="Times New Roman" w:eastAsia="MS Mincho" w:hAnsi="Times New Roman"/>
          <w:bCs/>
          <w:color w:val="000000" w:themeColor="text1"/>
          <w:sz w:val="24"/>
          <w:szCs w:val="24"/>
          <w:lang w:eastAsia="ja-JP"/>
        </w:rPr>
      </w:pP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lang w:eastAsia="ja-JP"/>
        </w:rPr>
        <w:t>Jacqueline Färber</w:t>
      </w: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vertAlign w:val="superscript"/>
          <w:lang w:eastAsia="ja-JP"/>
        </w:rPr>
        <w:t>1</w:t>
      </w: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lang w:eastAsia="ja-JP"/>
        </w:rPr>
        <w:t>, Achim J Kaasch</w:t>
      </w: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vertAlign w:val="superscript"/>
          <w:lang w:eastAsia="ja-JP"/>
        </w:rPr>
        <w:t>1</w:t>
      </w: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lang w:eastAsia="ja-JP"/>
        </w:rPr>
        <w:t>,</w:t>
      </w: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vertAlign w:val="superscript"/>
          <w:lang w:eastAsia="ja-JP"/>
        </w:rPr>
        <w:t xml:space="preserve"> </w:t>
      </w: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lang w:eastAsia="ja-JP"/>
        </w:rPr>
        <w:t>Enrico Schalk</w:t>
      </w:r>
      <w:r w:rsidRPr="00740FEB">
        <w:rPr>
          <w:rFonts w:ascii="Times New Roman" w:eastAsia="MS Mincho" w:hAnsi="Times New Roman"/>
          <w:bCs/>
          <w:color w:val="000000" w:themeColor="text1"/>
          <w:sz w:val="24"/>
          <w:szCs w:val="24"/>
          <w:vertAlign w:val="superscript"/>
          <w:lang w:eastAsia="ja-JP"/>
        </w:rPr>
        <w:t>2</w:t>
      </w:r>
    </w:p>
    <w:p w14:paraId="6D986FB4" w14:textId="77777777" w:rsidR="006932D4" w:rsidRPr="00740FEB" w:rsidRDefault="006932D4" w:rsidP="00A6188E">
      <w:pPr>
        <w:tabs>
          <w:tab w:val="left" w:pos="720"/>
          <w:tab w:val="left" w:pos="2410"/>
          <w:tab w:val="center" w:pos="4536"/>
          <w:tab w:val="right" w:pos="9072"/>
        </w:tabs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highlight w:val="yellow"/>
          <w:lang w:eastAsia="ja-JP"/>
        </w:rPr>
      </w:pPr>
    </w:p>
    <w:p w14:paraId="0C023285" w14:textId="2729ECE8" w:rsidR="006932D4" w:rsidRPr="00740FEB" w:rsidRDefault="006932D4" w:rsidP="00A6188E">
      <w:pPr>
        <w:tabs>
          <w:tab w:val="left" w:pos="720"/>
          <w:tab w:val="left" w:pos="2410"/>
          <w:tab w:val="center" w:pos="4536"/>
          <w:tab w:val="right" w:pos="9072"/>
        </w:tabs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vertAlign w:val="superscript"/>
          <w:lang w:val="en-US" w:eastAsia="ja-JP"/>
        </w:rPr>
        <w:t>1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Institute of Medical Microbiology and Hospital Hygiene, Medical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Faculty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 Otto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von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Guericke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University Magdeburg, Magdeburg, Germany</w:t>
      </w:r>
    </w:p>
    <w:p w14:paraId="4B58E1F8" w14:textId="7F3E2B33" w:rsidR="006932D4" w:rsidRPr="00740FEB" w:rsidRDefault="006932D4" w:rsidP="00A6188E">
      <w:pPr>
        <w:tabs>
          <w:tab w:val="left" w:pos="720"/>
          <w:tab w:val="left" w:pos="2410"/>
          <w:tab w:val="center" w:pos="4536"/>
          <w:tab w:val="right" w:pos="9072"/>
        </w:tabs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vertAlign w:val="superscript"/>
          <w:lang w:val="en-US" w:eastAsia="ja-JP"/>
        </w:rPr>
        <w:t>2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Department of Hematology</w:t>
      </w:r>
      <w:r w:rsidR="00A66D31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Oncology</w:t>
      </w:r>
      <w:r w:rsidR="00A66D31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and Cell Therapy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, Medical </w:t>
      </w:r>
      <w:r w:rsidR="00CE2E39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Faculty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 Otto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von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Guericke University Magdeburg, Magdeburg, Germany</w:t>
      </w:r>
    </w:p>
    <w:p w14:paraId="62603058" w14:textId="77777777" w:rsidR="006932D4" w:rsidRPr="00740FEB" w:rsidRDefault="006932D4" w:rsidP="00A6188E">
      <w:pPr>
        <w:spacing w:line="360" w:lineRule="auto"/>
        <w:rPr>
          <w:rFonts w:ascii="Times New Roman" w:eastAsia="MS Mincho" w:hAnsi="Times New Roman"/>
          <w:b/>
          <w:color w:val="000000" w:themeColor="text1"/>
          <w:sz w:val="28"/>
          <w:szCs w:val="28"/>
          <w:lang w:val="en-US" w:eastAsia="ja-JP"/>
        </w:rPr>
      </w:pPr>
    </w:p>
    <w:p w14:paraId="33C1B278" w14:textId="5730E0E2" w:rsidR="00A2199B" w:rsidRPr="00740FEB" w:rsidRDefault="00A2199B" w:rsidP="00A6188E">
      <w:pPr>
        <w:spacing w:line="36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Material and Methods</w:t>
      </w:r>
    </w:p>
    <w:p w14:paraId="2F4F8030" w14:textId="2B73B18A" w:rsidR="00B1468D" w:rsidRPr="00740FEB" w:rsidRDefault="00B1468D" w:rsidP="00A6188E">
      <w:pPr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The study protocol (ENTRY, Effects of delayed Entry into Blood Culture Systems on Culture Positivity) was approved by the Ethics Committee of the Medical Faculty of the Otto</w:t>
      </w:r>
      <w:r w:rsidR="00A029D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von</w:t>
      </w:r>
      <w:r w:rsidR="00A029D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Guericke</w:t>
      </w:r>
      <w:r w:rsidR="00A029D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University Magdeburg, Magdeburg, Germany (approval no. 115/14). All blood donors gave written informed consent.</w:t>
      </w:r>
    </w:p>
    <w:p w14:paraId="53B0FC90" w14:textId="30279196" w:rsidR="00AD1260" w:rsidRPr="00740FEB" w:rsidRDefault="00BA2157" w:rsidP="00A6188E">
      <w:pPr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In</w:t>
      </w:r>
      <w:r w:rsidR="002D6DF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the ENTRY study, a maximum of 378 mL </w:t>
      </w:r>
      <w:r w:rsidR="002709E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whole </w:t>
      </w:r>
      <w:r w:rsidR="002D6DF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b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lood from healthy donors was drawn in 7 mL</w:t>
      </w:r>
      <w:r w:rsidR="002D6DF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Na-Heparin vacutainers </w:t>
      </w:r>
      <w:r w:rsidR="002D6DF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(</w:t>
      </w:r>
      <w:r w:rsidR="002D6DF0" w:rsidRPr="00740FEB">
        <w:rPr>
          <w:rFonts w:ascii="Times New Roman" w:eastAsia="MS Mincho" w:hAnsi="Times New Roman"/>
          <w:i/>
          <w:color w:val="000000" w:themeColor="text1"/>
          <w:sz w:val="24"/>
          <w:szCs w:val="24"/>
          <w:lang w:val="en-US" w:eastAsia="ja-JP"/>
        </w:rPr>
        <w:t>n</w:t>
      </w:r>
      <w:r w:rsidR="002D6DF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=54)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and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was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stored up to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three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days at 4°C.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For spiking blood with yeasts, </w:t>
      </w:r>
      <w:r w:rsidR="00C3655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one vacutainer per experiment with 7 mL </w:t>
      </w:r>
      <w:r w:rsidR="002709E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of individual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blood was warmed up to 38.3°C and immediately inoculated with </w:t>
      </w:r>
      <w:r w:rsidR="00D23AB8" w:rsidRPr="00740FEB">
        <w:rPr>
          <w:rFonts w:ascii="Times New Roman" w:eastAsia="MS Mincho" w:hAnsi="Times New Roman"/>
          <w:i/>
          <w:color w:val="000000" w:themeColor="text1"/>
          <w:sz w:val="24"/>
          <w:szCs w:val="24"/>
          <w:lang w:val="en-US" w:eastAsia="ja-JP"/>
        </w:rPr>
        <w:t>C</w:t>
      </w:r>
      <w:r w:rsidR="00025246" w:rsidRPr="00740FEB">
        <w:rPr>
          <w:rFonts w:ascii="Times New Roman" w:eastAsia="MS Mincho" w:hAnsi="Times New Roman"/>
          <w:i/>
          <w:color w:val="000000" w:themeColor="text1"/>
          <w:sz w:val="24"/>
          <w:szCs w:val="24"/>
          <w:lang w:val="en-US" w:eastAsia="ja-JP"/>
        </w:rPr>
        <w:t>andia</w:t>
      </w:r>
      <w:r w:rsidR="00D23AB8" w:rsidRPr="00740FEB">
        <w:rPr>
          <w:rFonts w:ascii="Times New Roman" w:eastAsia="MS Mincho" w:hAnsi="Times New Roman"/>
          <w:i/>
          <w:color w:val="000000" w:themeColor="text1"/>
          <w:sz w:val="24"/>
          <w:szCs w:val="24"/>
          <w:lang w:val="en-US" w:eastAsia="ja-JP"/>
        </w:rPr>
        <w:t xml:space="preserve"> albicans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ATCC 14035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in saline suspension at a concentration of </w:t>
      </w:r>
      <w:r w:rsidR="00CE01E7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1 to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≤5 CFU/mL.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The inoculum was prepared as follows: </w:t>
      </w:r>
      <w:r w:rsidR="00AD1260" w:rsidRPr="00740FEB">
        <w:rPr>
          <w:rFonts w:ascii="Times New Roman" w:eastAsia="MS Mincho" w:hAnsi="Times New Roman"/>
          <w:i/>
          <w:color w:val="000000" w:themeColor="text1"/>
          <w:sz w:val="24"/>
          <w:szCs w:val="24"/>
          <w:lang w:val="en-US" w:eastAsia="ja-JP"/>
        </w:rPr>
        <w:t>C. albicans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was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cultured from frozen stock with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two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consecutive subcultures on 5% Sheep Blood Agar plates for 16-24 hours in an aerobic atmosphere at 35 ± 1°C.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C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olonies were collected from the second subculture and transferred in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to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a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sterile solution of 0.9% sodium chloride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.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S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ubsequent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ly,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serial dilution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w</w:t>
      </w:r>
      <w:r w:rsidR="00CE2E39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as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performed and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the concentration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of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viable yeasts </w:t>
      </w:r>
      <w:r w:rsidR="00AD126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in suspension was determined by culture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on 5% Sheep Blood Agar plates. </w:t>
      </w:r>
    </w:p>
    <w:p w14:paraId="729DFA1A" w14:textId="285C1A65" w:rsidR="000165E5" w:rsidRPr="00740FEB" w:rsidRDefault="00AD1260" w:rsidP="00A6188E">
      <w:pPr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Spiked </w:t>
      </w:r>
      <w:r w:rsidR="002D38F6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7 mL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blood was transferred in BACTEC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vertAlign w:val="superscript"/>
          <w:lang w:val="en-US" w:eastAsia="ja-JP"/>
        </w:rPr>
        <w:t>™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Plus Aerobic/F (“Aerobic”), Anaerobic/F (“Anaerobic”), Lytic 10 Anaerobic/F (“Lytic”) and Mycosis-IC/F (“Mycosis”) </w:t>
      </w:r>
      <w:r w:rsidR="00EB1E6A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blood culture (BC)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bottles and incubated in BACTEC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vertAlign w:val="superscript"/>
          <w:lang w:val="en-US" w:eastAsia="ja-JP"/>
        </w:rPr>
        <w:t>™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9120 or 9240 BC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instruments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. </w:t>
      </w:r>
      <w:r w:rsidR="008757E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The 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inoculated </w:t>
      </w:r>
      <w:r w:rsidR="008757E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BC bottles were transferred into the incubator immediately (hour 0) or stored at 20-25°C and transferred with a delay of 2, 4, 8, 12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</w:t>
      </w:r>
      <w:r w:rsidR="008757E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and 16 hours, respectively, for a 5-day incubation protocol.</w:t>
      </w:r>
      <w:r w:rsidR="00A029D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Upon detection of </w:t>
      </w:r>
      <w:r w:rsidR="00EC6E1B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one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or more positive </w:t>
      </w:r>
      <w:r w:rsidR="00EC6E1B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BC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bottles</w:t>
      </w:r>
      <w:r w:rsidR="00EC6E1B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the</w:t>
      </w:r>
      <w:r w:rsidR="0083399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time-to-positivity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83399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(TTP)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was noted. After the incubation period, all bottles (positive signal and no positive signal) were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lastRenderedPageBreak/>
        <w:t xml:space="preserve">sub-cultured with </w:t>
      </w:r>
      <w:r w:rsidR="00CE2E39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two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drops from each bottle on standard bacteriology media at 35 ± 1°C in an aerobic atmosphere to verify the growth in every bottle. Each experiment was repeated </w:t>
      </w:r>
      <w:r w:rsidR="00F11DCB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three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times for each </w:t>
      </w:r>
      <w:r w:rsidR="000165E5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of the </w:t>
      </w:r>
      <w:r w:rsidR="00CE2E39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six</w:t>
      </w:r>
      <w:r w:rsidR="000165E5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different time points. A summary and example is given in </w:t>
      </w:r>
      <w:r w:rsidR="000165E5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Fig</w:t>
      </w:r>
      <w:r w:rsidR="00F46B73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 xml:space="preserve">. </w:t>
      </w:r>
      <w:r w:rsidR="000165E5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S1</w:t>
      </w:r>
      <w:r w:rsidR="000165E5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.</w:t>
      </w:r>
    </w:p>
    <w:p w14:paraId="706F53A1" w14:textId="0F98C3D8" w:rsidR="00D23AB8" w:rsidRPr="00740FEB" w:rsidRDefault="00D23AB8" w:rsidP="00A6188E">
      <w:pPr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All materials and equipment mentioned here were by Becton Dickinson, Heidelberg, Germany.</w:t>
      </w:r>
    </w:p>
    <w:p w14:paraId="5EA30804" w14:textId="6CDC12A8" w:rsidR="00D23AB8" w:rsidRPr="00740FEB" w:rsidRDefault="00EC6E1B" w:rsidP="00A6188E">
      <w:pPr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We addressed the influence of incubation delay due to transport and opening hours on </w:t>
      </w:r>
      <w:r w:rsidR="009A3CDC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the t</w:t>
      </w:r>
      <w:r w:rsidR="009A3CDC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urnaround time</w:t>
      </w:r>
      <w:r w:rsidR="009A3CDC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(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TAT</w:t>
      </w:r>
      <w:r w:rsidR="009A3CDC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)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by simulation.</w:t>
      </w:r>
      <w:r w:rsidR="00FD76B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TAT </w:t>
      </w:r>
      <w:r w:rsidR="00F4593D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was calculated </w:t>
      </w:r>
      <w:r w:rsidR="00BD3D52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summing up the </w:t>
      </w:r>
      <w:r w:rsidR="00F4593D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incubation delay </w:t>
      </w:r>
      <w:r w:rsidR="00BD3D52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(</w:t>
      </w:r>
      <w:r w:rsidR="00F4593D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transport times of the BC of 2, 4, 8, 12, and 16 hours</w:t>
      </w:r>
      <w:r w:rsidR="00323EF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)</w:t>
      </w:r>
      <w:r w:rsidR="00BD3D52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BD3D52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delays caused by</w:t>
      </w:r>
      <w:r w:rsidR="00F4593D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the laboratory working </w:t>
      </w:r>
      <w:r w:rsidR="00323EF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hours </w:t>
      </w:r>
      <w:r w:rsidR="00F4593D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(</w:t>
      </w:r>
      <w:r w:rsidR="00323EF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from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07:00 a.m. </w:t>
      </w:r>
      <w:r w:rsidR="00323EF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to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6:00 p.m. on workdays</w:t>
      </w:r>
      <w:r w:rsidR="00F4593D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)</w:t>
      </w:r>
      <w:r w:rsidR="00BD3D52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</w:t>
      </w:r>
      <w:r w:rsidR="008751E7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</w:t>
      </w:r>
      <w:r w:rsidR="00BD3D52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and </w:t>
      </w:r>
      <w:r w:rsidR="008751E7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the TTP data 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derived </w:t>
      </w:r>
      <w:r w:rsidR="008751E7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fr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o</w:t>
      </w:r>
      <w:r w:rsidR="008751E7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m this 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study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(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an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example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is given in </w:t>
      </w:r>
      <w:r w:rsidR="008E1420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Fig</w:t>
      </w:r>
      <w:r w:rsidR="00F46B73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.</w:t>
      </w:r>
      <w:r w:rsidR="008E1420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 xml:space="preserve"> S2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: </w:t>
      </w:r>
      <w:r w:rsidR="00323EF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a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BC drawn </w:t>
      </w:r>
      <w:r w:rsidR="00323EF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at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03:00 a.m., 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transport time 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of </w:t>
      </w:r>
      <w:r w:rsidR="00CE2E39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four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hours, the BC 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instrument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signals for positivity after 38 hours</w:t>
      </w:r>
      <w:r w:rsidR="001A72A5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, reporting delay of ten hours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– in sum, the TAT was</w:t>
      </w:r>
      <w:r w:rsidR="008E1420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52 hours)</w:t>
      </w:r>
      <w:r w:rsidR="00D23AB8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.</w:t>
      </w:r>
    </w:p>
    <w:p w14:paraId="7DD3CAC5" w14:textId="77777777" w:rsidR="008E1420" w:rsidRPr="00740FEB" w:rsidRDefault="008E1420" w:rsidP="00A6188E">
      <w:pPr>
        <w:spacing w:line="36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13E857AD" w14:textId="052BD695" w:rsidR="00A2199B" w:rsidRPr="00740FEB" w:rsidRDefault="00A2199B" w:rsidP="00A6188E">
      <w:pPr>
        <w:spacing w:line="36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S</w:t>
      </w:r>
      <w:r w:rsidR="007D0316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tatistical analyses</w:t>
      </w:r>
    </w:p>
    <w:p w14:paraId="6E34A7B3" w14:textId="468D8F7F" w:rsidR="00332A5C" w:rsidRPr="00740FEB" w:rsidRDefault="00D23AB8" w:rsidP="00A6188E">
      <w:pPr>
        <w:spacing w:line="36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For comparison of means of TTP and TAT Student’s t-test was used. Two-sided </w:t>
      </w:r>
      <w:r w:rsidR="004E203E" w:rsidRPr="00740FEB">
        <w:rPr>
          <w:rFonts w:ascii="Times New Roman" w:eastAsia="MS Mincho" w:hAnsi="Times New Roman"/>
          <w:i/>
          <w:color w:val="000000" w:themeColor="text1"/>
          <w:sz w:val="24"/>
          <w:szCs w:val="24"/>
          <w:lang w:val="en-US" w:eastAsia="ja-JP"/>
        </w:rPr>
        <w:t>p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values &lt;</w:t>
      </w:r>
      <w:r w:rsidR="004E203E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0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.05 were considered statistically significant. Statistical analysis was carried out using SPSS, version 26</w:t>
      </w:r>
      <w:r w:rsidR="007D0316"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 xml:space="preserve"> (IBM, Armonk, NY, USA)</w:t>
      </w:r>
      <w:r w:rsidRPr="00740FEB"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  <w:t>.</w:t>
      </w:r>
    </w:p>
    <w:p w14:paraId="4B84E5E1" w14:textId="5CBCBCA7" w:rsidR="00D46585" w:rsidRPr="00740FEB" w:rsidRDefault="00D46585" w:rsidP="00A2199B">
      <w:pPr>
        <w:spacing w:line="480" w:lineRule="auto"/>
        <w:rPr>
          <w:rFonts w:ascii="Times New Roman" w:eastAsia="MS Mincho" w:hAnsi="Times New Roman"/>
          <w:color w:val="000000" w:themeColor="text1"/>
          <w:sz w:val="24"/>
          <w:szCs w:val="24"/>
          <w:lang w:val="en-US" w:eastAsia="ja-JP"/>
        </w:rPr>
      </w:pPr>
    </w:p>
    <w:p w14:paraId="45D9562C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220E75AD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6033F9DE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2C4BEAD7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57FD4F1D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0124B8C5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26387F1B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449D1776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350EF578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60493BB6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1B5CD985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75996459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38F40C4B" w14:textId="77777777" w:rsidR="00A6188E" w:rsidRPr="00740FEB" w:rsidRDefault="00A6188E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</w:p>
    <w:p w14:paraId="4F9E326D" w14:textId="083A2041" w:rsidR="00BA7163" w:rsidRPr="00740FEB" w:rsidRDefault="0021257F" w:rsidP="00A2199B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 xml:space="preserve">Supplementary </w:t>
      </w:r>
      <w:r w:rsidR="00BA7163"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t>Figures</w:t>
      </w:r>
    </w:p>
    <w:p w14:paraId="7498AB12" w14:textId="23CD725B" w:rsidR="00D46585" w:rsidRDefault="009943BD" w:rsidP="00D46585">
      <w:pPr>
        <w:spacing w:line="480" w:lineRule="auto"/>
        <w:jc w:val="center"/>
        <w:rPr>
          <w:rFonts w:ascii="Times New Roman" w:eastAsia="MS Mincho" w:hAnsi="Times New Roman"/>
          <w:sz w:val="24"/>
          <w:szCs w:val="24"/>
          <w:lang w:val="en-US" w:eastAsia="ja-JP"/>
        </w:rPr>
      </w:pPr>
      <w:r>
        <w:rPr>
          <w:rFonts w:ascii="Times New Roman" w:eastAsia="MS Mincho" w:hAnsi="Times New Roman"/>
          <w:noProof/>
          <w:sz w:val="24"/>
          <w:szCs w:val="24"/>
        </w:rPr>
        <w:drawing>
          <wp:inline distT="0" distB="0" distL="0" distR="0" wp14:anchorId="03AF0760" wp14:editId="62710503">
            <wp:extent cx="4709951" cy="4651513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54" cy="46532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A3C67D" w14:textId="7AD50F3D" w:rsidR="00BA7163" w:rsidRDefault="00BA7163" w:rsidP="00A6188E">
      <w:pPr>
        <w:spacing w:line="360" w:lineRule="auto"/>
        <w:rPr>
          <w:rFonts w:ascii="Times New Roman" w:eastAsia="MS Mincho" w:hAnsi="Times New Roman"/>
          <w:sz w:val="24"/>
          <w:szCs w:val="24"/>
          <w:lang w:val="en-US" w:eastAsia="ja-JP"/>
        </w:rPr>
      </w:pPr>
      <w:r w:rsidRPr="00D46585">
        <w:rPr>
          <w:rFonts w:ascii="Times New Roman" w:eastAsia="MS Mincho" w:hAnsi="Times New Roman"/>
          <w:b/>
          <w:sz w:val="24"/>
          <w:szCs w:val="24"/>
          <w:lang w:val="en-US" w:eastAsia="ja-JP"/>
        </w:rPr>
        <w:t>Supplementary Fig</w:t>
      </w:r>
      <w:r w:rsidR="00552048">
        <w:rPr>
          <w:rFonts w:ascii="Times New Roman" w:eastAsia="MS Mincho" w:hAnsi="Times New Roman"/>
          <w:b/>
          <w:sz w:val="24"/>
          <w:szCs w:val="24"/>
          <w:lang w:val="en-US" w:eastAsia="ja-JP"/>
        </w:rPr>
        <w:t>.</w:t>
      </w:r>
      <w:r w:rsidRPr="00D46585">
        <w:rPr>
          <w:rFonts w:ascii="Times New Roman" w:eastAsia="MS Mincho" w:hAnsi="Times New Roman"/>
          <w:b/>
          <w:sz w:val="24"/>
          <w:szCs w:val="24"/>
          <w:lang w:val="en-US" w:eastAsia="ja-JP"/>
        </w:rPr>
        <w:t xml:space="preserve"> S1</w:t>
      </w:r>
      <w:r w:rsidR="00C06481">
        <w:rPr>
          <w:rFonts w:ascii="Times New Roman" w:eastAsia="MS Mincho" w:hAnsi="Times New Roman"/>
          <w:sz w:val="24"/>
          <w:szCs w:val="24"/>
          <w:lang w:val="en-US" w:eastAsia="ja-JP"/>
        </w:rPr>
        <w:t xml:space="preserve"> Flow chart of the experiment</w:t>
      </w:r>
      <w:r w:rsidR="00BB3DC1">
        <w:rPr>
          <w:rFonts w:ascii="Times New Roman" w:eastAsia="MS Mincho" w:hAnsi="Times New Roman"/>
          <w:sz w:val="24"/>
          <w:szCs w:val="24"/>
          <w:lang w:val="en-US" w:eastAsia="ja-JP"/>
        </w:rPr>
        <w:t>, example for Mycosis blood culture bottle, incubation delay of 8 hours.</w:t>
      </w:r>
    </w:p>
    <w:p w14:paraId="10EC07DF" w14:textId="14703488" w:rsidR="00FA170C" w:rsidRPr="00C06481" w:rsidRDefault="00FA170C" w:rsidP="00A6188E">
      <w:pPr>
        <w:spacing w:line="360" w:lineRule="auto"/>
        <w:rPr>
          <w:rFonts w:ascii="Times New Roman" w:eastAsia="MS Mincho" w:hAnsi="Times New Roman"/>
          <w:sz w:val="24"/>
          <w:szCs w:val="24"/>
          <w:lang w:val="en-US" w:eastAsia="ja-JP"/>
        </w:rPr>
      </w:pPr>
      <w:r>
        <w:rPr>
          <w:rFonts w:ascii="Times New Roman" w:eastAsia="MS Mincho" w:hAnsi="Times New Roman"/>
          <w:sz w:val="24"/>
          <w:szCs w:val="24"/>
          <w:lang w:val="en-US" w:eastAsia="ja-JP"/>
        </w:rPr>
        <w:t>TTP, time-to-positivity.</w:t>
      </w:r>
    </w:p>
    <w:p w14:paraId="27C4EF5B" w14:textId="7CDD238E" w:rsidR="00EF5923" w:rsidRDefault="00EF5923" w:rsidP="00A2199B">
      <w:pPr>
        <w:spacing w:line="480" w:lineRule="auto"/>
        <w:rPr>
          <w:rFonts w:ascii="Times New Roman" w:eastAsia="MS Mincho" w:hAnsi="Times New Roman"/>
          <w:sz w:val="24"/>
          <w:szCs w:val="24"/>
          <w:lang w:val="en-US" w:eastAsia="ja-JP"/>
        </w:rPr>
      </w:pPr>
    </w:p>
    <w:p w14:paraId="71708227" w14:textId="20685E21" w:rsidR="00BA7163" w:rsidRDefault="00BA7163" w:rsidP="00A2199B">
      <w:pPr>
        <w:spacing w:line="480" w:lineRule="auto"/>
        <w:rPr>
          <w:rFonts w:ascii="Times New Roman" w:eastAsia="MS Mincho" w:hAnsi="Times New Roman"/>
          <w:sz w:val="24"/>
          <w:szCs w:val="24"/>
          <w:lang w:val="en-US" w:eastAsia="ja-JP"/>
        </w:rPr>
      </w:pPr>
      <w:r>
        <w:rPr>
          <w:rFonts w:ascii="Times New Roman" w:eastAsia="MS Mincho" w:hAnsi="Times New Roman"/>
          <w:noProof/>
          <w:sz w:val="24"/>
          <w:szCs w:val="24"/>
        </w:rPr>
        <w:lastRenderedPageBreak/>
        <w:drawing>
          <wp:inline distT="0" distB="0" distL="0" distR="0" wp14:anchorId="7DD1DC52" wp14:editId="05287850">
            <wp:extent cx="6168632" cy="4007458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581" cy="4012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502A21" w14:textId="5EF25F8A" w:rsidR="00D46585" w:rsidRDefault="00BA7163" w:rsidP="00A6188E">
      <w:pPr>
        <w:spacing w:line="360" w:lineRule="auto"/>
        <w:rPr>
          <w:rFonts w:ascii="Times New Roman" w:eastAsia="MS Mincho" w:hAnsi="Times New Roman"/>
          <w:sz w:val="24"/>
          <w:szCs w:val="24"/>
          <w:lang w:val="en-US" w:eastAsia="ja-JP"/>
        </w:rPr>
      </w:pPr>
      <w:r w:rsidRPr="00D46585">
        <w:rPr>
          <w:rFonts w:ascii="Times New Roman" w:eastAsia="MS Mincho" w:hAnsi="Times New Roman"/>
          <w:b/>
          <w:sz w:val="24"/>
          <w:szCs w:val="24"/>
          <w:lang w:val="en-US" w:eastAsia="ja-JP"/>
        </w:rPr>
        <w:t>Supplementary Fig</w:t>
      </w:r>
      <w:r w:rsidR="00552048">
        <w:rPr>
          <w:rFonts w:ascii="Times New Roman" w:eastAsia="MS Mincho" w:hAnsi="Times New Roman"/>
          <w:b/>
          <w:sz w:val="24"/>
          <w:szCs w:val="24"/>
          <w:lang w:val="en-US" w:eastAsia="ja-JP"/>
        </w:rPr>
        <w:t>.</w:t>
      </w:r>
      <w:r w:rsidRPr="00D46585">
        <w:rPr>
          <w:rFonts w:ascii="Times New Roman" w:eastAsia="MS Mincho" w:hAnsi="Times New Roman"/>
          <w:b/>
          <w:sz w:val="24"/>
          <w:szCs w:val="24"/>
          <w:lang w:val="en-US" w:eastAsia="ja-JP"/>
        </w:rPr>
        <w:t xml:space="preserve"> S2</w:t>
      </w:r>
      <w:r>
        <w:rPr>
          <w:rFonts w:ascii="Times New Roman" w:eastAsia="MS Mincho" w:hAnsi="Times New Roman"/>
          <w:b/>
          <w:sz w:val="24"/>
          <w:szCs w:val="24"/>
          <w:lang w:val="en-US" w:eastAsia="ja-JP"/>
        </w:rPr>
        <w:t xml:space="preserve"> </w:t>
      </w:r>
      <w:r>
        <w:rPr>
          <w:rFonts w:ascii="Times New Roman" w:eastAsia="MS Mincho" w:hAnsi="Times New Roman"/>
          <w:sz w:val="24"/>
          <w:szCs w:val="24"/>
          <w:lang w:val="en-US" w:eastAsia="ja-JP"/>
        </w:rPr>
        <w:t xml:space="preserve">Example for </w:t>
      </w:r>
      <w:r w:rsidR="009943BD">
        <w:rPr>
          <w:rFonts w:ascii="Times New Roman" w:eastAsia="MS Mincho" w:hAnsi="Times New Roman"/>
          <w:sz w:val="24"/>
          <w:szCs w:val="24"/>
          <w:lang w:val="en-US" w:eastAsia="ja-JP"/>
        </w:rPr>
        <w:t xml:space="preserve">determination of </w:t>
      </w:r>
      <w:r>
        <w:rPr>
          <w:rFonts w:ascii="Times New Roman" w:eastAsia="MS Mincho" w:hAnsi="Times New Roman"/>
          <w:sz w:val="24"/>
          <w:szCs w:val="24"/>
          <w:lang w:val="en-US" w:eastAsia="ja-JP"/>
        </w:rPr>
        <w:t>turnaround time.</w:t>
      </w:r>
    </w:p>
    <w:p w14:paraId="5484E281" w14:textId="49CFCB66" w:rsidR="00F266D1" w:rsidRDefault="00F266D1" w:rsidP="00A6188E">
      <w:pPr>
        <w:spacing w:line="360" w:lineRule="auto"/>
        <w:rPr>
          <w:rFonts w:ascii="Times New Roman" w:eastAsia="MS Mincho" w:hAnsi="Times New Roman"/>
          <w:sz w:val="24"/>
          <w:szCs w:val="24"/>
          <w:lang w:val="en-US" w:eastAsia="ja-JP"/>
        </w:rPr>
      </w:pPr>
    </w:p>
    <w:p w14:paraId="30BD7064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23F8E6FA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7FE97C50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3BA1720E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5E59942B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4CC8D6D8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2C7B10FC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7816EA2E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0B7FBEDC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5C695E57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7BF2ABF3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7CF4A354" w14:textId="77777777" w:rsidR="00B9053F" w:rsidRDefault="00B9053F" w:rsidP="00F266D1">
      <w:pPr>
        <w:spacing w:line="480" w:lineRule="auto"/>
        <w:rPr>
          <w:rFonts w:ascii="Times New Roman" w:eastAsia="MS Mincho" w:hAnsi="Times New Roman"/>
          <w:b/>
          <w:color w:val="FF0000"/>
          <w:sz w:val="24"/>
          <w:szCs w:val="24"/>
          <w:lang w:val="en-US" w:eastAsia="ja-JP"/>
        </w:rPr>
      </w:pPr>
    </w:p>
    <w:p w14:paraId="28EE2B5C" w14:textId="67BA9BB7" w:rsidR="00F266D1" w:rsidRPr="00740FEB" w:rsidRDefault="00F266D1" w:rsidP="00F266D1">
      <w:pPr>
        <w:spacing w:line="480" w:lineRule="auto"/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</w:pPr>
      <w:r w:rsidRPr="00740FEB">
        <w:rPr>
          <w:rFonts w:ascii="Times New Roman" w:eastAsia="MS Mincho" w:hAnsi="Times New Roman"/>
          <w:b/>
          <w:color w:val="000000" w:themeColor="text1"/>
          <w:sz w:val="24"/>
          <w:szCs w:val="24"/>
          <w:lang w:val="en-US" w:eastAsia="ja-JP"/>
        </w:rPr>
        <w:lastRenderedPageBreak/>
        <w:t>Supplementary Table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740FEB" w:rsidRPr="00740FEB" w14:paraId="680FA7F0" w14:textId="77777777" w:rsidTr="00552048">
        <w:tc>
          <w:tcPr>
            <w:tcW w:w="8505" w:type="dxa"/>
            <w:gridSpan w:val="5"/>
            <w:tcBorders>
              <w:top w:val="nil"/>
            </w:tcBorders>
          </w:tcPr>
          <w:p w14:paraId="7EC1B37C" w14:textId="74CB368D" w:rsidR="00552048" w:rsidRPr="00740FEB" w:rsidRDefault="00552048" w:rsidP="00552048">
            <w:pPr>
              <w:spacing w:line="360" w:lineRule="auto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Table S1.</w:t>
            </w: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 xml:space="preserve"> Simulated turnaround time for Mycosis and Aerobic blood cultures</w:t>
            </w:r>
          </w:p>
        </w:tc>
      </w:tr>
      <w:tr w:rsidR="00740FEB" w:rsidRPr="00740FEB" w14:paraId="1E955F4E" w14:textId="77777777" w:rsidTr="002F651A">
        <w:tc>
          <w:tcPr>
            <w:tcW w:w="1701" w:type="dxa"/>
          </w:tcPr>
          <w:p w14:paraId="3BAA80D3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Incubation delay</w:t>
            </w:r>
          </w:p>
          <w:p w14:paraId="171CE1F1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Hour</w:t>
            </w:r>
          </w:p>
        </w:tc>
        <w:tc>
          <w:tcPr>
            <w:tcW w:w="1701" w:type="dxa"/>
          </w:tcPr>
          <w:p w14:paraId="4A14925F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eastAsia="ja-JP"/>
              </w:rPr>
              <w:t>Mycosis BC TAT [h]</w:t>
            </w:r>
          </w:p>
          <w:p w14:paraId="12402CB8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eastAsia="ja-JP"/>
              </w:rPr>
              <w:t>(range</w:t>
            </w: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vertAlign w:val="superscript"/>
                <w:lang w:eastAsia="ja-JP"/>
              </w:rPr>
              <w:t>b</w:t>
            </w: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eastAsia="ja-JP"/>
              </w:rPr>
              <w:t>)</w:t>
            </w:r>
          </w:p>
        </w:tc>
        <w:tc>
          <w:tcPr>
            <w:tcW w:w="1701" w:type="dxa"/>
          </w:tcPr>
          <w:p w14:paraId="43003907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Aerobic BC TAT [h]</w:t>
            </w:r>
          </w:p>
          <w:p w14:paraId="7A98A57E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(range</w:t>
            </w: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vertAlign w:val="superscript"/>
                <w:lang w:val="en-US" w:eastAsia="ja-JP"/>
              </w:rPr>
              <w:t>b</w:t>
            </w: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)</w:t>
            </w:r>
          </w:p>
        </w:tc>
        <w:tc>
          <w:tcPr>
            <w:tcW w:w="1701" w:type="dxa"/>
          </w:tcPr>
          <w:p w14:paraId="4D11DED0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Difference TAT [h]</w:t>
            </w:r>
          </w:p>
          <w:p w14:paraId="419DBE22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(range</w:t>
            </w: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vertAlign w:val="superscript"/>
                <w:lang w:val="en-US" w:eastAsia="ja-JP"/>
              </w:rPr>
              <w:t>b</w:t>
            </w: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>)</w:t>
            </w:r>
          </w:p>
        </w:tc>
        <w:tc>
          <w:tcPr>
            <w:tcW w:w="1701" w:type="dxa"/>
          </w:tcPr>
          <w:p w14:paraId="5B93FFC2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i/>
                <w:color w:val="000000" w:themeColor="text1"/>
                <w:sz w:val="24"/>
                <w:szCs w:val="24"/>
                <w:lang w:val="en-US" w:eastAsia="ja-JP"/>
              </w:rPr>
            </w:pPr>
          </w:p>
          <w:p w14:paraId="57C79469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b/>
                <w:i/>
                <w:color w:val="000000" w:themeColor="text1"/>
                <w:sz w:val="24"/>
                <w:szCs w:val="24"/>
                <w:lang w:val="en-US" w:eastAsia="ja-JP"/>
              </w:rPr>
              <w:t>P</w:t>
            </w:r>
            <w:r w:rsidRPr="00740FEB"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  <w:t xml:space="preserve"> value</w:t>
            </w:r>
          </w:p>
        </w:tc>
      </w:tr>
      <w:tr w:rsidR="00740FEB" w:rsidRPr="00740FEB" w14:paraId="27C6C8BA" w14:textId="77777777" w:rsidTr="002F651A">
        <w:tc>
          <w:tcPr>
            <w:tcW w:w="1701" w:type="dxa"/>
          </w:tcPr>
          <w:p w14:paraId="63760109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2</w:t>
            </w:r>
          </w:p>
        </w:tc>
        <w:tc>
          <w:tcPr>
            <w:tcW w:w="1701" w:type="dxa"/>
          </w:tcPr>
          <w:p w14:paraId="41129DF8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42.25</w:t>
            </w:r>
          </w:p>
          <w:p w14:paraId="02431BEC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(36 – 48)</w:t>
            </w:r>
          </w:p>
        </w:tc>
        <w:tc>
          <w:tcPr>
            <w:tcW w:w="1701" w:type="dxa"/>
          </w:tcPr>
          <w:p w14:paraId="6392E4A1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59.25</w:t>
            </w:r>
          </w:p>
          <w:p w14:paraId="1559E1AA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(55 – 67)</w:t>
            </w:r>
          </w:p>
        </w:tc>
        <w:tc>
          <w:tcPr>
            <w:tcW w:w="1701" w:type="dxa"/>
          </w:tcPr>
          <w:p w14:paraId="3432F3D3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17.00</w:t>
            </w:r>
          </w:p>
          <w:p w14:paraId="21C0C0EB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(7 – 24)</w:t>
            </w:r>
          </w:p>
        </w:tc>
        <w:tc>
          <w:tcPr>
            <w:tcW w:w="1701" w:type="dxa"/>
          </w:tcPr>
          <w:p w14:paraId="7AB5B3FC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i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&lt;.001</w:t>
            </w:r>
          </w:p>
        </w:tc>
      </w:tr>
      <w:tr w:rsidR="00740FEB" w:rsidRPr="00740FEB" w14:paraId="60A5A375" w14:textId="77777777" w:rsidTr="002F651A">
        <w:tc>
          <w:tcPr>
            <w:tcW w:w="1701" w:type="dxa"/>
          </w:tcPr>
          <w:p w14:paraId="100F5CEB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4</w:t>
            </w:r>
          </w:p>
        </w:tc>
        <w:tc>
          <w:tcPr>
            <w:tcW w:w="1701" w:type="dxa"/>
          </w:tcPr>
          <w:p w14:paraId="386C5294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27.75</w:t>
            </w:r>
          </w:p>
          <w:p w14:paraId="2EA8BBE0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(28 – 28)</w:t>
            </w:r>
          </w:p>
        </w:tc>
        <w:tc>
          <w:tcPr>
            <w:tcW w:w="1701" w:type="dxa"/>
          </w:tcPr>
          <w:p w14:paraId="1A3C5E7D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46.58</w:t>
            </w:r>
          </w:p>
          <w:p w14:paraId="19019A49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(42 – 52)</w:t>
            </w:r>
          </w:p>
        </w:tc>
        <w:tc>
          <w:tcPr>
            <w:tcW w:w="1701" w:type="dxa"/>
          </w:tcPr>
          <w:p w14:paraId="6D8890D3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18.83</w:t>
            </w:r>
          </w:p>
          <w:p w14:paraId="2B28D23C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(14 – 24)</w:t>
            </w:r>
          </w:p>
        </w:tc>
        <w:tc>
          <w:tcPr>
            <w:tcW w:w="1701" w:type="dxa"/>
          </w:tcPr>
          <w:p w14:paraId="58160AB5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i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&lt;.001</w:t>
            </w:r>
          </w:p>
        </w:tc>
      </w:tr>
      <w:tr w:rsidR="00740FEB" w:rsidRPr="00740FEB" w14:paraId="243452FC" w14:textId="77777777" w:rsidTr="002F651A">
        <w:tc>
          <w:tcPr>
            <w:tcW w:w="1701" w:type="dxa"/>
          </w:tcPr>
          <w:p w14:paraId="4D7CBA50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8</w:t>
            </w:r>
          </w:p>
        </w:tc>
        <w:tc>
          <w:tcPr>
            <w:tcW w:w="1701" w:type="dxa"/>
          </w:tcPr>
          <w:p w14:paraId="45045DBD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30.23</w:t>
            </w:r>
          </w:p>
          <w:p w14:paraId="538CEADC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(30 – 32)</w:t>
            </w:r>
          </w:p>
        </w:tc>
        <w:tc>
          <w:tcPr>
            <w:tcW w:w="1701" w:type="dxa"/>
          </w:tcPr>
          <w:p w14:paraId="601AD389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41.92</w:t>
            </w:r>
          </w:p>
          <w:p w14:paraId="003211E7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(38 – 49)</w:t>
            </w:r>
          </w:p>
        </w:tc>
        <w:tc>
          <w:tcPr>
            <w:tcW w:w="1701" w:type="dxa"/>
          </w:tcPr>
          <w:p w14:paraId="1BE58A4F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11.69</w:t>
            </w:r>
          </w:p>
          <w:p w14:paraId="4FF7C5CD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(6 – 19)</w:t>
            </w:r>
          </w:p>
        </w:tc>
        <w:tc>
          <w:tcPr>
            <w:tcW w:w="1701" w:type="dxa"/>
          </w:tcPr>
          <w:p w14:paraId="6F6C2E2C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i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&lt;.001</w:t>
            </w:r>
          </w:p>
        </w:tc>
      </w:tr>
      <w:tr w:rsidR="00740FEB" w:rsidRPr="00740FEB" w14:paraId="29750657" w14:textId="77777777" w:rsidTr="002F651A">
        <w:tc>
          <w:tcPr>
            <w:tcW w:w="1701" w:type="dxa"/>
          </w:tcPr>
          <w:p w14:paraId="066050E9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12</w:t>
            </w:r>
          </w:p>
        </w:tc>
        <w:tc>
          <w:tcPr>
            <w:tcW w:w="1701" w:type="dxa"/>
          </w:tcPr>
          <w:p w14:paraId="380CB96F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34.08</w:t>
            </w:r>
          </w:p>
          <w:p w14:paraId="5B32B967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(34 – 35)</w:t>
            </w:r>
          </w:p>
        </w:tc>
        <w:tc>
          <w:tcPr>
            <w:tcW w:w="1701" w:type="dxa"/>
          </w:tcPr>
          <w:p w14:paraId="43FF9BB4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51.00</w:t>
            </w:r>
          </w:p>
          <w:p w14:paraId="400528D3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(46 – 57)</w:t>
            </w:r>
          </w:p>
        </w:tc>
        <w:tc>
          <w:tcPr>
            <w:tcW w:w="1701" w:type="dxa"/>
          </w:tcPr>
          <w:p w14:paraId="20FBF7BA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16.92</w:t>
            </w:r>
          </w:p>
          <w:p w14:paraId="7D5B6293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(11 – 23)</w:t>
            </w:r>
          </w:p>
        </w:tc>
        <w:tc>
          <w:tcPr>
            <w:tcW w:w="1701" w:type="dxa"/>
          </w:tcPr>
          <w:p w14:paraId="35E19099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i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&lt;.001</w:t>
            </w:r>
          </w:p>
        </w:tc>
      </w:tr>
      <w:tr w:rsidR="00740FEB" w:rsidRPr="00740FEB" w14:paraId="27B3282A" w14:textId="77777777" w:rsidTr="002F651A">
        <w:tc>
          <w:tcPr>
            <w:tcW w:w="1701" w:type="dxa"/>
          </w:tcPr>
          <w:p w14:paraId="0980F965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16</w:t>
            </w:r>
          </w:p>
        </w:tc>
        <w:tc>
          <w:tcPr>
            <w:tcW w:w="1701" w:type="dxa"/>
          </w:tcPr>
          <w:p w14:paraId="33EC5D9A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35.62</w:t>
            </w:r>
          </w:p>
          <w:p w14:paraId="0DCFA27B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(34 – 40)</w:t>
            </w:r>
          </w:p>
        </w:tc>
        <w:tc>
          <w:tcPr>
            <w:tcW w:w="1701" w:type="dxa"/>
          </w:tcPr>
          <w:p w14:paraId="719911BC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39.08</w:t>
            </w:r>
          </w:p>
          <w:p w14:paraId="184A5D53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(39 – 40)</w:t>
            </w:r>
          </w:p>
        </w:tc>
        <w:tc>
          <w:tcPr>
            <w:tcW w:w="1701" w:type="dxa"/>
          </w:tcPr>
          <w:p w14:paraId="77EAEEB9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3.46</w:t>
            </w:r>
          </w:p>
          <w:p w14:paraId="0AD52A8B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(0 – 5)</w:t>
            </w:r>
          </w:p>
        </w:tc>
        <w:tc>
          <w:tcPr>
            <w:tcW w:w="1701" w:type="dxa"/>
          </w:tcPr>
          <w:p w14:paraId="2ECDC960" w14:textId="77777777" w:rsidR="00552048" w:rsidRPr="00740FEB" w:rsidRDefault="00552048" w:rsidP="00552048">
            <w:pPr>
              <w:spacing w:line="360" w:lineRule="auto"/>
              <w:jc w:val="center"/>
              <w:rPr>
                <w:rFonts w:ascii="Times New Roman" w:eastAsia="MS Mincho" w:hAnsi="Times New Roman"/>
                <w:b/>
                <w:i/>
                <w:color w:val="000000" w:themeColor="text1"/>
                <w:sz w:val="24"/>
                <w:szCs w:val="24"/>
                <w:lang w:val="en-US" w:eastAsia="ja-JP"/>
              </w:rPr>
            </w:pPr>
            <w:r w:rsidRPr="00740FEB">
              <w:rPr>
                <w:rFonts w:ascii="Times New Roman" w:eastAsia="MS Mincho" w:hAnsi="Times New Roman"/>
                <w:color w:val="000000" w:themeColor="text1"/>
                <w:sz w:val="24"/>
                <w:szCs w:val="24"/>
                <w:lang w:val="en-US" w:eastAsia="ja-JP"/>
              </w:rPr>
              <w:t>&lt;.001</w:t>
            </w:r>
          </w:p>
        </w:tc>
      </w:tr>
    </w:tbl>
    <w:p w14:paraId="0478A37C" w14:textId="77777777" w:rsidR="00552048" w:rsidRPr="00740FEB" w:rsidRDefault="00552048" w:rsidP="00552048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740FEB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Note.</w:t>
      </w:r>
      <w:r w:rsidRPr="00740FEB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en-US"/>
        </w:rPr>
        <w:t xml:space="preserve"> </w:t>
      </w:r>
      <w:r w:rsidRPr="00740FEB">
        <w:rPr>
          <w:rFonts w:ascii="Times New Roman" w:hAnsi="Times New Roman"/>
          <w:color w:val="000000" w:themeColor="text1"/>
          <w:sz w:val="24"/>
          <w:szCs w:val="24"/>
          <w:lang w:val="en-US"/>
        </w:rPr>
        <w:t>Times are stated as means.</w:t>
      </w:r>
    </w:p>
    <w:p w14:paraId="23248D50" w14:textId="6ED571C5" w:rsidR="00552048" w:rsidRPr="00740FEB" w:rsidRDefault="00552048" w:rsidP="00552048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  <w:r w:rsidRPr="00740FEB">
        <w:rPr>
          <w:rFonts w:ascii="Times New Roman" w:hAnsi="Times New Roman"/>
          <w:color w:val="000000" w:themeColor="text1"/>
          <w:sz w:val="24"/>
          <w:szCs w:val="24"/>
          <w:lang w:val="en-US"/>
        </w:rPr>
        <w:t>BC, blood culture; TAT, turnaround time.</w:t>
      </w:r>
    </w:p>
    <w:p w14:paraId="6538B6F7" w14:textId="350AB954" w:rsidR="00552048" w:rsidRPr="00740FEB" w:rsidRDefault="00552048" w:rsidP="00552048">
      <w:pPr>
        <w:spacing w:line="360" w:lineRule="auto"/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</w:pPr>
      <w:r w:rsidRPr="00740FEB">
        <w:rPr>
          <w:rFonts w:ascii="Times New Roman" w:hAnsi="Times New Roman"/>
          <w:color w:val="000000" w:themeColor="text1"/>
          <w:sz w:val="24"/>
          <w:szCs w:val="24"/>
          <w:vertAlign w:val="superscript"/>
          <w:lang w:val="en-US"/>
        </w:rPr>
        <w:t>a</w:t>
      </w:r>
      <w:r w:rsidRPr="00740FEB">
        <w:rPr>
          <w:rFonts w:ascii="Times New Roman" w:hAnsi="Times New Roman"/>
          <w:color w:val="000000" w:themeColor="text1"/>
          <w:sz w:val="24"/>
          <w:szCs w:val="24"/>
          <w:lang w:val="en-US"/>
        </w:rPr>
        <w:t>Rounded down to whole hours.</w:t>
      </w:r>
    </w:p>
    <w:p w14:paraId="43BAE318" w14:textId="155F4F79" w:rsidR="00F266D1" w:rsidRPr="00552048" w:rsidRDefault="00F266D1" w:rsidP="00552048">
      <w:pPr>
        <w:spacing w:line="360" w:lineRule="auto"/>
        <w:rPr>
          <w:rFonts w:ascii="Times New Roman" w:hAnsi="Times New Roman"/>
          <w:sz w:val="24"/>
          <w:szCs w:val="24"/>
          <w:lang w:val="en-US"/>
        </w:rPr>
      </w:pPr>
    </w:p>
    <w:sectPr w:rsidR="00F266D1" w:rsidRPr="00552048" w:rsidSect="006B5857">
      <w:headerReference w:type="default" r:id="rId8"/>
      <w:footerReference w:type="default" r:id="rId9"/>
      <w:footerReference w:type="first" r:id="rId10"/>
      <w:pgSz w:w="11906" w:h="16838"/>
      <w:pgMar w:top="1417" w:right="1417" w:bottom="1134" w:left="141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E1AF5" w14:textId="77777777" w:rsidR="00D54537" w:rsidRDefault="00D54537" w:rsidP="00A64592">
      <w:r>
        <w:separator/>
      </w:r>
    </w:p>
  </w:endnote>
  <w:endnote w:type="continuationSeparator" w:id="0">
    <w:p w14:paraId="4EAB7959" w14:textId="77777777" w:rsidR="00D54537" w:rsidRDefault="00D54537" w:rsidP="00A6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5005723"/>
      <w:docPartObj>
        <w:docPartGallery w:val="Page Numbers (Bottom of Page)"/>
        <w:docPartUnique/>
      </w:docPartObj>
    </w:sdtPr>
    <w:sdtContent>
      <w:p w14:paraId="077FEBE3" w14:textId="0AB79568" w:rsidR="00740FEB" w:rsidRDefault="00740FE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3FA9F814" w14:textId="77777777" w:rsidR="00740FEB" w:rsidRDefault="00740FE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3691725"/>
      <w:docPartObj>
        <w:docPartGallery w:val="Page Numbers (Bottom of Page)"/>
        <w:docPartUnique/>
      </w:docPartObj>
    </w:sdtPr>
    <w:sdtContent>
      <w:p w14:paraId="4CA1D64C" w14:textId="4ABE38AC" w:rsidR="00740FEB" w:rsidRDefault="00740FE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6B1866A" w14:textId="77777777" w:rsidR="004F0A30" w:rsidRDefault="004F0A3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706BF" w14:textId="77777777" w:rsidR="00D54537" w:rsidRDefault="00D54537" w:rsidP="00A64592">
      <w:r>
        <w:separator/>
      </w:r>
    </w:p>
  </w:footnote>
  <w:footnote w:type="continuationSeparator" w:id="0">
    <w:p w14:paraId="21E98E05" w14:textId="77777777" w:rsidR="00D54537" w:rsidRDefault="00D54537" w:rsidP="00A64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C30FC" w14:textId="1C479F35" w:rsidR="00A64592" w:rsidRDefault="00A64592">
    <w:pPr>
      <w:pStyle w:val="Kopfzeile"/>
      <w:jc w:val="right"/>
    </w:pPr>
  </w:p>
  <w:p w14:paraId="67F01FBE" w14:textId="77777777" w:rsidR="00A64592" w:rsidRDefault="00A6459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AB8"/>
    <w:rsid w:val="000165E5"/>
    <w:rsid w:val="00025246"/>
    <w:rsid w:val="00053730"/>
    <w:rsid w:val="00060DF0"/>
    <w:rsid w:val="000E647B"/>
    <w:rsid w:val="001278BC"/>
    <w:rsid w:val="001A72A5"/>
    <w:rsid w:val="002017D6"/>
    <w:rsid w:val="0021257F"/>
    <w:rsid w:val="00236B3B"/>
    <w:rsid w:val="00267E0A"/>
    <w:rsid w:val="002709E0"/>
    <w:rsid w:val="002D38F6"/>
    <w:rsid w:val="002D6DF0"/>
    <w:rsid w:val="00323EFE"/>
    <w:rsid w:val="00332A5C"/>
    <w:rsid w:val="00354352"/>
    <w:rsid w:val="00376232"/>
    <w:rsid w:val="00386CAE"/>
    <w:rsid w:val="003909C3"/>
    <w:rsid w:val="0046497D"/>
    <w:rsid w:val="004E203E"/>
    <w:rsid w:val="004F0A30"/>
    <w:rsid w:val="0054047E"/>
    <w:rsid w:val="00552048"/>
    <w:rsid w:val="006932D4"/>
    <w:rsid w:val="006B5857"/>
    <w:rsid w:val="00740FEB"/>
    <w:rsid w:val="00770BEB"/>
    <w:rsid w:val="007D0316"/>
    <w:rsid w:val="007F45D7"/>
    <w:rsid w:val="0083399E"/>
    <w:rsid w:val="008751E7"/>
    <w:rsid w:val="008757EE"/>
    <w:rsid w:val="00894B7B"/>
    <w:rsid w:val="008B298B"/>
    <w:rsid w:val="008E1420"/>
    <w:rsid w:val="009943BD"/>
    <w:rsid w:val="009A3CDC"/>
    <w:rsid w:val="00A029DE"/>
    <w:rsid w:val="00A2199B"/>
    <w:rsid w:val="00A4778E"/>
    <w:rsid w:val="00A6188E"/>
    <w:rsid w:val="00A64592"/>
    <w:rsid w:val="00A66D31"/>
    <w:rsid w:val="00AB1546"/>
    <w:rsid w:val="00AD1260"/>
    <w:rsid w:val="00B1468D"/>
    <w:rsid w:val="00B336D3"/>
    <w:rsid w:val="00B41B23"/>
    <w:rsid w:val="00B820B1"/>
    <w:rsid w:val="00B9053F"/>
    <w:rsid w:val="00BA2157"/>
    <w:rsid w:val="00BA7163"/>
    <w:rsid w:val="00BB3DC1"/>
    <w:rsid w:val="00BD3D52"/>
    <w:rsid w:val="00BE1691"/>
    <w:rsid w:val="00C06481"/>
    <w:rsid w:val="00C0731C"/>
    <w:rsid w:val="00C3655E"/>
    <w:rsid w:val="00CD7994"/>
    <w:rsid w:val="00CE01E7"/>
    <w:rsid w:val="00CE2E39"/>
    <w:rsid w:val="00D23AB8"/>
    <w:rsid w:val="00D46585"/>
    <w:rsid w:val="00D54537"/>
    <w:rsid w:val="00DA2CD7"/>
    <w:rsid w:val="00DB0025"/>
    <w:rsid w:val="00DE3505"/>
    <w:rsid w:val="00EB1E6A"/>
    <w:rsid w:val="00EC6E1B"/>
    <w:rsid w:val="00EF5923"/>
    <w:rsid w:val="00F11DCB"/>
    <w:rsid w:val="00F21A7F"/>
    <w:rsid w:val="00F266D1"/>
    <w:rsid w:val="00F4593D"/>
    <w:rsid w:val="00F46B73"/>
    <w:rsid w:val="00F66348"/>
    <w:rsid w:val="00FA170C"/>
    <w:rsid w:val="00FB7015"/>
    <w:rsid w:val="00FC7369"/>
    <w:rsid w:val="00FD76BE"/>
    <w:rsid w:val="00FF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83EA70"/>
  <w15:chartTrackingRefBased/>
  <w15:docId w15:val="{474BAB44-B8F0-4D16-B4B9-64E9FB265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78BC"/>
    <w:rPr>
      <w:rFonts w:ascii="Lucida Sans" w:hAnsi="Lucida Sans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A64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4592"/>
    <w:rPr>
      <w:rFonts w:ascii="Lucida Sans" w:hAnsi="Lucida Sans"/>
      <w:sz w:val="22"/>
    </w:rPr>
  </w:style>
  <w:style w:type="paragraph" w:styleId="Fuzeile">
    <w:name w:val="footer"/>
    <w:basedOn w:val="Standard"/>
    <w:link w:val="FuzeileZchn"/>
    <w:uiPriority w:val="99"/>
    <w:rsid w:val="00A64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4592"/>
    <w:rPr>
      <w:rFonts w:ascii="Lucida Sans" w:hAnsi="Lucida Sans"/>
      <w:sz w:val="22"/>
    </w:rPr>
  </w:style>
  <w:style w:type="character" w:styleId="Kommentarzeichen">
    <w:name w:val="annotation reference"/>
    <w:uiPriority w:val="99"/>
    <w:semiHidden/>
    <w:unhideWhenUsed/>
    <w:rsid w:val="00D23A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23AB8"/>
    <w:rPr>
      <w:rFonts w:ascii="Times New Roman" w:eastAsia="MS Mincho" w:hAnsi="Times New Roman"/>
      <w:sz w:val="20"/>
      <w:lang w:eastAsia="ja-JP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23AB8"/>
    <w:rPr>
      <w:rFonts w:eastAsia="MS Mincho"/>
      <w:lang w:eastAsia="ja-JP"/>
    </w:rPr>
  </w:style>
  <w:style w:type="paragraph" w:styleId="Sprechblasentext">
    <w:name w:val="Balloon Text"/>
    <w:basedOn w:val="Standard"/>
    <w:link w:val="SprechblasentextZchn"/>
    <w:semiHidden/>
    <w:unhideWhenUsed/>
    <w:rsid w:val="00D23AB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D23AB8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1260"/>
    <w:rPr>
      <w:rFonts w:ascii="Lucida Sans" w:eastAsia="Times New Roman" w:hAnsi="Lucida Sans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semiHidden/>
    <w:rsid w:val="00AD1260"/>
    <w:rPr>
      <w:rFonts w:ascii="Lucida Sans" w:eastAsia="MS Mincho" w:hAnsi="Lucida Sans"/>
      <w:b/>
      <w:bCs/>
      <w:lang w:eastAsia="ja-JP"/>
    </w:rPr>
  </w:style>
  <w:style w:type="table" w:styleId="Tabellenraster">
    <w:name w:val="Table Grid"/>
    <w:basedOn w:val="NormaleTabelle"/>
    <w:rsid w:val="0055204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UMMD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Schalk, Enrico</dc:creator>
  <cp:keywords/>
  <dc:description/>
  <cp:lastModifiedBy>Schalk, Enrico</cp:lastModifiedBy>
  <cp:revision>3</cp:revision>
  <dcterms:created xsi:type="dcterms:W3CDTF">2024-01-24T08:42:00Z</dcterms:created>
  <dcterms:modified xsi:type="dcterms:W3CDTF">2024-01-24T08:44:00Z</dcterms:modified>
</cp:coreProperties>
</file>