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80EF3" w14:textId="7F7BA510" w:rsidR="001A67C2" w:rsidRPr="004E549D" w:rsidRDefault="002057C3" w:rsidP="001A67C2">
      <w:pPr>
        <w:spacing w:after="0"/>
        <w:rPr>
          <w:rFonts w:ascii="Calibri" w:hAnsi="Calibri" w:cs="Calibri"/>
          <w:b/>
          <w:bCs/>
          <w:color w:val="000000" w:themeColor="text1"/>
          <w:sz w:val="28"/>
          <w:szCs w:val="28"/>
        </w:rPr>
      </w:pPr>
      <w:r w:rsidRPr="004E549D">
        <w:rPr>
          <w:rFonts w:ascii="Calibri" w:hAnsi="Calibri" w:cs="Calibri"/>
          <w:b/>
          <w:bCs/>
          <w:color w:val="000000" w:themeColor="text1"/>
          <w:sz w:val="28"/>
          <w:szCs w:val="28"/>
        </w:rPr>
        <w:t>Supplementary Information</w:t>
      </w:r>
      <w:r w:rsidR="00253F58" w:rsidRPr="004E549D">
        <w:rPr>
          <w:rFonts w:ascii="Calibri" w:hAnsi="Calibri" w:cs="Calibri"/>
          <w:b/>
          <w:bCs/>
          <w:color w:val="000000" w:themeColor="text1"/>
          <w:sz w:val="28"/>
          <w:szCs w:val="28"/>
        </w:rPr>
        <w:t xml:space="preserve"> - </w:t>
      </w:r>
      <w:proofErr w:type="spellStart"/>
      <w:r w:rsidRPr="004E549D">
        <w:rPr>
          <w:rFonts w:ascii="Calibri" w:hAnsi="Calibri" w:cs="Calibri"/>
          <w:b/>
          <w:bCs/>
          <w:color w:val="000000" w:themeColor="text1"/>
          <w:sz w:val="28"/>
          <w:szCs w:val="28"/>
        </w:rPr>
        <w:t>MeroEasy</w:t>
      </w:r>
      <w:proofErr w:type="spellEnd"/>
      <w:r w:rsidRPr="004E549D">
        <w:rPr>
          <w:rFonts w:ascii="Calibri" w:hAnsi="Calibri" w:cs="Calibri"/>
          <w:b/>
          <w:bCs/>
          <w:color w:val="000000" w:themeColor="text1"/>
          <w:sz w:val="28"/>
          <w:szCs w:val="28"/>
        </w:rPr>
        <w:t xml:space="preserve"> Description</w:t>
      </w:r>
    </w:p>
    <w:p w14:paraId="00C5F96B" w14:textId="77777777" w:rsidR="00253F58" w:rsidRPr="004E549D" w:rsidRDefault="00253F58" w:rsidP="001A67C2">
      <w:pPr>
        <w:spacing w:after="0"/>
        <w:rPr>
          <w:rFonts w:ascii="Calibri" w:hAnsi="Calibri" w:cs="Calibri"/>
          <w:b/>
          <w:bCs/>
          <w:color w:val="000000" w:themeColor="text1"/>
          <w:sz w:val="28"/>
          <w:szCs w:val="28"/>
        </w:rPr>
      </w:pPr>
    </w:p>
    <w:p w14:paraId="34C3255F" w14:textId="47E80252" w:rsidR="00253F58" w:rsidRPr="004E549D" w:rsidRDefault="00253F58" w:rsidP="001A67C2">
      <w:pPr>
        <w:spacing w:after="0"/>
        <w:rPr>
          <w:rFonts w:ascii="Calibri" w:hAnsi="Calibri" w:cs="Calibri"/>
          <w:color w:val="000000" w:themeColor="text1"/>
        </w:rPr>
      </w:pPr>
      <w:r w:rsidRPr="004E549D">
        <w:rPr>
          <w:rFonts w:ascii="Calibri" w:hAnsi="Calibri" w:cs="Calibri"/>
          <w:color w:val="000000" w:themeColor="text1"/>
        </w:rPr>
        <w:t xml:space="preserve">Adapted from </w:t>
      </w:r>
      <w:hyperlink r:id="rId10" w:history="1">
        <w:r w:rsidRPr="004E549D">
          <w:rPr>
            <w:rStyle w:val="Hyperlink"/>
            <w:rFonts w:ascii="Calibri" w:hAnsi="Calibri" w:cs="Calibri"/>
            <w:color w:val="000000" w:themeColor="text1"/>
          </w:rPr>
          <w:t>https://doseeasy.de/</w:t>
        </w:r>
      </w:hyperlink>
    </w:p>
    <w:p w14:paraId="4447AE8A" w14:textId="77777777" w:rsidR="00253F58" w:rsidRPr="004E549D" w:rsidRDefault="00253F58" w:rsidP="001A67C2">
      <w:pPr>
        <w:spacing w:after="0"/>
        <w:rPr>
          <w:rFonts w:ascii="Calibri" w:hAnsi="Calibri" w:cs="Calibri"/>
          <w:color w:val="000000" w:themeColor="text1"/>
        </w:rPr>
      </w:pPr>
    </w:p>
    <w:p w14:paraId="75A1ADF2" w14:textId="45FE3518" w:rsidR="001A67C2" w:rsidRPr="004E549D" w:rsidRDefault="002057C3" w:rsidP="001A67C2">
      <w:pPr>
        <w:spacing w:after="0"/>
        <w:rPr>
          <w:rFonts w:ascii="Calibri" w:hAnsi="Calibri" w:cs="Calibri"/>
          <w:color w:val="000000" w:themeColor="text1"/>
        </w:rPr>
      </w:pPr>
      <w:proofErr w:type="spellStart"/>
      <w:r w:rsidRPr="004E549D">
        <w:rPr>
          <w:rFonts w:ascii="Calibri" w:hAnsi="Calibri" w:cs="Calibri"/>
          <w:color w:val="000000" w:themeColor="text1"/>
        </w:rPr>
        <w:t>MeroEasy</w:t>
      </w:r>
      <w:proofErr w:type="spellEnd"/>
      <w:r w:rsidRPr="004E549D">
        <w:rPr>
          <w:rFonts w:ascii="Calibri" w:hAnsi="Calibri" w:cs="Calibri"/>
          <w:color w:val="000000" w:themeColor="text1"/>
        </w:rPr>
        <w:t xml:space="preserve"> is an educational software developed with the support of ADKA e.V. to aid in the training of physicians and pharmacists in understanding the impact of Meropenem dosing and pharmacokinetic formulas. MeroEasy uses pharmacokinetic population estimates, the Dettli method [1,2], and the Sawchuk-Zaske method [1] to calculate Meropenem doses. Doses can be calculated empirically (without prior concentration data</w:t>
      </w:r>
      <w:r w:rsidR="001A67C2" w:rsidRPr="004E549D">
        <w:rPr>
          <w:rFonts w:ascii="Calibri" w:hAnsi="Calibri" w:cs="Calibri"/>
          <w:color w:val="000000" w:themeColor="text1"/>
        </w:rPr>
        <w:t xml:space="preserve">, i.e. </w:t>
      </w:r>
      <w:proofErr w:type="spellStart"/>
      <w:r w:rsidR="001A67C2" w:rsidRPr="004E549D">
        <w:rPr>
          <w:rFonts w:ascii="Calibri" w:hAnsi="Calibri" w:cs="Calibri"/>
          <w:color w:val="000000" w:themeColor="text1"/>
        </w:rPr>
        <w:t>CL</w:t>
      </w:r>
      <w:r w:rsidR="001A67C2" w:rsidRPr="004E549D">
        <w:rPr>
          <w:rFonts w:ascii="Calibri" w:hAnsi="Calibri" w:cs="Calibri"/>
          <w:color w:val="000000" w:themeColor="text1"/>
          <w:vertAlign w:val="subscript"/>
        </w:rPr>
        <w:t>estimated</w:t>
      </w:r>
      <w:proofErr w:type="spellEnd"/>
      <w:r w:rsidRPr="004E549D">
        <w:rPr>
          <w:rFonts w:ascii="Calibri" w:hAnsi="Calibri" w:cs="Calibri"/>
          <w:color w:val="000000" w:themeColor="text1"/>
        </w:rPr>
        <w:t>) or using a single measured Meropenem concentration</w:t>
      </w:r>
      <w:r w:rsidR="001A67C2" w:rsidRPr="004E549D">
        <w:rPr>
          <w:rFonts w:ascii="Calibri" w:hAnsi="Calibri" w:cs="Calibri"/>
          <w:color w:val="000000" w:themeColor="text1"/>
        </w:rPr>
        <w:t xml:space="preserve"> (i.e., </w:t>
      </w:r>
      <w:proofErr w:type="spellStart"/>
      <w:r w:rsidR="001A67C2" w:rsidRPr="004E549D">
        <w:rPr>
          <w:rFonts w:ascii="Calibri" w:hAnsi="Calibri" w:cs="Calibri"/>
          <w:color w:val="000000" w:themeColor="text1"/>
        </w:rPr>
        <w:t>CL</w:t>
      </w:r>
      <w:r w:rsidR="001A67C2" w:rsidRPr="004E549D">
        <w:rPr>
          <w:rFonts w:ascii="Calibri" w:hAnsi="Calibri" w:cs="Calibri"/>
          <w:color w:val="000000" w:themeColor="text1"/>
          <w:vertAlign w:val="subscript"/>
        </w:rPr>
        <w:t>patient</w:t>
      </w:r>
      <w:proofErr w:type="spellEnd"/>
      <w:r w:rsidRPr="004E549D">
        <w:rPr>
          <w:rFonts w:ascii="Calibri" w:hAnsi="Calibri" w:cs="Calibri"/>
          <w:color w:val="000000" w:themeColor="text1"/>
        </w:rPr>
        <w:t>.</w:t>
      </w:r>
      <w:r w:rsidRPr="004E549D">
        <w:rPr>
          <w:rFonts w:ascii="Calibri" w:hAnsi="Calibri" w:cs="Calibri"/>
          <w:color w:val="000000" w:themeColor="text1"/>
        </w:rPr>
        <w:br/>
      </w:r>
    </w:p>
    <w:p w14:paraId="0C447FD0" w14:textId="7C557620" w:rsidR="001A67C2" w:rsidRPr="004E549D" w:rsidRDefault="002057C3" w:rsidP="001A67C2">
      <w:pPr>
        <w:spacing w:after="0"/>
        <w:rPr>
          <w:rFonts w:ascii="Calibri" w:hAnsi="Calibri" w:cs="Calibri"/>
          <w:color w:val="000000" w:themeColor="text1"/>
        </w:rPr>
      </w:pPr>
      <w:proofErr w:type="spellStart"/>
      <w:r w:rsidRPr="004E549D">
        <w:rPr>
          <w:rFonts w:ascii="Calibri" w:hAnsi="Calibri" w:cs="Calibri"/>
          <w:color w:val="000000" w:themeColor="text1"/>
        </w:rPr>
        <w:t>MeroEasy</w:t>
      </w:r>
      <w:proofErr w:type="spellEnd"/>
      <w:r w:rsidRPr="004E549D">
        <w:rPr>
          <w:rFonts w:ascii="Calibri" w:hAnsi="Calibri" w:cs="Calibri"/>
          <w:color w:val="000000" w:themeColor="text1"/>
        </w:rPr>
        <w:t xml:space="preserve"> determines pharmacokinetic parameters and dosing strategies for Meropenem through the following steps:</w:t>
      </w:r>
    </w:p>
    <w:p w14:paraId="1676E822" w14:textId="77777777" w:rsidR="001A67C2" w:rsidRPr="004E549D" w:rsidRDefault="001A67C2" w:rsidP="001A67C2">
      <w:pPr>
        <w:spacing w:after="0"/>
        <w:rPr>
          <w:rFonts w:ascii="Calibri" w:hAnsi="Calibri" w:cs="Calibri"/>
          <w:b/>
          <w:bCs/>
          <w:color w:val="000000" w:themeColor="text1"/>
        </w:rPr>
      </w:pPr>
    </w:p>
    <w:p w14:paraId="6A6136C0" w14:textId="569B14B9" w:rsidR="001A67C2" w:rsidRPr="004E549D" w:rsidRDefault="002057C3" w:rsidP="001A67C2">
      <w:pPr>
        <w:spacing w:after="0"/>
        <w:rPr>
          <w:rFonts w:ascii="Calibri" w:hAnsi="Calibri" w:cs="Calibri"/>
          <w:b/>
          <w:bCs/>
          <w:color w:val="000000" w:themeColor="text1"/>
        </w:rPr>
      </w:pPr>
      <w:r w:rsidRPr="004E549D">
        <w:rPr>
          <w:rFonts w:ascii="Calibri" w:hAnsi="Calibri" w:cs="Calibri"/>
          <w:b/>
          <w:bCs/>
          <w:color w:val="000000" w:themeColor="text1"/>
        </w:rPr>
        <w:t>Estimation of Clearance (Cl) and Volume of Distribution (Vd)</w:t>
      </w:r>
    </w:p>
    <w:p w14:paraId="1A91905F" w14:textId="77777777" w:rsidR="001A67C2" w:rsidRPr="004E549D" w:rsidRDefault="001A67C2" w:rsidP="001A67C2">
      <w:pPr>
        <w:spacing w:after="0"/>
        <w:rPr>
          <w:rFonts w:ascii="Calibri" w:hAnsi="Calibri" w:cs="Calibri"/>
          <w:color w:val="000000" w:themeColor="text1"/>
        </w:rPr>
      </w:pPr>
    </w:p>
    <w:p w14:paraId="369F83A0" w14:textId="19A176E5" w:rsidR="001A67C2" w:rsidRPr="004E549D" w:rsidRDefault="002057C3" w:rsidP="001A67C2">
      <w:pPr>
        <w:spacing w:after="0"/>
        <w:rPr>
          <w:rFonts w:ascii="Calibri" w:hAnsi="Calibri" w:cs="Calibri"/>
          <w:color w:val="000000" w:themeColor="text1"/>
          <w:u w:val="single"/>
        </w:rPr>
      </w:pPr>
      <w:r w:rsidRPr="004E549D">
        <w:rPr>
          <w:rFonts w:ascii="Calibri" w:hAnsi="Calibri" w:cs="Calibri"/>
          <w:color w:val="000000" w:themeColor="text1"/>
          <w:u w:val="single"/>
        </w:rPr>
        <w:t>Empirical dosing (no concentration)</w:t>
      </w:r>
      <w:r w:rsidRPr="004E549D">
        <w:rPr>
          <w:rFonts w:ascii="Calibri" w:hAnsi="Calibri" w:cs="Calibri"/>
          <w:color w:val="000000" w:themeColor="text1"/>
        </w:rPr>
        <w:t xml:space="preserve">: </w:t>
      </w:r>
      <w:proofErr w:type="spellStart"/>
      <w:r w:rsidRPr="004E549D">
        <w:rPr>
          <w:rFonts w:ascii="Calibri" w:hAnsi="Calibri" w:cs="Calibri"/>
          <w:color w:val="000000" w:themeColor="text1"/>
        </w:rPr>
        <w:t>CL</w:t>
      </w:r>
      <w:r w:rsidRPr="004E549D">
        <w:rPr>
          <w:rFonts w:ascii="Calibri" w:hAnsi="Calibri" w:cs="Calibri"/>
          <w:color w:val="000000" w:themeColor="text1"/>
          <w:vertAlign w:val="subscript"/>
        </w:rPr>
        <w:t>estimated</w:t>
      </w:r>
      <w:proofErr w:type="spellEnd"/>
    </w:p>
    <w:p w14:paraId="255F8BC7" w14:textId="77777777" w:rsidR="00253F58" w:rsidRPr="004E549D" w:rsidRDefault="00253F58" w:rsidP="001A67C2">
      <w:pPr>
        <w:spacing w:after="0"/>
        <w:rPr>
          <w:rFonts w:ascii="Calibri" w:hAnsi="Calibri" w:cs="Calibri"/>
          <w:color w:val="000000" w:themeColor="text1"/>
          <w:u w:val="single"/>
        </w:rPr>
      </w:pPr>
    </w:p>
    <w:p w14:paraId="3D19CE89" w14:textId="772285BE" w:rsidR="001A67C2" w:rsidRPr="004E549D" w:rsidRDefault="002057C3" w:rsidP="00112669">
      <w:pPr>
        <w:pStyle w:val="ListParagraph"/>
        <w:spacing w:after="0"/>
        <w:rPr>
          <w:rFonts w:ascii="Calibri" w:hAnsi="Calibri" w:cs="Calibri"/>
          <w:color w:val="000000" w:themeColor="text1"/>
        </w:rPr>
      </w:pPr>
      <w:r w:rsidRPr="004E549D">
        <w:rPr>
          <w:rFonts w:ascii="Calibri" w:hAnsi="Calibri" w:cs="Calibri"/>
          <w:color w:val="000000" w:themeColor="text1"/>
        </w:rPr>
        <w:t>Meropenem clearance (C</w:t>
      </w:r>
      <w:r w:rsidR="001A67C2" w:rsidRPr="004E549D">
        <w:rPr>
          <w:rFonts w:ascii="Calibri" w:hAnsi="Calibri" w:cs="Calibri"/>
          <w:color w:val="000000" w:themeColor="text1"/>
        </w:rPr>
        <w:t>L</w:t>
      </w:r>
      <w:r w:rsidRPr="004E549D">
        <w:rPr>
          <w:rFonts w:ascii="Calibri" w:hAnsi="Calibri" w:cs="Calibri"/>
          <w:color w:val="000000" w:themeColor="text1"/>
        </w:rPr>
        <w:t>) and volume of distribution (Vd) are estimated using published population data (Vd = 0.25 L/kg, CLpop = 13 L/h) [3]. Vd is calculated based on the ideal body weight plus 40% of excess weight. If actual body weight is lower than the ideal, actual body weight is used. Cl</w:t>
      </w:r>
      <w:r w:rsidR="001A67C2" w:rsidRPr="004E549D">
        <w:rPr>
          <w:rFonts w:ascii="Calibri" w:hAnsi="Calibri" w:cs="Calibri"/>
          <w:color w:val="000000" w:themeColor="text1"/>
        </w:rPr>
        <w:t>earance</w:t>
      </w:r>
      <w:r w:rsidRPr="004E549D">
        <w:rPr>
          <w:rFonts w:ascii="Calibri" w:hAnsi="Calibri" w:cs="Calibri"/>
          <w:color w:val="000000" w:themeColor="text1"/>
        </w:rPr>
        <w:t xml:space="preserve"> is estimated based on renal function using the Cockcroft-Gault formula [1,4], applying ideal body weight plus 40% of excess weight, or actual body weight if it is below ideal (cut-off serum creatinine 0.6 mg/dL in women, 0.7 mg/dL in men to avoid overestimation in cachectic patients).</w:t>
      </w:r>
    </w:p>
    <w:p w14:paraId="422BAAC6" w14:textId="77777777" w:rsidR="00253F58" w:rsidRPr="004E549D" w:rsidRDefault="00253F58" w:rsidP="00253F58">
      <w:pPr>
        <w:pStyle w:val="ListParagraph"/>
        <w:spacing w:after="0"/>
        <w:rPr>
          <w:rFonts w:ascii="Calibri" w:hAnsi="Calibri" w:cs="Calibri"/>
          <w:color w:val="000000" w:themeColor="text1"/>
        </w:rPr>
      </w:pPr>
    </w:p>
    <w:p w14:paraId="5EEEDDB5" w14:textId="77777777" w:rsidR="001A67C2" w:rsidRPr="004E549D" w:rsidRDefault="004E549D" w:rsidP="001A67C2">
      <w:pPr>
        <w:spacing w:after="0"/>
        <w:rPr>
          <w:rFonts w:ascii="Calibri" w:hAnsi="Calibri"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CL</m:t>
              </m:r>
            </m:e>
            <m:sub>
              <m:r>
                <w:rPr>
                  <w:rFonts w:ascii="Cambria Math" w:hAnsi="Cambria Math" w:cs="Calibri"/>
                  <w:color w:val="000000" w:themeColor="text1"/>
                </w:rPr>
                <m:t>creatinine</m:t>
              </m:r>
              <m:r>
                <w:rPr>
                  <w:rFonts w:ascii="Cambria Math" w:hAnsi="Cambria Math" w:cs="Calibri"/>
                  <w:color w:val="000000" w:themeColor="text1"/>
                </w:rPr>
                <m:t xml:space="preserve">, </m:t>
              </m:r>
              <m:r>
                <w:rPr>
                  <w:rFonts w:ascii="Cambria Math" w:hAnsi="Cambria Math" w:cs="Calibri"/>
                  <w:color w:val="000000" w:themeColor="text1"/>
                </w:rPr>
                <m:t>male</m:t>
              </m:r>
            </m:sub>
          </m:sSub>
          <m:r>
            <w:rPr>
              <w:rFonts w:ascii="Cambria Math" w:hAnsi="Cambria Math" w:cs="Calibri"/>
              <w:color w:val="000000" w:themeColor="text1"/>
            </w:rPr>
            <m:t>=</m:t>
          </m:r>
          <m:f>
            <m:fPr>
              <m:ctrlPr>
                <w:rPr>
                  <w:rFonts w:ascii="Cambria Math" w:hAnsi="Cambria Math" w:cs="Calibri"/>
                  <w:i/>
                  <w:color w:val="000000" w:themeColor="text1"/>
                </w:rPr>
              </m:ctrlPr>
            </m:fPr>
            <m:num>
              <m:r>
                <w:rPr>
                  <w:rFonts w:ascii="Cambria Math" w:hAnsi="Cambria Math" w:cs="Calibri"/>
                  <w:color w:val="000000" w:themeColor="text1"/>
                </w:rPr>
                <m:t>140-</m:t>
              </m:r>
              <m:r>
                <w:rPr>
                  <w:rFonts w:ascii="Cambria Math" w:hAnsi="Cambria Math" w:cs="Calibri"/>
                  <w:color w:val="000000" w:themeColor="text1"/>
                </w:rPr>
                <m:t>age</m:t>
              </m:r>
            </m:num>
            <m:den>
              <m:r>
                <w:rPr>
                  <w:rFonts w:ascii="Cambria Math" w:hAnsi="Cambria Math" w:cs="Calibri"/>
                  <w:color w:val="000000" w:themeColor="text1"/>
                </w:rPr>
                <m:t>72×</m:t>
              </m:r>
              <m:sSub>
                <m:sSubPr>
                  <m:ctrlPr>
                    <w:rPr>
                      <w:rFonts w:ascii="Cambria Math" w:hAnsi="Cambria Math" w:cs="Calibri"/>
                      <w:i/>
                      <w:color w:val="000000" w:themeColor="text1"/>
                    </w:rPr>
                  </m:ctrlPr>
                </m:sSubPr>
                <m:e>
                  <m:r>
                    <w:rPr>
                      <w:rFonts w:ascii="Cambria Math" w:hAnsi="Cambria Math" w:cs="Calibri"/>
                      <w:color w:val="000000" w:themeColor="text1"/>
                    </w:rPr>
                    <m:t>Creatinine</m:t>
                  </m:r>
                </m:e>
                <m:sub>
                  <m:r>
                    <w:rPr>
                      <w:rFonts w:ascii="Cambria Math" w:hAnsi="Cambria Math" w:cs="Calibri"/>
                      <w:color w:val="000000" w:themeColor="text1"/>
                    </w:rPr>
                    <m:t>serum</m:t>
                  </m:r>
                </m:sub>
              </m:sSub>
            </m:den>
          </m:f>
        </m:oMath>
      </m:oMathPara>
      <w:bookmarkStart w:id="0" w:name="_GoBack"/>
      <w:bookmarkEnd w:id="0"/>
    </w:p>
    <w:p w14:paraId="565905DC" w14:textId="77777777" w:rsidR="00253F58" w:rsidRPr="004E549D" w:rsidRDefault="00253F58" w:rsidP="001A67C2">
      <w:pPr>
        <w:spacing w:after="0"/>
        <w:rPr>
          <w:rFonts w:ascii="Calibri" w:hAnsi="Calibri" w:cs="Calibri"/>
          <w:color w:val="000000" w:themeColor="text1"/>
        </w:rPr>
      </w:pPr>
    </w:p>
    <w:p w14:paraId="4F9B2872" w14:textId="0E6B7CCD" w:rsidR="00253F58" w:rsidRPr="004E549D" w:rsidRDefault="004E549D" w:rsidP="001A67C2">
      <w:pPr>
        <w:spacing w:after="0"/>
        <w:rPr>
          <w:rFonts w:ascii="Calibri" w:hAnsi="Calibri"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CL</m:t>
              </m:r>
            </m:e>
            <m:sub>
              <m:r>
                <w:rPr>
                  <w:rFonts w:ascii="Cambria Math" w:hAnsi="Cambria Math" w:cs="Calibri"/>
                  <w:color w:val="000000" w:themeColor="text1"/>
                </w:rPr>
                <m:t>creatinine</m:t>
              </m:r>
              <m:r>
                <w:rPr>
                  <w:rFonts w:ascii="Cambria Math" w:hAnsi="Cambria Math" w:cs="Calibri"/>
                  <w:color w:val="000000" w:themeColor="text1"/>
                </w:rPr>
                <m:t xml:space="preserve">, </m:t>
              </m:r>
              <m:r>
                <w:rPr>
                  <w:rFonts w:ascii="Cambria Math" w:hAnsi="Cambria Math" w:cs="Calibri"/>
                  <w:color w:val="000000" w:themeColor="text1"/>
                </w:rPr>
                <m:t>female</m:t>
              </m:r>
            </m:sub>
          </m:sSub>
          <m:r>
            <w:rPr>
              <w:rFonts w:ascii="Cambria Math" w:hAnsi="Cambria Math" w:cs="Calibri"/>
              <w:color w:val="000000" w:themeColor="text1"/>
            </w:rPr>
            <m:t>=0.85×</m:t>
          </m:r>
          <m:sSub>
            <m:sSubPr>
              <m:ctrlPr>
                <w:rPr>
                  <w:rFonts w:ascii="Cambria Math" w:hAnsi="Cambria Math" w:cs="Calibri"/>
                  <w:i/>
                  <w:color w:val="000000" w:themeColor="text1"/>
                </w:rPr>
              </m:ctrlPr>
            </m:sSubPr>
            <m:e>
              <m:r>
                <w:rPr>
                  <w:rFonts w:ascii="Cambria Math" w:hAnsi="Cambria Math" w:cs="Calibri"/>
                  <w:color w:val="000000" w:themeColor="text1"/>
                </w:rPr>
                <m:t>CL</m:t>
              </m:r>
            </m:e>
            <m:sub>
              <m:r>
                <w:rPr>
                  <w:rFonts w:ascii="Cambria Math" w:hAnsi="Cambria Math" w:cs="Calibri"/>
                  <w:color w:val="000000" w:themeColor="text1"/>
                </w:rPr>
                <m:t>creatinine</m:t>
              </m:r>
              <m:r>
                <w:rPr>
                  <w:rFonts w:ascii="Cambria Math" w:hAnsi="Cambria Math" w:cs="Calibri"/>
                  <w:color w:val="000000" w:themeColor="text1"/>
                </w:rPr>
                <m:t xml:space="preserve">, </m:t>
              </m:r>
              <m:r>
                <w:rPr>
                  <w:rFonts w:ascii="Cambria Math" w:hAnsi="Cambria Math" w:cs="Calibri"/>
                  <w:color w:val="000000" w:themeColor="text1"/>
                </w:rPr>
                <m:t>male</m:t>
              </m:r>
            </m:sub>
          </m:sSub>
          <m:r>
            <m:rPr>
              <m:sty m:val="p"/>
            </m:rPr>
            <w:rPr>
              <w:rFonts w:ascii="Cambria Math" w:hAnsi="Cambria Math" w:cs="Calibri"/>
              <w:color w:val="000000" w:themeColor="text1"/>
            </w:rPr>
            <w:br/>
          </m:r>
        </m:oMath>
      </m:oMathPara>
    </w:p>
    <w:p w14:paraId="1F2A6F42" w14:textId="77777777" w:rsidR="00253F58" w:rsidRPr="004E549D" w:rsidRDefault="00253F58" w:rsidP="00253F58">
      <w:pPr>
        <w:spacing w:after="0"/>
        <w:rPr>
          <w:rFonts w:ascii="Calibri" w:hAnsi="Calibri" w:cs="Calibri"/>
          <w:color w:val="000000" w:themeColor="text1"/>
        </w:rPr>
      </w:pPr>
      <w:r w:rsidRPr="004E549D">
        <w:rPr>
          <w:rFonts w:ascii="Calibri" w:hAnsi="Calibri" w:cs="Calibri"/>
          <w:color w:val="000000" w:themeColor="text1"/>
        </w:rPr>
        <w:br/>
        <w:t xml:space="preserve">Clearance is then calculated using the </w:t>
      </w:r>
      <w:proofErr w:type="spellStart"/>
      <w:r w:rsidRPr="004E549D">
        <w:rPr>
          <w:rFonts w:ascii="Calibri" w:hAnsi="Calibri" w:cs="Calibri"/>
          <w:color w:val="000000" w:themeColor="text1"/>
        </w:rPr>
        <w:t>Dettli</w:t>
      </w:r>
      <w:proofErr w:type="spellEnd"/>
      <w:r w:rsidRPr="004E549D">
        <w:rPr>
          <w:rFonts w:ascii="Calibri" w:hAnsi="Calibri" w:cs="Calibri"/>
          <w:color w:val="000000" w:themeColor="text1"/>
        </w:rPr>
        <w:t xml:space="preserve"> method based on individual renal excretion capacity Q (Q0 = 0.25) [2,3].</w:t>
      </w:r>
    </w:p>
    <w:p w14:paraId="1E19C7D2" w14:textId="77777777" w:rsidR="00253F58" w:rsidRPr="004E549D" w:rsidRDefault="00253F58" w:rsidP="001A67C2">
      <w:pPr>
        <w:spacing w:after="0"/>
        <w:rPr>
          <w:rFonts w:ascii="Calibri" w:hAnsi="Calibri" w:cs="Calibri"/>
          <w:color w:val="000000" w:themeColor="text1"/>
        </w:rPr>
      </w:pPr>
    </w:p>
    <w:p w14:paraId="694A901C" w14:textId="47DF15C8" w:rsidR="00253F58" w:rsidRPr="004E549D" w:rsidRDefault="00253F58" w:rsidP="001A67C2">
      <w:pPr>
        <w:spacing w:after="0"/>
        <w:rPr>
          <w:rFonts w:ascii="Calibri" w:hAnsi="Calibri" w:cs="Calibri"/>
          <w:color w:val="000000" w:themeColor="text1"/>
        </w:rPr>
      </w:pPr>
      <m:oMathPara>
        <m:oMath>
          <m:r>
            <w:rPr>
              <w:rFonts w:ascii="Cambria Math" w:hAnsi="Cambria Math" w:cs="Calibri"/>
              <w:color w:val="000000" w:themeColor="text1"/>
            </w:rPr>
            <m:t>Q=</m:t>
          </m:r>
          <m:sSub>
            <m:sSubPr>
              <m:ctrlPr>
                <w:rPr>
                  <w:rFonts w:ascii="Cambria Math" w:hAnsi="Cambria Math" w:cs="Calibri"/>
                  <w:i/>
                  <w:color w:val="000000" w:themeColor="text1"/>
                </w:rPr>
              </m:ctrlPr>
            </m:sSubPr>
            <m:e>
              <m:r>
                <w:rPr>
                  <w:rFonts w:ascii="Cambria Math" w:hAnsi="Cambria Math" w:cs="Calibri"/>
                  <w:color w:val="000000" w:themeColor="text1"/>
                </w:rPr>
                <m:t>Q</m:t>
              </m:r>
            </m:e>
            <m:sub>
              <m:r>
                <w:rPr>
                  <w:rFonts w:ascii="Cambria Math" w:hAnsi="Cambria Math" w:cs="Calibri"/>
                  <w:color w:val="000000" w:themeColor="text1"/>
                </w:rPr>
                <m:t>0</m:t>
              </m:r>
            </m:sub>
          </m:sSub>
          <m:r>
            <w:rPr>
              <w:rFonts w:ascii="Cambria Math" w:hAnsi="Cambria Math" w:cs="Calibri"/>
              <w:color w:val="000000" w:themeColor="text1"/>
            </w:rPr>
            <m:t>+</m:t>
          </m:r>
          <m:f>
            <m:fPr>
              <m:ctrlPr>
                <w:rPr>
                  <w:rFonts w:ascii="Cambria Math" w:hAnsi="Cambria Math" w:cs="Calibri"/>
                  <w:i/>
                  <w:color w:val="000000" w:themeColor="text1"/>
                </w:rPr>
              </m:ctrlPr>
            </m:fPr>
            <m:num>
              <m:r>
                <w:rPr>
                  <w:rFonts w:ascii="Cambria Math" w:hAnsi="Cambria Math" w:cs="Calibri"/>
                  <w:color w:val="000000" w:themeColor="text1"/>
                </w:rPr>
                <m:t>eGFR</m:t>
              </m:r>
            </m:num>
            <m:den>
              <m:r>
                <w:rPr>
                  <w:rFonts w:ascii="Cambria Math" w:hAnsi="Cambria Math" w:cs="Calibri"/>
                  <w:color w:val="000000" w:themeColor="text1"/>
                </w:rPr>
                <m:t>100 mL/min</m:t>
              </m:r>
            </m:den>
          </m:f>
          <m:r>
            <w:rPr>
              <w:rFonts w:ascii="Cambria Math" w:hAnsi="Cambria Math" w:cs="Calibri"/>
              <w:color w:val="000000" w:themeColor="text1"/>
            </w:rPr>
            <m:t>×(1-</m:t>
          </m:r>
          <m:sSub>
            <m:sSubPr>
              <m:ctrlPr>
                <w:rPr>
                  <w:rFonts w:ascii="Cambria Math" w:hAnsi="Cambria Math" w:cs="Calibri"/>
                  <w:i/>
                  <w:color w:val="000000" w:themeColor="text1"/>
                </w:rPr>
              </m:ctrlPr>
            </m:sSubPr>
            <m:e>
              <m:r>
                <w:rPr>
                  <w:rFonts w:ascii="Cambria Math" w:hAnsi="Cambria Math" w:cs="Calibri"/>
                  <w:color w:val="000000" w:themeColor="text1"/>
                </w:rPr>
                <m:t>Q</m:t>
              </m:r>
            </m:e>
            <m:sub>
              <m:r>
                <w:rPr>
                  <w:rFonts w:ascii="Cambria Math" w:hAnsi="Cambria Math" w:cs="Calibri"/>
                  <w:color w:val="000000" w:themeColor="text1"/>
                </w:rPr>
                <m:t>0</m:t>
              </m:r>
            </m:sub>
          </m:sSub>
          <m:r>
            <w:rPr>
              <w:rFonts w:ascii="Cambria Math" w:hAnsi="Cambria Math" w:cs="Calibri"/>
              <w:color w:val="000000" w:themeColor="text1"/>
            </w:rPr>
            <m:t>)</m:t>
          </m:r>
        </m:oMath>
      </m:oMathPara>
    </w:p>
    <w:p w14:paraId="648716FD" w14:textId="77777777" w:rsidR="00253F58" w:rsidRPr="004E549D" w:rsidRDefault="00253F58" w:rsidP="001A67C2">
      <w:pPr>
        <w:spacing w:after="0"/>
        <w:rPr>
          <w:rFonts w:ascii="Calibri" w:hAnsi="Calibri" w:cs="Calibri"/>
          <w:color w:val="000000" w:themeColor="text1"/>
        </w:rPr>
      </w:pPr>
    </w:p>
    <w:p w14:paraId="2BAE5699" w14:textId="78D368C0" w:rsidR="00253F58" w:rsidRPr="004E549D" w:rsidRDefault="004E549D" w:rsidP="001A67C2">
      <w:pPr>
        <w:spacing w:after="0"/>
        <w:rPr>
          <w:rFonts w:ascii="Calibri" w:hAnsi="Calibri"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CL</m:t>
              </m:r>
            </m:e>
            <m:sub>
              <m:r>
                <w:rPr>
                  <w:rFonts w:ascii="Cambria Math" w:hAnsi="Cambria Math" w:cs="Calibri"/>
                  <w:color w:val="000000" w:themeColor="text1"/>
                </w:rPr>
                <m:t>estimated</m:t>
              </m:r>
            </m:sub>
          </m:sSub>
          <m:r>
            <w:rPr>
              <w:rFonts w:ascii="Cambria Math" w:hAnsi="Cambria Math" w:cs="Calibri"/>
              <w:color w:val="000000" w:themeColor="text1"/>
            </w:rPr>
            <m:t>=</m:t>
          </m:r>
          <m:r>
            <w:rPr>
              <w:rFonts w:ascii="Cambria Math" w:hAnsi="Cambria Math" w:cs="Calibri"/>
              <w:color w:val="000000" w:themeColor="text1"/>
            </w:rPr>
            <m:t>Q</m:t>
          </m:r>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CL</m:t>
              </m:r>
            </m:e>
            <m:sub>
              <m:r>
                <w:rPr>
                  <w:rFonts w:ascii="Cambria Math" w:hAnsi="Cambria Math" w:cs="Calibri"/>
                  <w:color w:val="000000" w:themeColor="text1"/>
                </w:rPr>
                <m:t>POP</m:t>
              </m:r>
            </m:sub>
          </m:sSub>
        </m:oMath>
      </m:oMathPara>
    </w:p>
    <w:p w14:paraId="6E96010C" w14:textId="77777777" w:rsidR="00253F58" w:rsidRPr="004E549D" w:rsidRDefault="00253F58" w:rsidP="001A67C2">
      <w:pPr>
        <w:spacing w:after="0"/>
        <w:rPr>
          <w:rFonts w:ascii="Calibri" w:hAnsi="Calibri" w:cs="Calibri"/>
          <w:color w:val="000000" w:themeColor="text1"/>
        </w:rPr>
      </w:pPr>
    </w:p>
    <w:p w14:paraId="1C3ECD5E" w14:textId="77777777" w:rsidR="00253F58" w:rsidRPr="004E549D" w:rsidRDefault="00253F58" w:rsidP="001A67C2">
      <w:pPr>
        <w:spacing w:after="0"/>
        <w:rPr>
          <w:rFonts w:ascii="Calibri" w:hAnsi="Calibri" w:cs="Calibri"/>
          <w:color w:val="000000" w:themeColor="text1"/>
        </w:rPr>
      </w:pPr>
    </w:p>
    <w:p w14:paraId="2E2A1312" w14:textId="77777777" w:rsidR="00253F58" w:rsidRPr="004E549D" w:rsidRDefault="00253F58" w:rsidP="001A67C2">
      <w:pPr>
        <w:spacing w:after="0"/>
        <w:rPr>
          <w:rFonts w:ascii="Calibri" w:hAnsi="Calibri" w:cs="Calibri"/>
          <w:color w:val="000000" w:themeColor="text1"/>
        </w:rPr>
      </w:pPr>
    </w:p>
    <w:p w14:paraId="5F842FC1" w14:textId="5E188643" w:rsidR="00253F58" w:rsidRPr="004E549D" w:rsidRDefault="00253F58" w:rsidP="001A67C2">
      <w:pPr>
        <w:spacing w:after="0"/>
        <w:rPr>
          <w:rFonts w:ascii="Calibri" w:hAnsi="Calibri" w:cs="Calibri"/>
          <w:color w:val="000000" w:themeColor="text1"/>
        </w:rPr>
      </w:pPr>
      <w:r w:rsidRPr="004E549D">
        <w:rPr>
          <w:rFonts w:ascii="Calibri" w:hAnsi="Calibri" w:cs="Calibri"/>
          <w:color w:val="000000" w:themeColor="text1"/>
          <w:u w:val="single"/>
        </w:rPr>
        <w:t>Trough c</w:t>
      </w:r>
      <w:r w:rsidR="002057C3" w:rsidRPr="004E549D">
        <w:rPr>
          <w:rFonts w:ascii="Calibri" w:hAnsi="Calibri" w:cs="Calibri"/>
          <w:color w:val="000000" w:themeColor="text1"/>
          <w:u w:val="single"/>
        </w:rPr>
        <w:t>oncentration available</w:t>
      </w:r>
      <w:r w:rsidR="002057C3" w:rsidRPr="004E549D">
        <w:rPr>
          <w:rFonts w:ascii="Calibri" w:hAnsi="Calibri" w:cs="Calibri"/>
          <w:color w:val="000000" w:themeColor="text1"/>
        </w:rPr>
        <w:t xml:space="preserve">: </w:t>
      </w:r>
      <w:proofErr w:type="spellStart"/>
      <w:r w:rsidR="002057C3" w:rsidRPr="004E549D">
        <w:rPr>
          <w:rFonts w:ascii="Calibri" w:hAnsi="Calibri" w:cs="Calibri"/>
          <w:color w:val="000000" w:themeColor="text1"/>
        </w:rPr>
        <w:t>CL</w:t>
      </w:r>
      <w:r w:rsidR="002057C3" w:rsidRPr="004E549D">
        <w:rPr>
          <w:rFonts w:ascii="Calibri" w:hAnsi="Calibri" w:cs="Calibri"/>
          <w:color w:val="000000" w:themeColor="text1"/>
          <w:vertAlign w:val="subscript"/>
        </w:rPr>
        <w:t>patient</w:t>
      </w:r>
      <w:proofErr w:type="spellEnd"/>
    </w:p>
    <w:p w14:paraId="62438527" w14:textId="77777777" w:rsidR="00253F58" w:rsidRPr="004E549D" w:rsidRDefault="002057C3" w:rsidP="00112669">
      <w:pPr>
        <w:pStyle w:val="ListParagraph"/>
        <w:spacing w:after="0"/>
        <w:rPr>
          <w:rFonts w:ascii="Calibri" w:hAnsi="Calibri" w:cs="Calibri"/>
          <w:color w:val="000000" w:themeColor="text1"/>
        </w:rPr>
      </w:pPr>
      <w:proofErr w:type="spellStart"/>
      <w:r w:rsidRPr="004E549D">
        <w:rPr>
          <w:rFonts w:ascii="Calibri" w:hAnsi="Calibri" w:cs="Calibri"/>
          <w:color w:val="000000" w:themeColor="text1"/>
        </w:rPr>
        <w:t>Vd</w:t>
      </w:r>
      <w:proofErr w:type="spellEnd"/>
      <w:r w:rsidRPr="004E549D">
        <w:rPr>
          <w:rFonts w:ascii="Calibri" w:hAnsi="Calibri" w:cs="Calibri"/>
          <w:color w:val="000000" w:themeColor="text1"/>
        </w:rPr>
        <w:t xml:space="preserve"> is estimated as above. The measured concentration is matched to the infusion duration and corresponding half-life, and </w:t>
      </w:r>
      <w:r w:rsidR="00253F58" w:rsidRPr="004E549D">
        <w:rPr>
          <w:rFonts w:ascii="Calibri" w:hAnsi="Calibri" w:cs="Calibri"/>
          <w:color w:val="000000" w:themeColor="text1"/>
        </w:rPr>
        <w:t>Clearance</w:t>
      </w:r>
      <w:r w:rsidRPr="004E549D">
        <w:rPr>
          <w:rFonts w:ascii="Calibri" w:hAnsi="Calibri" w:cs="Calibri"/>
          <w:color w:val="000000" w:themeColor="text1"/>
        </w:rPr>
        <w:t xml:space="preserve"> is calculated accordingly.</w:t>
      </w:r>
    </w:p>
    <w:p w14:paraId="041E0B12" w14:textId="77777777" w:rsidR="00253F58" w:rsidRPr="004E549D" w:rsidRDefault="00253F58" w:rsidP="00253F58">
      <w:pPr>
        <w:spacing w:after="0"/>
        <w:rPr>
          <w:rFonts w:ascii="Calibri" w:hAnsi="Calibri" w:cs="Calibri"/>
          <w:color w:val="000000" w:themeColor="text1"/>
        </w:rPr>
      </w:pPr>
    </w:p>
    <w:p w14:paraId="09504194" w14:textId="21EC7E77" w:rsidR="00253F58" w:rsidRPr="004E549D" w:rsidRDefault="00253F58" w:rsidP="00253F58">
      <w:pPr>
        <w:spacing w:after="0"/>
        <w:rPr>
          <w:rFonts w:ascii="Calibri" w:hAnsi="Calibri" w:cs="Calibri"/>
          <w:color w:val="000000" w:themeColor="text1"/>
        </w:rPr>
      </w:pPr>
      <m:oMathPara>
        <m:oMath>
          <m:r>
            <w:rPr>
              <w:rFonts w:ascii="Cambria Math" w:hAnsi="Cambria Math" w:cs="Calibri"/>
              <w:color w:val="000000" w:themeColor="text1"/>
            </w:rPr>
            <m:t>ke=-</m:t>
          </m:r>
          <m:f>
            <m:fPr>
              <m:ctrlPr>
                <w:rPr>
                  <w:rFonts w:ascii="Cambria Math" w:hAnsi="Cambria Math" w:cs="Calibri"/>
                  <w:i/>
                  <w:color w:val="000000" w:themeColor="text1"/>
                </w:rPr>
              </m:ctrlPr>
            </m:fPr>
            <m:num>
              <m:sSub>
                <m:sSubPr>
                  <m:ctrlPr>
                    <w:rPr>
                      <w:rFonts w:ascii="Cambria Math" w:hAnsi="Cambria Math" w:cs="Calibri"/>
                      <w:i/>
                      <w:color w:val="000000" w:themeColor="text1"/>
                    </w:rPr>
                  </m:ctrlPr>
                </m:sSubPr>
                <m:e>
                  <m:r>
                    <m:rPr>
                      <m:sty m:val="p"/>
                    </m:rPr>
                    <w:rPr>
                      <w:rFonts w:ascii="Cambria Math" w:hAnsi="Cambria Math" w:cs="Calibri"/>
                      <w:color w:val="000000" w:themeColor="text1"/>
                    </w:rPr>
                    <m:t>ln⁡</m:t>
                  </m:r>
                  <m:r>
                    <w:rPr>
                      <w:rFonts w:ascii="Cambria Math" w:hAnsi="Cambria Math" w:cs="Calibri"/>
                      <w:color w:val="000000" w:themeColor="text1"/>
                    </w:rPr>
                    <m:t>(Meropenem</m:t>
                  </m:r>
                </m:e>
                <m:sub>
                  <m:r>
                    <w:rPr>
                      <w:rFonts w:ascii="Cambria Math" w:hAnsi="Cambria Math" w:cs="Calibri"/>
                      <w:color w:val="000000" w:themeColor="text1"/>
                    </w:rPr>
                    <m:t>trough</m:t>
                  </m:r>
                </m:sub>
              </m:sSub>
              <m:r>
                <w:rPr>
                  <w:rFonts w:ascii="Cambria Math" w:hAnsi="Cambria Math" w:cs="Calibri"/>
                  <w:color w:val="000000" w:themeColor="text1"/>
                </w:rPr>
                <m:t>)-</m:t>
              </m:r>
              <m:r>
                <m:rPr>
                  <m:sty m:val="p"/>
                </m:rPr>
                <w:rPr>
                  <w:rFonts w:ascii="Cambria Math" w:hAnsi="Cambria Math" w:cs="Calibri"/>
                  <w:color w:val="000000" w:themeColor="text1"/>
                </w:rPr>
                <m:t>ln⁡</m:t>
              </m:r>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Meropenem</m:t>
                  </m:r>
                </m:e>
                <m:sub>
                  <m:r>
                    <w:rPr>
                      <w:rFonts w:ascii="Cambria Math" w:hAnsi="Cambria Math" w:cs="Calibri"/>
                      <w:color w:val="000000" w:themeColor="text1"/>
                    </w:rPr>
                    <m:t>min</m:t>
                  </m:r>
                </m:sub>
              </m:sSub>
              <m:r>
                <w:rPr>
                  <w:rFonts w:ascii="Cambria Math" w:hAnsi="Cambria Math" w:cs="Calibri"/>
                  <w:color w:val="000000" w:themeColor="text1"/>
                </w:rPr>
                <m:t>+</m:t>
              </m:r>
              <m:f>
                <m:fPr>
                  <m:ctrlPr>
                    <w:rPr>
                      <w:rFonts w:ascii="Cambria Math" w:hAnsi="Cambria Math" w:cs="Calibri"/>
                      <w:i/>
                      <w:color w:val="000000" w:themeColor="text1"/>
                    </w:rPr>
                  </m:ctrlPr>
                </m:fPr>
                <m:num>
                  <m:r>
                    <w:rPr>
                      <w:rFonts w:ascii="Cambria Math" w:hAnsi="Cambria Math" w:cs="Calibri"/>
                      <w:color w:val="000000" w:themeColor="text1"/>
                    </w:rPr>
                    <m:t>Dosis</m:t>
                  </m:r>
                </m:num>
                <m:den>
                  <m:r>
                    <w:rPr>
                      <w:rFonts w:ascii="Cambria Math" w:hAnsi="Cambria Math" w:cs="Calibri"/>
                      <w:color w:val="000000" w:themeColor="text1"/>
                    </w:rPr>
                    <m:t>Vd</m:t>
                  </m:r>
                </m:den>
              </m:f>
              <m:r>
                <w:rPr>
                  <w:rFonts w:ascii="Cambria Math" w:hAnsi="Cambria Math" w:cs="Calibri"/>
                  <w:color w:val="000000" w:themeColor="text1"/>
                </w:rPr>
                <m:t>)</m:t>
              </m:r>
            </m:num>
            <m:den>
              <m:r>
                <m:rPr>
                  <m:sty m:val="p"/>
                </m:rPr>
                <w:rPr>
                  <w:rFonts w:ascii="Cambria Math" w:hAnsi="Cambria Math" w:cs="Calibri"/>
                  <w:color w:val="000000" w:themeColor="text1"/>
                </w:rPr>
                <m:t>Δ</m:t>
              </m:r>
              <m:r>
                <w:rPr>
                  <w:rFonts w:ascii="Cambria Math" w:hAnsi="Cambria Math" w:cs="Calibri"/>
                  <w:color w:val="000000" w:themeColor="text1"/>
                </w:rPr>
                <m:t>t</m:t>
              </m:r>
            </m:den>
          </m:f>
        </m:oMath>
      </m:oMathPara>
    </w:p>
    <w:p w14:paraId="2E80BFCF" w14:textId="77777777" w:rsidR="00253F58" w:rsidRPr="004E549D" w:rsidRDefault="00253F58" w:rsidP="00253F58">
      <w:pPr>
        <w:spacing w:after="0"/>
        <w:rPr>
          <w:rFonts w:ascii="Calibri" w:hAnsi="Calibri" w:cs="Calibri"/>
          <w:color w:val="000000" w:themeColor="text1"/>
        </w:rPr>
      </w:pPr>
    </w:p>
    <w:p w14:paraId="0DD26F93" w14:textId="1612E382" w:rsidR="00253F58" w:rsidRPr="004E549D" w:rsidRDefault="004E549D" w:rsidP="00253F58">
      <w:pPr>
        <w:spacing w:after="0"/>
        <w:rPr>
          <w:rFonts w:ascii="Calibri" w:hAnsi="Calibri" w:cs="Calibri"/>
          <w:color w:val="000000" w:themeColor="text1"/>
        </w:rPr>
      </w:pPr>
      <m:oMathPara>
        <m:oMath>
          <m:sSub>
            <m:sSubPr>
              <m:ctrlPr>
                <w:rPr>
                  <w:rFonts w:ascii="Cambria Math" w:hAnsi="Cambria Math" w:cs="Calibri"/>
                  <w:i/>
                  <w:color w:val="000000" w:themeColor="text1"/>
                </w:rPr>
              </m:ctrlPr>
            </m:sSubPr>
            <m:e>
              <m:r>
                <w:rPr>
                  <w:rFonts w:ascii="Cambria Math" w:hAnsi="Cambria Math" w:cs="Calibri"/>
                  <w:color w:val="000000" w:themeColor="text1"/>
                </w:rPr>
                <m:t>CL</m:t>
              </m:r>
            </m:e>
            <m:sub>
              <m:r>
                <w:rPr>
                  <w:rFonts w:ascii="Cambria Math" w:hAnsi="Cambria Math" w:cs="Calibri"/>
                  <w:color w:val="000000" w:themeColor="text1"/>
                </w:rPr>
                <m:t>patient</m:t>
              </m:r>
            </m:sub>
          </m:sSub>
          <m:r>
            <w:rPr>
              <w:rFonts w:ascii="Cambria Math" w:hAnsi="Cambria Math" w:cs="Calibri"/>
              <w:color w:val="000000" w:themeColor="text1"/>
            </w:rPr>
            <m:t>=</m:t>
          </m:r>
          <m:r>
            <w:rPr>
              <w:rFonts w:ascii="Cambria Math" w:hAnsi="Cambria Math" w:cs="Calibri"/>
              <w:color w:val="000000" w:themeColor="text1"/>
            </w:rPr>
            <m:t>ke</m:t>
          </m:r>
          <m:r>
            <w:rPr>
              <w:rFonts w:ascii="Cambria Math" w:hAnsi="Cambria Math" w:cs="Calibri"/>
              <w:color w:val="000000" w:themeColor="text1"/>
            </w:rPr>
            <m:t>×</m:t>
          </m:r>
          <m:r>
            <w:rPr>
              <w:rFonts w:ascii="Cambria Math" w:hAnsi="Cambria Math" w:cs="Calibri"/>
              <w:color w:val="000000" w:themeColor="text1"/>
            </w:rPr>
            <m:t>Vd</m:t>
          </m:r>
        </m:oMath>
      </m:oMathPara>
    </w:p>
    <w:p w14:paraId="75DE5E91" w14:textId="6D3FD421" w:rsidR="00253F58" w:rsidRPr="004E549D" w:rsidRDefault="00253F58" w:rsidP="002057C3">
      <w:pPr>
        <w:spacing w:after="0"/>
        <w:rPr>
          <w:rFonts w:ascii="Calibri" w:hAnsi="Calibri" w:cs="Calibri"/>
          <w:color w:val="000000" w:themeColor="text1"/>
        </w:rPr>
      </w:pPr>
    </w:p>
    <w:p w14:paraId="2A972509" w14:textId="6488DAE5" w:rsidR="002057C3" w:rsidRPr="004E549D" w:rsidRDefault="002057C3" w:rsidP="00253F58">
      <w:pPr>
        <w:spacing w:after="0"/>
        <w:rPr>
          <w:rFonts w:ascii="Calibri" w:hAnsi="Calibri" w:cs="Calibri"/>
          <w:b/>
          <w:bCs/>
          <w:color w:val="000000" w:themeColor="text1"/>
        </w:rPr>
      </w:pPr>
      <w:r w:rsidRPr="004E549D">
        <w:rPr>
          <w:rFonts w:ascii="Calibri" w:hAnsi="Calibri" w:cs="Calibri"/>
          <w:b/>
          <w:bCs/>
          <w:color w:val="000000" w:themeColor="text1"/>
        </w:rPr>
        <w:t>References</w:t>
      </w:r>
    </w:p>
    <w:p w14:paraId="19DE1A91" w14:textId="77777777" w:rsidR="002057C3" w:rsidRPr="004E549D" w:rsidRDefault="002057C3" w:rsidP="002057C3">
      <w:pPr>
        <w:spacing w:after="0"/>
        <w:rPr>
          <w:rFonts w:ascii="Calibri" w:hAnsi="Calibri" w:cs="Calibri"/>
          <w:color w:val="000000" w:themeColor="text1"/>
        </w:rPr>
      </w:pPr>
      <w:r w:rsidRPr="004E549D">
        <w:rPr>
          <w:rFonts w:ascii="Calibri" w:hAnsi="Calibri" w:cs="Calibri"/>
          <w:color w:val="000000" w:themeColor="text1"/>
        </w:rPr>
        <w:br/>
        <w:t>[1] Murphy JE. Clinical pharmacokinetics. 7th Ed. American Society of Health Pharmacists (ASHP), 2021.</w:t>
      </w:r>
    </w:p>
    <w:p w14:paraId="41494C2B" w14:textId="77777777" w:rsidR="002057C3" w:rsidRPr="004E549D" w:rsidRDefault="002057C3" w:rsidP="002057C3">
      <w:pPr>
        <w:spacing w:after="0"/>
        <w:rPr>
          <w:rFonts w:ascii="Calibri" w:hAnsi="Calibri" w:cs="Calibri"/>
          <w:color w:val="000000" w:themeColor="text1"/>
        </w:rPr>
      </w:pPr>
      <w:r w:rsidRPr="004E549D">
        <w:rPr>
          <w:rFonts w:ascii="Calibri" w:hAnsi="Calibri" w:cs="Calibri"/>
          <w:color w:val="000000" w:themeColor="text1"/>
        </w:rPr>
        <w:br/>
        <w:t xml:space="preserve">[2] Dettli L. The kidney in pre-clinical and clinical pharmacokinetics. </w:t>
      </w:r>
      <w:proofErr w:type="spellStart"/>
      <w:r w:rsidRPr="004E549D">
        <w:rPr>
          <w:rFonts w:ascii="Calibri" w:hAnsi="Calibri" w:cs="Calibri"/>
          <w:color w:val="000000" w:themeColor="text1"/>
        </w:rPr>
        <w:t>Jpn</w:t>
      </w:r>
      <w:proofErr w:type="spellEnd"/>
      <w:r w:rsidRPr="004E549D">
        <w:rPr>
          <w:rFonts w:ascii="Calibri" w:hAnsi="Calibri" w:cs="Calibri"/>
          <w:color w:val="000000" w:themeColor="text1"/>
        </w:rPr>
        <w:t xml:space="preserve"> J </w:t>
      </w:r>
      <w:proofErr w:type="spellStart"/>
      <w:r w:rsidRPr="004E549D">
        <w:rPr>
          <w:rFonts w:ascii="Calibri" w:hAnsi="Calibri" w:cs="Calibri"/>
          <w:color w:val="000000" w:themeColor="text1"/>
        </w:rPr>
        <w:t>Clin</w:t>
      </w:r>
      <w:proofErr w:type="spellEnd"/>
      <w:r w:rsidRPr="004E549D">
        <w:rPr>
          <w:rFonts w:ascii="Calibri" w:hAnsi="Calibri" w:cs="Calibri"/>
          <w:color w:val="000000" w:themeColor="text1"/>
        </w:rPr>
        <w:t xml:space="preserve"> </w:t>
      </w:r>
      <w:proofErr w:type="spellStart"/>
      <w:r w:rsidRPr="004E549D">
        <w:rPr>
          <w:rFonts w:ascii="Calibri" w:hAnsi="Calibri" w:cs="Calibri"/>
          <w:color w:val="000000" w:themeColor="text1"/>
        </w:rPr>
        <w:t>Pharmacol</w:t>
      </w:r>
      <w:proofErr w:type="spellEnd"/>
      <w:r w:rsidRPr="004E549D">
        <w:rPr>
          <w:rFonts w:ascii="Calibri" w:hAnsi="Calibri" w:cs="Calibri"/>
          <w:color w:val="000000" w:themeColor="text1"/>
        </w:rPr>
        <w:t xml:space="preserve"> Ther 1984</w:t>
      </w:r>
      <w:proofErr w:type="gramStart"/>
      <w:r w:rsidRPr="004E549D">
        <w:rPr>
          <w:rFonts w:ascii="Calibri" w:hAnsi="Calibri" w:cs="Calibri"/>
          <w:color w:val="000000" w:themeColor="text1"/>
        </w:rPr>
        <w:t>;15:241</w:t>
      </w:r>
      <w:proofErr w:type="gramEnd"/>
      <w:r w:rsidRPr="004E549D">
        <w:rPr>
          <w:rFonts w:ascii="Calibri" w:hAnsi="Calibri" w:cs="Calibri"/>
          <w:color w:val="000000" w:themeColor="text1"/>
        </w:rPr>
        <w:t>–54.</w:t>
      </w:r>
    </w:p>
    <w:p w14:paraId="617870B6" w14:textId="77777777" w:rsidR="002057C3" w:rsidRPr="004E549D" w:rsidRDefault="002057C3" w:rsidP="002057C3">
      <w:pPr>
        <w:spacing w:after="0"/>
        <w:rPr>
          <w:rFonts w:ascii="Calibri" w:hAnsi="Calibri" w:cs="Calibri"/>
          <w:color w:val="000000" w:themeColor="text1"/>
        </w:rPr>
      </w:pPr>
      <w:r w:rsidRPr="004E549D">
        <w:rPr>
          <w:rFonts w:ascii="Calibri" w:hAnsi="Calibri" w:cs="Calibri"/>
          <w:color w:val="000000" w:themeColor="text1"/>
        </w:rPr>
        <w:br/>
        <w:t>[3] Product information Meronem®, Germany. Updated May 2021.</w:t>
      </w:r>
    </w:p>
    <w:p w14:paraId="2E5F3545" w14:textId="33FBE477" w:rsidR="00212F3A" w:rsidRPr="004E549D" w:rsidRDefault="002057C3" w:rsidP="002057C3">
      <w:pPr>
        <w:spacing w:after="0"/>
        <w:rPr>
          <w:rFonts w:ascii="Calibri" w:hAnsi="Calibri" w:cs="Calibri"/>
          <w:color w:val="000000" w:themeColor="text1"/>
        </w:rPr>
      </w:pPr>
      <w:r w:rsidRPr="004E549D">
        <w:rPr>
          <w:rFonts w:ascii="Calibri" w:hAnsi="Calibri" w:cs="Calibri"/>
          <w:color w:val="000000" w:themeColor="text1"/>
        </w:rPr>
        <w:br/>
        <w:t>[4] Cockcroft DW, Gault MH. Prediction of creatinine clearance from serum creatinine. Nephron 1976</w:t>
      </w:r>
      <w:proofErr w:type="gramStart"/>
      <w:r w:rsidRPr="004E549D">
        <w:rPr>
          <w:rFonts w:ascii="Calibri" w:hAnsi="Calibri" w:cs="Calibri"/>
          <w:color w:val="000000" w:themeColor="text1"/>
        </w:rPr>
        <w:t>;16:31</w:t>
      </w:r>
      <w:proofErr w:type="gramEnd"/>
      <w:r w:rsidRPr="004E549D">
        <w:rPr>
          <w:rFonts w:ascii="Calibri" w:hAnsi="Calibri" w:cs="Calibri"/>
          <w:color w:val="000000" w:themeColor="text1"/>
        </w:rPr>
        <w:t>–41.</w:t>
      </w:r>
    </w:p>
    <w:p w14:paraId="3B8F5F2A" w14:textId="77777777" w:rsidR="002057C3" w:rsidRPr="004E549D" w:rsidRDefault="002057C3" w:rsidP="00253F58">
      <w:pPr>
        <w:spacing w:after="0"/>
        <w:rPr>
          <w:rFonts w:ascii="Calibri" w:hAnsi="Calibri" w:cs="Calibri"/>
          <w:color w:val="000000" w:themeColor="text1"/>
        </w:rPr>
      </w:pPr>
    </w:p>
    <w:p w14:paraId="3A06AB9C" w14:textId="77777777" w:rsidR="004E549D" w:rsidRPr="004E549D" w:rsidRDefault="004E549D">
      <w:pPr>
        <w:spacing w:after="0"/>
        <w:rPr>
          <w:rFonts w:ascii="Calibri" w:hAnsi="Calibri" w:cs="Calibri"/>
          <w:color w:val="000000" w:themeColor="text1"/>
        </w:rPr>
      </w:pPr>
    </w:p>
    <w:sectPr w:rsidR="004E549D" w:rsidRPr="004E549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FD5F75"/>
    <w:multiLevelType w:val="hybridMultilevel"/>
    <w:tmpl w:val="B8761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06074D"/>
    <w:multiLevelType w:val="hybridMultilevel"/>
    <w:tmpl w:val="63E4BD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12669"/>
    <w:rsid w:val="0015074B"/>
    <w:rsid w:val="001A67C2"/>
    <w:rsid w:val="002057C3"/>
    <w:rsid w:val="00212F3A"/>
    <w:rsid w:val="00253F58"/>
    <w:rsid w:val="0029639D"/>
    <w:rsid w:val="00326F90"/>
    <w:rsid w:val="003A48A8"/>
    <w:rsid w:val="004E549D"/>
    <w:rsid w:val="005E326F"/>
    <w:rsid w:val="00AA1D8D"/>
    <w:rsid w:val="00B47730"/>
    <w:rsid w:val="00B47AD5"/>
    <w:rsid w:val="00C0738D"/>
    <w:rsid w:val="00CB0664"/>
    <w:rsid w:val="00E57D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7E36C2"/>
  <w14:defaultImageDpi w14:val="300"/>
  <w15:docId w15:val="{DDB365DE-55B6-4558-B6CD-C2084823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1A67C2"/>
    <w:rPr>
      <w:color w:val="666666"/>
    </w:rPr>
  </w:style>
  <w:style w:type="paragraph" w:styleId="Revision">
    <w:name w:val="Revision"/>
    <w:hidden/>
    <w:uiPriority w:val="99"/>
    <w:semiHidden/>
    <w:rsid w:val="001A67C2"/>
    <w:pPr>
      <w:spacing w:after="0" w:line="240" w:lineRule="auto"/>
    </w:pPr>
    <w:rPr>
      <w:rFonts w:ascii="Arial" w:hAnsi="Arial"/>
    </w:rPr>
  </w:style>
  <w:style w:type="character" w:styleId="Hyperlink">
    <w:name w:val="Hyperlink"/>
    <w:basedOn w:val="DefaultParagraphFont"/>
    <w:uiPriority w:val="99"/>
    <w:unhideWhenUsed/>
    <w:rsid w:val="00253F58"/>
    <w:rPr>
      <w:color w:val="0000FF" w:themeColor="hyperlink"/>
      <w:u w:val="single"/>
    </w:rPr>
  </w:style>
  <w:style w:type="character" w:customStyle="1" w:styleId="UnresolvedMention">
    <w:name w:val="Unresolved Mention"/>
    <w:basedOn w:val="DefaultParagraphFont"/>
    <w:uiPriority w:val="99"/>
    <w:semiHidden/>
    <w:unhideWhenUsed/>
    <w:rsid w:val="00253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doseeasy.de/"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80e517a-ee03-4043-895e-7d16c3d6634b"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96484DD9D2C9C340ABA922F7F76362F0" ma:contentTypeVersion="17" ma:contentTypeDescription="Create a new document." ma:contentTypeScope="" ma:versionID="9603c4a7a5db434808a1bcfaeb3979f8">
  <xsd:schema xmlns:xsd="http://www.w3.org/2001/XMLSchema" xmlns:xs="http://www.w3.org/2001/XMLSchema" xmlns:p="http://schemas.microsoft.com/office/2006/metadata/properties" xmlns:ns2="db829347-05ba-402c-b6a1-3a56011fd763" xmlns:ns3="03bc4f5f-0e82-479b-a93c-700655a15aad" targetNamespace="http://schemas.microsoft.com/office/2006/metadata/properties" ma:root="true" ma:fieldsID="daad2f4ea3bdc2e37cba8bff07d9448e" ns2:_="" ns3:_="">
    <xsd:import namespace="db829347-05ba-402c-b6a1-3a56011fd763"/>
    <xsd:import namespace="03bc4f5f-0e82-479b-a93c-700655a15a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29347-05ba-402c-b6a1-3a56011fd7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07b065d-17c9-45b2-9adf-c7627d096c19}" ma:internalName="TaxCatchAll" ma:showField="CatchAllData" ma:web="db829347-05ba-402c-b6a1-3a56011fd7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bc4f5f-0e82-479b-a93c-700655a15a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80e517a-ee03-4043-895e-7d16c3d6634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bc4f5f-0e82-479b-a93c-700655a15aad">
      <Terms xmlns="http://schemas.microsoft.com/office/infopath/2007/PartnerControls"/>
    </lcf76f155ced4ddcb4097134ff3c332f>
    <TaxCatchAll xmlns="db829347-05ba-402c-b6a1-3a56011fd76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CCC5-B2FA-40F9-BD58-543B9BF27EF7}">
  <ds:schemaRefs>
    <ds:schemaRef ds:uri="http://schemas.microsoft.com/sharepoint/v3/contenttype/forms"/>
  </ds:schemaRefs>
</ds:datastoreItem>
</file>

<file path=customXml/itemProps2.xml><?xml version="1.0" encoding="utf-8"?>
<ds:datastoreItem xmlns:ds="http://schemas.openxmlformats.org/officeDocument/2006/customXml" ds:itemID="{721A97FF-0246-487B-8F9A-C7C56D17B4D1}">
  <ds:schemaRefs>
    <ds:schemaRef ds:uri="Microsoft.SharePoint.Taxonomy.ContentTypeSync"/>
  </ds:schemaRefs>
</ds:datastoreItem>
</file>

<file path=customXml/itemProps3.xml><?xml version="1.0" encoding="utf-8"?>
<ds:datastoreItem xmlns:ds="http://schemas.openxmlformats.org/officeDocument/2006/customXml" ds:itemID="{A9CE7746-DD02-4EC2-9D6B-54DAD5229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29347-05ba-402c-b6a1-3a56011fd763"/>
    <ds:schemaRef ds:uri="03bc4f5f-0e82-479b-a93c-700655a15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C1B11-3038-449F-9BDA-8A16FB9C374A}">
  <ds:schemaRefs>
    <ds:schemaRef ds:uri="http://schemas.microsoft.com/office/2006/metadata/properties"/>
    <ds:schemaRef ds:uri="http://schemas.microsoft.com/office/infopath/2007/PartnerControls"/>
    <ds:schemaRef ds:uri="03bc4f5f-0e82-479b-a93c-700655a15aad"/>
    <ds:schemaRef ds:uri="db829347-05ba-402c-b6a1-3a56011fd763"/>
  </ds:schemaRefs>
</ds:datastoreItem>
</file>

<file path=customXml/itemProps5.xml><?xml version="1.0" encoding="utf-8"?>
<ds:datastoreItem xmlns:ds="http://schemas.openxmlformats.org/officeDocument/2006/customXml" ds:itemID="{066AC05F-E173-41D0-99C1-F2C298641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Priyanka  Ravichandran</cp:lastModifiedBy>
  <cp:revision>6</cp:revision>
  <dcterms:created xsi:type="dcterms:W3CDTF">2025-04-25T12:09:00Z</dcterms:created>
  <dcterms:modified xsi:type="dcterms:W3CDTF">2025-05-09T08:20:00Z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0x01010096484DD9D2C9C340ABA922F7F76362F0</vt:lpwstr>
  </property>
</Properties>
</file>