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A30" w:rsidRPr="00E14A30" w:rsidRDefault="00E14A30" w:rsidP="00E14A30">
      <w:pPr>
        <w:spacing w:after="240"/>
        <w:rPr>
          <w:b/>
          <w:caps/>
          <w:color w:val="000000" w:themeColor="text1"/>
          <w:lang w:val="en-GB"/>
        </w:rPr>
      </w:pPr>
      <w:r w:rsidRPr="00E14A30">
        <w:rPr>
          <w:b/>
          <w:caps/>
          <w:color w:val="000000" w:themeColor="text1"/>
          <w:lang w:val="en-GB"/>
        </w:rPr>
        <w:t>Supplementary Tables</w:t>
      </w:r>
    </w:p>
    <w:p w:rsidR="00E14A30" w:rsidRPr="00E14A30" w:rsidRDefault="00E14A30" w:rsidP="00E14A30">
      <w:pPr>
        <w:spacing w:after="180"/>
        <w:rPr>
          <w:b/>
          <w:i/>
          <w:iCs/>
          <w:color w:val="000000" w:themeColor="text1"/>
          <w:lang w:val="en-GB"/>
        </w:rPr>
      </w:pPr>
      <w:r w:rsidRPr="00E14A30">
        <w:rPr>
          <w:b/>
          <w:i/>
          <w:iCs/>
          <w:color w:val="000000" w:themeColor="text1"/>
          <w:lang w:val="en-GB"/>
        </w:rPr>
        <w:t xml:space="preserve">Supplementary Table 1. </w:t>
      </w:r>
      <w:r w:rsidRPr="00E14A30">
        <w:rPr>
          <w:bCs/>
          <w:i/>
          <w:iCs/>
          <w:color w:val="000000" w:themeColor="text1"/>
          <w:lang w:val="en-GB"/>
        </w:rPr>
        <w:t>List of the most common ID diagnoses.</w:t>
      </w:r>
    </w:p>
    <w:tbl>
      <w:tblPr>
        <w:tblStyle w:val="TableGrid"/>
        <w:tblW w:w="0" w:type="auto"/>
        <w:tblLook w:val="04A0" w:firstRow="1" w:lastRow="0" w:firstColumn="1" w:lastColumn="0" w:noHBand="0" w:noVBand="1"/>
      </w:tblPr>
      <w:tblGrid>
        <w:gridCol w:w="972"/>
        <w:gridCol w:w="4652"/>
        <w:gridCol w:w="973"/>
        <w:gridCol w:w="1150"/>
        <w:gridCol w:w="1269"/>
      </w:tblGrid>
      <w:tr w:rsidR="00E14A30" w:rsidRPr="00E14A30" w:rsidTr="005E6A72">
        <w:tc>
          <w:tcPr>
            <w:tcW w:w="974"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ICD10 code</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Full description</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Cases [n]</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Cumulative cases [n]</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Cumulative cases [%]</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N39.0</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Urinary tract infection</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2,025</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2,025</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12,1%</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J18.8</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Other pneumonia, organism unspecified</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1,152</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3,177</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17,8%</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J12.8</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Other viral pneumonia</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1,083</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4,260</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23,8%</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A46</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Erysipelas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454</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4,714</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26,4%</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A41.51</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 xml:space="preserve">Sepsis due to </w:t>
            </w:r>
            <w:r w:rsidRPr="00E14A30">
              <w:rPr>
                <w:rFonts w:ascii="Times New Roman" w:hAnsi="Times New Roman" w:cs="Times New Roman"/>
                <w:i/>
                <w:iCs/>
                <w:color w:val="000000" w:themeColor="text1"/>
                <w:sz w:val="20"/>
                <w:szCs w:val="20"/>
                <w:lang w:val="en-GB"/>
              </w:rPr>
              <w:t>Escherichia coli [E. coli]</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394</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5,108</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28,6%</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J44.09</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Chronic obstructive pulmonary disease with acute lower respiratory tract infection: FEV1 not specified</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383</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5,491</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30,7%</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T84.5</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Infection and inflammatory reaction associated with a joint prosthesis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381</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5,872</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32,8%</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J36</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proofErr w:type="spellStart"/>
            <w:r w:rsidRPr="00E14A30">
              <w:rPr>
                <w:rFonts w:ascii="Times New Roman" w:hAnsi="Times New Roman" w:cs="Times New Roman"/>
                <w:color w:val="000000" w:themeColor="text1"/>
                <w:sz w:val="20"/>
                <w:szCs w:val="20"/>
                <w:lang w:val="en-GB"/>
              </w:rPr>
              <w:t>Peritonsillar</w:t>
            </w:r>
            <w:proofErr w:type="spellEnd"/>
            <w:r w:rsidRPr="00E14A30">
              <w:rPr>
                <w:rFonts w:ascii="Times New Roman" w:hAnsi="Times New Roman" w:cs="Times New Roman"/>
                <w:color w:val="000000" w:themeColor="text1"/>
                <w:sz w:val="20"/>
                <w:szCs w:val="20"/>
                <w:lang w:val="en-GB"/>
              </w:rPr>
              <w:t xml:space="preserve"> abscess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300</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6,172</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34,5%</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J06.8</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Other acute upper respiratory infections of multiple sites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296</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6,468</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36,2%</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J44.00</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Chronic obstructive pulmonary disease with acute lower respiratory tract infection: FEV1 &lt; 35% of the predicted value</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292</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6,760</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37,8%</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L03.01</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Cellulitis of finger</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252</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7,012</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39,2%</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L03.10</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Cellulitis of upper limb</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246</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7,258</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40,6%</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A49.8</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Other bacterial infections of unspecified site</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230</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7,488</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41,9%</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K57.32</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Diverticulitis of the large intestine without perforation, abscess, or indication of bleeding</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225</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7,713</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43,1%</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B34.2</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Coronavirus infection of unspecified site</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222</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7,935</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44,4%</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N45.9</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proofErr w:type="spellStart"/>
            <w:r w:rsidRPr="00E14A30">
              <w:rPr>
                <w:rFonts w:ascii="Times New Roman" w:hAnsi="Times New Roman" w:cs="Times New Roman"/>
                <w:color w:val="000000" w:themeColor="text1"/>
                <w:sz w:val="20"/>
                <w:szCs w:val="20"/>
                <w:lang w:val="en-GB"/>
              </w:rPr>
              <w:t>Orchitis</w:t>
            </w:r>
            <w:proofErr w:type="spellEnd"/>
            <w:r w:rsidRPr="00E14A30">
              <w:rPr>
                <w:rFonts w:ascii="Times New Roman" w:hAnsi="Times New Roman" w:cs="Times New Roman"/>
                <w:color w:val="000000" w:themeColor="text1"/>
                <w:sz w:val="20"/>
                <w:szCs w:val="20"/>
                <w:lang w:val="en-GB"/>
              </w:rPr>
              <w:t xml:space="preserve">, epididymitis, and </w:t>
            </w:r>
            <w:proofErr w:type="spellStart"/>
            <w:r w:rsidRPr="00E14A30">
              <w:rPr>
                <w:rFonts w:ascii="Times New Roman" w:hAnsi="Times New Roman" w:cs="Times New Roman"/>
                <w:color w:val="000000" w:themeColor="text1"/>
                <w:sz w:val="20"/>
                <w:szCs w:val="20"/>
                <w:lang w:val="en-GB"/>
              </w:rPr>
              <w:t>epididymo-orchitis</w:t>
            </w:r>
            <w:proofErr w:type="spellEnd"/>
            <w:r w:rsidRPr="00E14A30">
              <w:rPr>
                <w:rFonts w:ascii="Times New Roman" w:hAnsi="Times New Roman" w:cs="Times New Roman"/>
                <w:color w:val="000000" w:themeColor="text1"/>
                <w:sz w:val="20"/>
                <w:szCs w:val="20"/>
                <w:lang w:val="en-GB"/>
              </w:rPr>
              <w:t xml:space="preserve"> without abscess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210</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8,145</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45,6%</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J44.01</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lang w:val="en-GB"/>
              </w:rPr>
              <w:t>Chronic obstructive pulmonary disease with acute lower respiratory tract infection: FEV1 ≥ 35% and &lt; 50% of the predicted value</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197</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8,342</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46,7%</w:t>
            </w:r>
          </w:p>
        </w:tc>
      </w:tr>
      <w:tr w:rsidR="00E14A30" w:rsidRPr="00E14A30" w:rsidTr="005E6A72">
        <w:tc>
          <w:tcPr>
            <w:tcW w:w="974" w:type="dxa"/>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A41.8</w:t>
            </w:r>
          </w:p>
        </w:tc>
        <w:tc>
          <w:tcPr>
            <w:tcW w:w="4691"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Other specified sepsis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194</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8,536</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47,7%</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A41.9</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Sepsis, unspecified</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188</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8,724</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48,8%</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A41.58</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Sepsis due to other Gram-negative organisms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184</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8,908</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49,8%</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K57.22</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Diverticulitis of the large intestine with perforation and abscess, without mention of bleeding</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174</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9,082</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50,8%</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J69.0</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Pneumonia caused by food or vomit</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173</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9,255</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51,8%</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T84.6</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Infection and inflammatory reaction due to internal fixation device</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171</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9,426</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52,7%</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J20.9</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Acute bronchitis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165</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9,591</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53,6%</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L02.4</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Skin abscess, furuncle, and carbuncle on the extremities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151</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9,742</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54,5%</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L05.0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Pilonidal cyst with abscess</w:t>
            </w:r>
          </w:p>
        </w:tc>
        <w:tc>
          <w:tcPr>
            <w:tcW w:w="977"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133</w:t>
            </w:r>
          </w:p>
        </w:tc>
        <w:tc>
          <w:tcPr>
            <w:tcW w:w="115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9,875</w:t>
            </w:r>
          </w:p>
        </w:tc>
        <w:tc>
          <w:tcPr>
            <w:tcW w:w="1270" w:type="dxa"/>
            <w:vAlign w:val="center"/>
          </w:tcPr>
          <w:p w:rsidR="00E14A30" w:rsidRPr="00E14A30" w:rsidRDefault="00E14A30" w:rsidP="005E6A72">
            <w:pPr>
              <w:rPr>
                <w:rFonts w:ascii="Times New Roman" w:hAnsi="Times New Roman" w:cs="Times New Roman"/>
                <w:b/>
                <w:color w:val="000000" w:themeColor="text1"/>
                <w:sz w:val="20"/>
                <w:szCs w:val="20"/>
                <w:lang w:val="en-GB"/>
              </w:rPr>
            </w:pPr>
            <w:r w:rsidRPr="00E14A30">
              <w:rPr>
                <w:rFonts w:ascii="Times New Roman" w:hAnsi="Times New Roman" w:cs="Times New Roman"/>
                <w:color w:val="000000" w:themeColor="text1"/>
                <w:sz w:val="20"/>
                <w:szCs w:val="20"/>
              </w:rPr>
              <w:t>55,2%</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J22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Acute lower respiratory tract infection</w:t>
            </w:r>
          </w:p>
        </w:tc>
        <w:tc>
          <w:tcPr>
            <w:tcW w:w="977"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130</w:t>
            </w:r>
          </w:p>
        </w:tc>
        <w:tc>
          <w:tcPr>
            <w:tcW w:w="115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10,005</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56,0%</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N45.0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proofErr w:type="spellStart"/>
            <w:r w:rsidRPr="00E14A30">
              <w:rPr>
                <w:rFonts w:ascii="Times New Roman" w:hAnsi="Times New Roman" w:cs="Times New Roman"/>
                <w:color w:val="000000" w:themeColor="text1"/>
                <w:sz w:val="20"/>
                <w:szCs w:val="20"/>
                <w:lang w:val="en-GB"/>
              </w:rPr>
              <w:t>Orchitis</w:t>
            </w:r>
            <w:proofErr w:type="spellEnd"/>
            <w:r w:rsidRPr="00E14A30">
              <w:rPr>
                <w:rFonts w:ascii="Times New Roman" w:hAnsi="Times New Roman" w:cs="Times New Roman"/>
                <w:color w:val="000000" w:themeColor="text1"/>
                <w:sz w:val="20"/>
                <w:szCs w:val="20"/>
                <w:lang w:val="en-GB"/>
              </w:rPr>
              <w:t xml:space="preserve">, epididymitis, and </w:t>
            </w:r>
            <w:proofErr w:type="spellStart"/>
            <w:r w:rsidRPr="00E14A30">
              <w:rPr>
                <w:rFonts w:ascii="Times New Roman" w:hAnsi="Times New Roman" w:cs="Times New Roman"/>
                <w:color w:val="000000" w:themeColor="text1"/>
                <w:sz w:val="20"/>
                <w:szCs w:val="20"/>
                <w:lang w:val="en-GB"/>
              </w:rPr>
              <w:t>epididymo-orchitis</w:t>
            </w:r>
            <w:proofErr w:type="spellEnd"/>
            <w:r w:rsidRPr="00E14A30">
              <w:rPr>
                <w:rFonts w:ascii="Times New Roman" w:hAnsi="Times New Roman" w:cs="Times New Roman"/>
                <w:color w:val="000000" w:themeColor="text1"/>
                <w:sz w:val="20"/>
                <w:szCs w:val="20"/>
                <w:lang w:val="en-GB"/>
              </w:rPr>
              <w:t xml:space="preserve"> with abscess</w:t>
            </w:r>
          </w:p>
        </w:tc>
        <w:tc>
          <w:tcPr>
            <w:tcW w:w="977"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127</w:t>
            </w:r>
          </w:p>
        </w:tc>
        <w:tc>
          <w:tcPr>
            <w:tcW w:w="115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10,132</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56,7%</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T82.7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Infection and inflammatory reaction due to other devices, implants, or grafts in the heart and blood vessels</w:t>
            </w:r>
          </w:p>
        </w:tc>
        <w:tc>
          <w:tcPr>
            <w:tcW w:w="977"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127</w:t>
            </w:r>
          </w:p>
        </w:tc>
        <w:tc>
          <w:tcPr>
            <w:tcW w:w="115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10,259</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57,4%</w:t>
            </w:r>
          </w:p>
        </w:tc>
      </w:tr>
      <w:tr w:rsidR="00E14A30" w:rsidRPr="00E14A30" w:rsidTr="005E6A72">
        <w:tc>
          <w:tcPr>
            <w:tcW w:w="974"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K57.31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Diverticulosis of the colon without perforation or abscess, with bleeding</w:t>
            </w:r>
          </w:p>
        </w:tc>
        <w:tc>
          <w:tcPr>
            <w:tcW w:w="977"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124</w:t>
            </w:r>
          </w:p>
        </w:tc>
        <w:tc>
          <w:tcPr>
            <w:tcW w:w="115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10,383</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58,1%</w:t>
            </w:r>
          </w:p>
        </w:tc>
      </w:tr>
      <w:tr w:rsidR="00E14A30" w:rsidRPr="00E14A30" w:rsidTr="005E6A72">
        <w:tc>
          <w:tcPr>
            <w:tcW w:w="974"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J10.1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Influenza with other respiratory manifestations, seasonal influenza viruses identified</w:t>
            </w:r>
          </w:p>
        </w:tc>
        <w:tc>
          <w:tcPr>
            <w:tcW w:w="977"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122</w:t>
            </w:r>
          </w:p>
        </w:tc>
        <w:tc>
          <w:tcPr>
            <w:tcW w:w="115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10,505</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58,8%</w:t>
            </w:r>
          </w:p>
        </w:tc>
      </w:tr>
      <w:tr w:rsidR="00E14A30" w:rsidRPr="00E14A30" w:rsidTr="005E6A72">
        <w:tc>
          <w:tcPr>
            <w:tcW w:w="974"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A04.70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Clostridium difficile enterocolitis without megacolon, without other organ complications</w:t>
            </w:r>
          </w:p>
        </w:tc>
        <w:tc>
          <w:tcPr>
            <w:tcW w:w="977"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121</w:t>
            </w:r>
          </w:p>
        </w:tc>
        <w:tc>
          <w:tcPr>
            <w:tcW w:w="115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10,626</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59,4%</w:t>
            </w:r>
          </w:p>
        </w:tc>
      </w:tr>
      <w:tr w:rsidR="00E14A30" w:rsidRPr="00E14A30" w:rsidTr="005E6A72">
        <w:tc>
          <w:tcPr>
            <w:tcW w:w="974"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L02.2     </w:t>
            </w:r>
          </w:p>
        </w:tc>
        <w:tc>
          <w:tcPr>
            <w:tcW w:w="4691" w:type="dxa"/>
            <w:vAlign w:val="center"/>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Skin abscess, furuncle, and carbuncle</w:t>
            </w:r>
          </w:p>
        </w:tc>
        <w:tc>
          <w:tcPr>
            <w:tcW w:w="977"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117</w:t>
            </w:r>
          </w:p>
        </w:tc>
        <w:tc>
          <w:tcPr>
            <w:tcW w:w="115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10,743</w:t>
            </w:r>
          </w:p>
        </w:tc>
        <w:tc>
          <w:tcPr>
            <w:tcW w:w="1270" w:type="dxa"/>
            <w:vAlign w:val="center"/>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60,1%</w:t>
            </w:r>
          </w:p>
        </w:tc>
      </w:tr>
    </w:tbl>
    <w:p w:rsidR="00E14A30" w:rsidRPr="00E14A30" w:rsidRDefault="00E14A30" w:rsidP="00E14A30">
      <w:pPr>
        <w:spacing w:before="120" w:line="276" w:lineRule="auto"/>
        <w:jc w:val="both"/>
        <w:rPr>
          <w:b/>
          <w:i/>
          <w:iCs/>
          <w:color w:val="000000" w:themeColor="text1"/>
          <w:sz w:val="20"/>
          <w:szCs w:val="20"/>
          <w:lang w:val="en-GB"/>
        </w:rPr>
      </w:pPr>
      <w:r w:rsidRPr="00E14A30">
        <w:rPr>
          <w:i/>
          <w:iCs/>
          <w:color w:val="000000" w:themeColor="text1"/>
          <w:sz w:val="20"/>
          <w:szCs w:val="20"/>
        </w:rPr>
        <w:lastRenderedPageBreak/>
        <w:t>Cases with ICD-10 codes classified as IDs were listed in descending order based on the number of cases per ICD-10 code.</w:t>
      </w:r>
      <w:r w:rsidRPr="00E14A30">
        <w:rPr>
          <w:b/>
          <w:color w:val="000000" w:themeColor="text1"/>
          <w:lang w:val="en-GB"/>
        </w:rPr>
        <w:br w:type="page"/>
      </w:r>
    </w:p>
    <w:p w:rsidR="00E14A30" w:rsidRPr="00E14A30" w:rsidRDefault="00E14A30" w:rsidP="00E14A30">
      <w:pPr>
        <w:rPr>
          <w:b/>
          <w:i/>
          <w:iCs/>
          <w:color w:val="000000" w:themeColor="text1"/>
          <w:lang w:val="en-GB"/>
        </w:rPr>
      </w:pPr>
      <w:r w:rsidRPr="00E14A30">
        <w:rPr>
          <w:b/>
          <w:i/>
          <w:iCs/>
          <w:color w:val="000000" w:themeColor="text1"/>
          <w:lang w:val="en-GB"/>
        </w:rPr>
        <w:lastRenderedPageBreak/>
        <w:t xml:space="preserve">Supplementary Table 2. </w:t>
      </w:r>
      <w:r w:rsidRPr="00E14A30">
        <w:rPr>
          <w:bCs/>
          <w:i/>
          <w:iCs/>
          <w:color w:val="000000" w:themeColor="text1"/>
          <w:lang w:val="en-GB"/>
        </w:rPr>
        <w:t>Proportion of mutually exclusive infection groups in the total ID population.</w:t>
      </w:r>
    </w:p>
    <w:p w:rsidR="00E14A30" w:rsidRPr="00E14A30" w:rsidRDefault="00E14A30" w:rsidP="00E14A30">
      <w:pPr>
        <w:rPr>
          <w:bCs/>
          <w:color w:val="000000" w:themeColor="text1"/>
          <w:sz w:val="20"/>
          <w:szCs w:val="20"/>
          <w:lang w:val="en-GB"/>
        </w:rPr>
      </w:pPr>
    </w:p>
    <w:tbl>
      <w:tblPr>
        <w:tblStyle w:val="TableGrid"/>
        <w:tblW w:w="9067" w:type="dxa"/>
        <w:tblLayout w:type="fixed"/>
        <w:tblLook w:val="04A0" w:firstRow="1" w:lastRow="0" w:firstColumn="1" w:lastColumn="0" w:noHBand="0" w:noVBand="1"/>
      </w:tblPr>
      <w:tblGrid>
        <w:gridCol w:w="3539"/>
        <w:gridCol w:w="1418"/>
        <w:gridCol w:w="1417"/>
        <w:gridCol w:w="1418"/>
        <w:gridCol w:w="1275"/>
      </w:tblGrid>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Infection groups</w:t>
            </w:r>
          </w:p>
        </w:tc>
        <w:tc>
          <w:tcPr>
            <w:tcW w:w="1418"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Cases</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Age (18-49 years)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Age (50-79 years)</w:t>
            </w:r>
          </w:p>
        </w:tc>
        <w:tc>
          <w:tcPr>
            <w:tcW w:w="127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Age (≥ 80 years)</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lang w:val="en-US"/>
              </w:rPr>
            </w:pPr>
            <w:r w:rsidRPr="00E14A30">
              <w:rPr>
                <w:rFonts w:ascii="Times New Roman" w:hAnsi="Times New Roman" w:cs="Times New Roman"/>
                <w:bCs/>
                <w:color w:val="000000" w:themeColor="text1"/>
                <w:sz w:val="20"/>
                <w:szCs w:val="20"/>
                <w:lang w:val="en-GB"/>
              </w:rPr>
              <w:t>Bones, joint, and spinal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1,032 (5.8)</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236 (6.4)</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577 (6.7)</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219 (4.0)</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CNS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202 (1.1)</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88 (2.4)</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89 (1.0)</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25 (0.5)</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Covid-19</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312 (1.7)</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85 (2.3)</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150 (1.7)</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77 (1.4)</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Fungal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182 (1.0)</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28 (0.8)</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110 (1.3)</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44 (0.8)</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Gastrointestinal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1,636 (9.2)</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413 (11.2)</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810 (9.3)</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413 (7.5)</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HIV-related diseases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77 (0.4)</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52 (1.4)</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25 (0.3)</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0 (0.0)</w:t>
            </w:r>
          </w:p>
        </w:tc>
      </w:tr>
      <w:tr w:rsidR="00E14A30" w:rsidRPr="00E14A30" w:rsidTr="005E6A72">
        <w:tc>
          <w:tcPr>
            <w:tcW w:w="3539"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Infectious heart diseases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107 (0.6)</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 (0.3)</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57 (0.7)</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38 (0.7)</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Lower respiratory tract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1,711 (9.6)</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142 (3.8)</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1,064 (12.3)</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505 (9.2)</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Mycobacterial diseases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272 (1.5)</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185 (5.0)</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76 (0.9)</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 (0.2)</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Other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736 (4.1)</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122 (3.3)</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334 (3.9)</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280 (5.1)</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 xml:space="preserve">Pneumonia </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3,535 (19.8)</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362 (9.8)</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1,694 (19.5)</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1,479 (26.9)</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lang w:val="en-US"/>
              </w:rPr>
            </w:pPr>
            <w:r w:rsidRPr="00E14A30">
              <w:rPr>
                <w:rFonts w:ascii="Times New Roman" w:hAnsi="Times New Roman" w:cs="Times New Roman"/>
                <w:bCs/>
                <w:color w:val="000000" w:themeColor="text1"/>
                <w:sz w:val="20"/>
                <w:szCs w:val="20"/>
                <w:lang w:val="en-GB"/>
              </w:rPr>
              <w:t>Prosthesis-, implant-, and graft-associated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788 (4.4)</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88 (2.4)</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500 (5.8)</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200 (3.6)</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Protozoan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96 (0.5)</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64 (1.7)</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32 (0.4)</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0 (0.0)</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Sepsis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1,256 (7.0)</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62 (1.7)</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651 (7.5)</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543 (9.9)</w:t>
            </w:r>
          </w:p>
        </w:tc>
      </w:tr>
      <w:tr w:rsidR="00E14A30" w:rsidRPr="00E14A30" w:rsidTr="005E6A72">
        <w:tc>
          <w:tcPr>
            <w:tcW w:w="3539" w:type="dxa"/>
            <w:vAlign w:val="center"/>
          </w:tcPr>
          <w:p w:rsidR="00E14A30" w:rsidRPr="00E14A30" w:rsidRDefault="00E14A30" w:rsidP="005E6A72">
            <w:pPr>
              <w:rPr>
                <w:rFonts w:ascii="Times New Roman" w:hAnsi="Times New Roman" w:cs="Times New Roman"/>
                <w:bCs/>
                <w:color w:val="000000" w:themeColor="text1"/>
                <w:sz w:val="20"/>
                <w:szCs w:val="20"/>
                <w:lang w:val="en-US"/>
              </w:rPr>
            </w:pPr>
            <w:r w:rsidRPr="00E14A30">
              <w:rPr>
                <w:rFonts w:ascii="Times New Roman" w:hAnsi="Times New Roman" w:cs="Times New Roman"/>
                <w:bCs/>
                <w:color w:val="000000" w:themeColor="text1"/>
                <w:sz w:val="20"/>
                <w:szCs w:val="20"/>
                <w:lang w:val="en-GB"/>
              </w:rPr>
              <w:t>Skin and soft tissue infections</w:t>
            </w:r>
          </w:p>
        </w:tc>
        <w:tc>
          <w:tcPr>
            <w:tcW w:w="141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2,136 (11.9)</w:t>
            </w:r>
          </w:p>
        </w:tc>
        <w:tc>
          <w:tcPr>
            <w:tcW w:w="1417"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901 (24.3)</w:t>
            </w:r>
          </w:p>
        </w:tc>
        <w:tc>
          <w:tcPr>
            <w:tcW w:w="1418"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842 (9.7)</w:t>
            </w:r>
          </w:p>
        </w:tc>
        <w:tc>
          <w:tcPr>
            <w:tcW w:w="1275"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393 (7.1)</w:t>
            </w:r>
          </w:p>
        </w:tc>
      </w:tr>
      <w:tr w:rsidR="00E14A30" w:rsidRPr="00E14A30" w:rsidTr="005E6A72">
        <w:tc>
          <w:tcPr>
            <w:tcW w:w="3539" w:type="dxa"/>
            <w:tcBorders>
              <w:bottom w:val="single" w:sz="4" w:space="0" w:color="auto"/>
            </w:tcBorders>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Upper respiratory tract infections</w:t>
            </w:r>
          </w:p>
        </w:tc>
        <w:tc>
          <w:tcPr>
            <w:tcW w:w="1418"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1,033 (5.8)</w:t>
            </w:r>
          </w:p>
        </w:tc>
        <w:tc>
          <w:tcPr>
            <w:tcW w:w="1417"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484 (13.1)</w:t>
            </w:r>
          </w:p>
        </w:tc>
        <w:tc>
          <w:tcPr>
            <w:tcW w:w="1418"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324 (3.7)</w:t>
            </w:r>
          </w:p>
        </w:tc>
        <w:tc>
          <w:tcPr>
            <w:tcW w:w="1275"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225 (4.1)</w:t>
            </w:r>
          </w:p>
        </w:tc>
      </w:tr>
      <w:tr w:rsidR="00E14A30" w:rsidRPr="00E14A30" w:rsidTr="005E6A72">
        <w:tc>
          <w:tcPr>
            <w:tcW w:w="3539" w:type="dxa"/>
            <w:tcBorders>
              <w:bottom w:val="single" w:sz="4" w:space="0" w:color="auto"/>
            </w:tcBorders>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Urinary tract infections</w:t>
            </w:r>
          </w:p>
        </w:tc>
        <w:tc>
          <w:tcPr>
            <w:tcW w:w="1418"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2,767 (15.5)</w:t>
            </w:r>
          </w:p>
        </w:tc>
        <w:tc>
          <w:tcPr>
            <w:tcW w:w="1417"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380 (10.3)</w:t>
            </w:r>
          </w:p>
        </w:tc>
        <w:tc>
          <w:tcPr>
            <w:tcW w:w="1418"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1,339 (15.4)</w:t>
            </w:r>
          </w:p>
        </w:tc>
        <w:tc>
          <w:tcPr>
            <w:tcW w:w="1275"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1,048 (19.1)</w:t>
            </w:r>
          </w:p>
        </w:tc>
      </w:tr>
      <w:tr w:rsidR="00E14A30" w:rsidRPr="00E14A30" w:rsidTr="005E6A72">
        <w:tc>
          <w:tcPr>
            <w:tcW w:w="9067" w:type="dxa"/>
            <w:gridSpan w:val="5"/>
            <w:tcBorders>
              <w:top w:val="single" w:sz="4" w:space="0" w:color="auto"/>
              <w:left w:val="nil"/>
              <w:bottom w:val="nil"/>
              <w:right w:val="nil"/>
            </w:tcBorders>
            <w:vAlign w:val="center"/>
          </w:tcPr>
          <w:p w:rsidR="00E14A30" w:rsidRPr="00E14A30" w:rsidRDefault="00E14A30" w:rsidP="005E6A72">
            <w:pPr>
              <w:spacing w:before="120" w:line="276" w:lineRule="auto"/>
              <w:jc w:val="both"/>
              <w:rPr>
                <w:rFonts w:ascii="Times New Roman" w:hAnsi="Times New Roman" w:cs="Times New Roman"/>
                <w:i/>
                <w:iCs/>
                <w:color w:val="000000" w:themeColor="text1"/>
                <w:sz w:val="20"/>
                <w:szCs w:val="20"/>
                <w:lang w:val="en-GB"/>
              </w:rPr>
            </w:pPr>
            <w:r w:rsidRPr="00E14A30">
              <w:rPr>
                <w:rFonts w:ascii="Times New Roman" w:hAnsi="Times New Roman" w:cs="Times New Roman"/>
                <w:i/>
                <w:iCs/>
                <w:color w:val="000000" w:themeColor="text1"/>
                <w:sz w:val="20"/>
                <w:szCs w:val="20"/>
                <w:lang w:val="en-GB"/>
              </w:rPr>
              <w:t>Data are presented as numbers (percentages).</w:t>
            </w:r>
          </w:p>
        </w:tc>
      </w:tr>
    </w:tbl>
    <w:p w:rsidR="00E14A30" w:rsidRPr="00E14A30" w:rsidRDefault="00E14A30" w:rsidP="00E14A30">
      <w:pPr>
        <w:spacing w:after="120"/>
        <w:rPr>
          <w:bCs/>
          <w:color w:val="000000" w:themeColor="text1"/>
          <w:sz w:val="20"/>
          <w:szCs w:val="20"/>
        </w:rPr>
      </w:pPr>
    </w:p>
    <w:p w:rsidR="00E14A30" w:rsidRPr="00E14A30" w:rsidRDefault="00E14A30" w:rsidP="00E14A30">
      <w:pPr>
        <w:spacing w:line="480" w:lineRule="auto"/>
        <w:rPr>
          <w:b/>
          <w:i/>
          <w:iCs/>
          <w:color w:val="000000" w:themeColor="text1"/>
          <w:lang w:val="en-GB"/>
        </w:rPr>
      </w:pPr>
      <w:r w:rsidRPr="00E14A30">
        <w:rPr>
          <w:b/>
          <w:i/>
          <w:iCs/>
          <w:color w:val="000000" w:themeColor="text1"/>
          <w:lang w:val="en-GB"/>
        </w:rPr>
        <w:t xml:space="preserve">Supplementary Table 3. </w:t>
      </w:r>
      <w:r w:rsidRPr="00E14A30">
        <w:rPr>
          <w:bCs/>
          <w:i/>
          <w:iCs/>
          <w:color w:val="000000" w:themeColor="text1"/>
          <w:lang w:val="en-GB"/>
        </w:rPr>
        <w:t>Distribution of the CMI and revenue volume of cases.</w:t>
      </w:r>
    </w:p>
    <w:tbl>
      <w:tblPr>
        <w:tblStyle w:val="TableGrid"/>
        <w:tblW w:w="9067" w:type="dxa"/>
        <w:tblLook w:val="04A0" w:firstRow="1" w:lastRow="0" w:firstColumn="1" w:lastColumn="0" w:noHBand="0" w:noVBand="1"/>
      </w:tblPr>
      <w:tblGrid>
        <w:gridCol w:w="1986"/>
        <w:gridCol w:w="1213"/>
        <w:gridCol w:w="1116"/>
        <w:gridCol w:w="1213"/>
        <w:gridCol w:w="1334"/>
        <w:gridCol w:w="1076"/>
        <w:gridCol w:w="1129"/>
      </w:tblGrid>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p>
        </w:tc>
        <w:tc>
          <w:tcPr>
            <w:tcW w:w="2329" w:type="dxa"/>
            <w:gridSpan w:val="2"/>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ID population</w:t>
            </w:r>
          </w:p>
        </w:tc>
        <w:tc>
          <w:tcPr>
            <w:tcW w:w="2547" w:type="dxa"/>
            <w:gridSpan w:val="2"/>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Reference population</w:t>
            </w:r>
          </w:p>
        </w:tc>
        <w:tc>
          <w:tcPr>
            <w:tcW w:w="2205" w:type="dxa"/>
            <w:gridSpan w:val="2"/>
          </w:tcPr>
          <w:p w:rsidR="00E14A30" w:rsidRPr="00E14A30" w:rsidRDefault="00E14A30" w:rsidP="005E6A72">
            <w:pPr>
              <w:rPr>
                <w:rFonts w:ascii="Times New Roman" w:eastAsia="Calibri"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Total population</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CMI</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Revenue volume of cases in €</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CMI</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Revenue volume of cases in €</w:t>
            </w:r>
          </w:p>
        </w:tc>
        <w:tc>
          <w:tcPr>
            <w:tcW w:w="1076" w:type="dxa"/>
          </w:tcPr>
          <w:p w:rsidR="00E14A30" w:rsidRPr="00E14A30" w:rsidRDefault="00E14A30" w:rsidP="005E6A72">
            <w:pPr>
              <w:rPr>
                <w:rFonts w:ascii="Times New Roman" w:eastAsia="Calibri"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CMI</w:t>
            </w:r>
          </w:p>
        </w:tc>
        <w:tc>
          <w:tcPr>
            <w:tcW w:w="1129" w:type="dxa"/>
          </w:tcPr>
          <w:p w:rsidR="00E14A30" w:rsidRPr="00E14A30" w:rsidRDefault="00E14A30" w:rsidP="005E6A72">
            <w:pPr>
              <w:rPr>
                <w:rFonts w:ascii="Times New Roman" w:eastAsia="Calibri"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Revenue volume of cases in €</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2020</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1.286</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4,697.32 </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1.068</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3,902.87 </w:t>
            </w:r>
          </w:p>
        </w:tc>
        <w:tc>
          <w:tcPr>
            <w:tcW w:w="1076"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1.092</w:t>
            </w:r>
          </w:p>
        </w:tc>
        <w:tc>
          <w:tcPr>
            <w:tcW w:w="1129"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3,988.67</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2021</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1.438</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5,377.19 </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1.084</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4,054.47 </w:t>
            </w:r>
          </w:p>
        </w:tc>
        <w:tc>
          <w:tcPr>
            <w:tcW w:w="1076"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1.124</w:t>
            </w:r>
          </w:p>
        </w:tc>
        <w:tc>
          <w:tcPr>
            <w:tcW w:w="1129"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 xml:space="preserve">4,201.28 </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2022</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1.395</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5,335.84 </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1.097</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4,196.44 </w:t>
            </w:r>
          </w:p>
        </w:tc>
        <w:tc>
          <w:tcPr>
            <w:tcW w:w="1076"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1.129</w:t>
            </w:r>
          </w:p>
        </w:tc>
        <w:tc>
          <w:tcPr>
            <w:tcW w:w="1129"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4,319.92</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2023</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1.289</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5,145.14</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1.129</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4,508.36 </w:t>
            </w:r>
          </w:p>
        </w:tc>
        <w:tc>
          <w:tcPr>
            <w:tcW w:w="1076"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1.148</w:t>
            </w:r>
          </w:p>
        </w:tc>
        <w:tc>
          <w:tcPr>
            <w:tcW w:w="1129"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4,583.13</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2024</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1.293</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5,432.09 </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1.157</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4,862.95 </w:t>
            </w:r>
          </w:p>
        </w:tc>
        <w:tc>
          <w:tcPr>
            <w:tcW w:w="1076"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1.174</w:t>
            </w:r>
          </w:p>
        </w:tc>
        <w:tc>
          <w:tcPr>
            <w:tcW w:w="1129"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4,933.78</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2025</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1.430</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6,319.88 </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1.197</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 xml:space="preserve">5,288.78 </w:t>
            </w:r>
          </w:p>
        </w:tc>
        <w:tc>
          <w:tcPr>
            <w:tcW w:w="1076"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1.225</w:t>
            </w:r>
          </w:p>
        </w:tc>
        <w:tc>
          <w:tcPr>
            <w:tcW w:w="1129"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5,415.52</w:t>
            </w:r>
          </w:p>
        </w:tc>
      </w:tr>
      <w:tr w:rsidR="00E14A30" w:rsidRPr="00E14A30" w:rsidTr="005E6A72">
        <w:tc>
          <w:tcPr>
            <w:tcW w:w="198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lang w:val="en-GB"/>
              </w:rPr>
              <w:t>Total (2020-2025) median (IQR)</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1.344 (1.290, 1.421)</w:t>
            </w:r>
          </w:p>
        </w:tc>
        <w:tc>
          <w:tcPr>
            <w:tcW w:w="1116"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5,356.51 (5,192.82, 5,418.36)</w:t>
            </w:r>
          </w:p>
        </w:tc>
        <w:tc>
          <w:tcPr>
            <w:tcW w:w="1213"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1.113 (1.088, 1.150)</w:t>
            </w:r>
          </w:p>
        </w:tc>
        <w:tc>
          <w:tcPr>
            <w:tcW w:w="1334" w:type="dxa"/>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4,352.40 (4,089.96, 4,774.30)</w:t>
            </w:r>
          </w:p>
        </w:tc>
        <w:tc>
          <w:tcPr>
            <w:tcW w:w="1076"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1.139 (1.125, 1.168)</w:t>
            </w:r>
          </w:p>
        </w:tc>
        <w:tc>
          <w:tcPr>
            <w:tcW w:w="1129" w:type="dxa"/>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4,451.52 (4,230.94, 4,846.12)</w:t>
            </w:r>
          </w:p>
        </w:tc>
      </w:tr>
      <w:tr w:rsidR="00E14A30" w:rsidRPr="00E14A30" w:rsidTr="005E6A72">
        <w:tc>
          <w:tcPr>
            <w:tcW w:w="1986"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Cases in ID department (2020-2025) median (IQR)</w:t>
            </w:r>
          </w:p>
        </w:tc>
        <w:tc>
          <w:tcPr>
            <w:tcW w:w="1213"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1.281 (1.207, 1.324)</w:t>
            </w:r>
          </w:p>
        </w:tc>
        <w:tc>
          <w:tcPr>
            <w:tcW w:w="1116"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4,955.82 (4,859.10, 5,203.05)</w:t>
            </w:r>
          </w:p>
        </w:tc>
        <w:tc>
          <w:tcPr>
            <w:tcW w:w="1213"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1.256 (1.</w:t>
            </w:r>
            <w:r w:rsidRPr="00E14A30" w:rsidDel="00486244">
              <w:rPr>
                <w:rFonts w:ascii="Times New Roman" w:hAnsi="Times New Roman" w:cs="Times New Roman"/>
                <w:color w:val="000000" w:themeColor="text1"/>
                <w:sz w:val="20"/>
                <w:szCs w:val="20"/>
              </w:rPr>
              <w:t xml:space="preserve"> </w:t>
            </w:r>
            <w:r w:rsidRPr="00E14A30">
              <w:rPr>
                <w:rFonts w:ascii="Times New Roman" w:hAnsi="Times New Roman" w:cs="Times New Roman"/>
                <w:color w:val="000000" w:themeColor="text1"/>
                <w:sz w:val="20"/>
                <w:szCs w:val="20"/>
              </w:rPr>
              <w:t>090, 1.314)</w:t>
            </w:r>
          </w:p>
        </w:tc>
        <w:tc>
          <w:tcPr>
            <w:tcW w:w="1334"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5,001.71 (4,706.09, 5,172.17)</w:t>
            </w:r>
          </w:p>
        </w:tc>
        <w:tc>
          <w:tcPr>
            <w:tcW w:w="1076"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1.248 (1.171, 1.307)</w:t>
            </w:r>
          </w:p>
        </w:tc>
        <w:tc>
          <w:tcPr>
            <w:tcW w:w="1129"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4,987.44 (4,724.06, 5,065.97)</w:t>
            </w:r>
          </w:p>
        </w:tc>
      </w:tr>
      <w:tr w:rsidR="00E14A30" w:rsidRPr="00E14A30" w:rsidTr="005E6A72">
        <w:tc>
          <w:tcPr>
            <w:tcW w:w="1986" w:type="dxa"/>
            <w:tcBorders>
              <w:bottom w:val="single" w:sz="4" w:space="0" w:color="auto"/>
            </w:tcBorders>
          </w:tcPr>
          <w:p w:rsidR="00E14A30" w:rsidRPr="00E14A30" w:rsidRDefault="00E14A30" w:rsidP="005E6A72">
            <w:pPr>
              <w:rPr>
                <w:rFonts w:ascii="Times New Roman" w:eastAsia="Calibri" w:hAnsi="Times New Roman" w:cs="Times New Roman"/>
                <w:color w:val="000000" w:themeColor="text1"/>
                <w:sz w:val="20"/>
                <w:szCs w:val="20"/>
                <w:lang w:val="en-GB"/>
              </w:rPr>
            </w:pPr>
            <w:r w:rsidRPr="00E14A30">
              <w:rPr>
                <w:rFonts w:ascii="Times New Roman" w:eastAsia="Calibri" w:hAnsi="Times New Roman" w:cs="Times New Roman"/>
                <w:color w:val="000000" w:themeColor="text1"/>
                <w:sz w:val="20"/>
                <w:szCs w:val="20"/>
                <w:lang w:val="en-GB"/>
              </w:rPr>
              <w:t>Cases in another specialty department (2020-2025) median (IQR)</w:t>
            </w:r>
          </w:p>
        </w:tc>
        <w:tc>
          <w:tcPr>
            <w:tcW w:w="1213"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1.389 (1.325, 1.471)</w:t>
            </w:r>
          </w:p>
        </w:tc>
        <w:tc>
          <w:tcPr>
            <w:tcW w:w="1116"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5,468.85 (5,247.76, 5,749.84)</w:t>
            </w:r>
          </w:p>
        </w:tc>
        <w:tc>
          <w:tcPr>
            <w:tcW w:w="1213"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1.108 (1.083, 1.149)</w:t>
            </w:r>
          </w:p>
        </w:tc>
        <w:tc>
          <w:tcPr>
            <w:tcW w:w="1334"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lang w:val="en-GB"/>
              </w:rPr>
            </w:pPr>
            <w:r w:rsidRPr="00E14A30">
              <w:rPr>
                <w:rFonts w:ascii="Times New Roman" w:hAnsi="Times New Roman" w:cs="Times New Roman"/>
                <w:color w:val="000000" w:themeColor="text1"/>
                <w:sz w:val="20"/>
                <w:szCs w:val="20"/>
              </w:rPr>
              <w:t>4,330.55 (4,071.43, 4,769.10)</w:t>
            </w:r>
          </w:p>
        </w:tc>
        <w:tc>
          <w:tcPr>
            <w:tcW w:w="1076"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1.128 (1.113, 1.169)</w:t>
            </w:r>
          </w:p>
        </w:tc>
        <w:tc>
          <w:tcPr>
            <w:tcW w:w="1129" w:type="dxa"/>
            <w:tcBorders>
              <w:bottom w:val="single" w:sz="4" w:space="0" w:color="auto"/>
            </w:tcBorders>
          </w:tcPr>
          <w:p w:rsidR="00E14A30" w:rsidRPr="00E14A30" w:rsidRDefault="00E14A30" w:rsidP="005E6A72">
            <w:pPr>
              <w:rPr>
                <w:rFonts w:ascii="Times New Roman" w:hAnsi="Times New Roman" w:cs="Times New Roman"/>
                <w:color w:val="000000" w:themeColor="text1"/>
                <w:sz w:val="20"/>
                <w:szCs w:val="20"/>
              </w:rPr>
            </w:pPr>
            <w:r w:rsidRPr="00E14A30">
              <w:rPr>
                <w:rFonts w:ascii="Times New Roman" w:hAnsi="Times New Roman" w:cs="Times New Roman"/>
                <w:color w:val="000000" w:themeColor="text1"/>
                <w:sz w:val="20"/>
                <w:szCs w:val="20"/>
              </w:rPr>
              <w:t>4,411.35 (4,185.95, 4,851.95)</w:t>
            </w:r>
          </w:p>
        </w:tc>
      </w:tr>
      <w:tr w:rsidR="00E14A30" w:rsidRPr="00E14A30" w:rsidTr="005E6A72">
        <w:trPr>
          <w:trHeight w:val="1139"/>
        </w:trPr>
        <w:tc>
          <w:tcPr>
            <w:tcW w:w="9067" w:type="dxa"/>
            <w:gridSpan w:val="7"/>
            <w:tcBorders>
              <w:top w:val="single" w:sz="4" w:space="0" w:color="auto"/>
              <w:left w:val="nil"/>
              <w:bottom w:val="nil"/>
              <w:right w:val="nil"/>
            </w:tcBorders>
          </w:tcPr>
          <w:p w:rsidR="00E14A30" w:rsidRPr="00E14A30" w:rsidRDefault="00E14A30" w:rsidP="005E6A72">
            <w:pPr>
              <w:spacing w:before="120" w:line="276" w:lineRule="auto"/>
              <w:jc w:val="both"/>
              <w:rPr>
                <w:rFonts w:ascii="Times New Roman" w:hAnsi="Times New Roman" w:cs="Times New Roman"/>
                <w:bCs/>
                <w:i/>
                <w:iCs/>
                <w:color w:val="000000" w:themeColor="text1"/>
                <w:sz w:val="20"/>
                <w:szCs w:val="20"/>
                <w:lang w:val="en-GB"/>
              </w:rPr>
            </w:pPr>
            <w:r w:rsidRPr="00E14A30">
              <w:rPr>
                <w:rFonts w:ascii="Times New Roman" w:hAnsi="Times New Roman" w:cs="Times New Roman"/>
                <w:bCs/>
                <w:i/>
                <w:iCs/>
                <w:color w:val="000000" w:themeColor="text1"/>
                <w:sz w:val="20"/>
                <w:szCs w:val="20"/>
                <w:lang w:val="en-GB"/>
              </w:rPr>
              <w:t>The case-mix index (CMI) reflects the severity of the case and serves as the basis for calculating the revenue volume. The revenue per case was calculated from the CMI multiplied by the G-DRG national base rate for the Free State of Saxony [10].</w:t>
            </w:r>
          </w:p>
        </w:tc>
      </w:tr>
    </w:tbl>
    <w:p w:rsidR="00E14A30" w:rsidRPr="00E14A30" w:rsidRDefault="00E14A30" w:rsidP="00E14A30">
      <w:pPr>
        <w:rPr>
          <w:b/>
          <w:color w:val="000000" w:themeColor="text1"/>
          <w:lang w:val="en-GB"/>
        </w:rPr>
      </w:pPr>
      <w:r w:rsidRPr="00E14A30">
        <w:rPr>
          <w:b/>
          <w:color w:val="000000" w:themeColor="text1"/>
          <w:lang w:val="en-GB"/>
        </w:rPr>
        <w:br w:type="page"/>
      </w:r>
    </w:p>
    <w:p w:rsidR="00E14A30" w:rsidRPr="00E14A30" w:rsidRDefault="00E14A30" w:rsidP="00E14A30">
      <w:pPr>
        <w:spacing w:line="480" w:lineRule="auto"/>
        <w:rPr>
          <w:b/>
          <w:i/>
          <w:iCs/>
          <w:color w:val="000000" w:themeColor="text1"/>
          <w:lang w:val="en-GB"/>
        </w:rPr>
      </w:pPr>
      <w:r w:rsidRPr="00E14A30">
        <w:rPr>
          <w:b/>
          <w:i/>
          <w:iCs/>
          <w:color w:val="000000" w:themeColor="text1"/>
          <w:lang w:val="en-GB"/>
        </w:rPr>
        <w:lastRenderedPageBreak/>
        <w:t xml:space="preserve">Supplementary Table 4. </w:t>
      </w:r>
      <w:r w:rsidRPr="00E14A30">
        <w:rPr>
          <w:rFonts w:eastAsia="Calibri"/>
          <w:i/>
          <w:iCs/>
          <w:color w:val="000000" w:themeColor="text1"/>
          <w:lang w:val="en-GB"/>
        </w:rPr>
        <w:t>Length of stay in the</w:t>
      </w:r>
      <w:r w:rsidRPr="00E14A30">
        <w:rPr>
          <w:i/>
          <w:iCs/>
          <w:color w:val="000000" w:themeColor="text1"/>
          <w:lang w:val="en-GB"/>
        </w:rPr>
        <w:t xml:space="preserve"> different infection groups.</w:t>
      </w:r>
    </w:p>
    <w:tbl>
      <w:tblPr>
        <w:tblStyle w:val="TableGrid"/>
        <w:tblW w:w="8784" w:type="dxa"/>
        <w:tblLayout w:type="fixed"/>
        <w:tblLook w:val="04A0" w:firstRow="1" w:lastRow="0" w:firstColumn="1" w:lastColumn="0" w:noHBand="0" w:noVBand="1"/>
      </w:tblPr>
      <w:tblGrid>
        <w:gridCol w:w="3681"/>
        <w:gridCol w:w="1701"/>
        <w:gridCol w:w="1701"/>
        <w:gridCol w:w="1701"/>
      </w:tblGrid>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Infection group</w:t>
            </w:r>
          </w:p>
        </w:tc>
        <w:tc>
          <w:tcPr>
            <w:tcW w:w="1701"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Length of stay (days)</w:t>
            </w:r>
          </w:p>
        </w:tc>
        <w:tc>
          <w:tcPr>
            <w:tcW w:w="1701"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Average DRG length of stay (days)</w:t>
            </w:r>
          </w:p>
        </w:tc>
        <w:tc>
          <w:tcPr>
            <w:tcW w:w="1701"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Deviation in length of stay (days)</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lang w:val="en-US"/>
              </w:rPr>
            </w:pPr>
            <w:r w:rsidRPr="00E14A30">
              <w:rPr>
                <w:rFonts w:ascii="Times New Roman" w:hAnsi="Times New Roman" w:cs="Times New Roman"/>
                <w:bCs/>
                <w:color w:val="000000" w:themeColor="text1"/>
                <w:sz w:val="20"/>
                <w:szCs w:val="20"/>
                <w:lang w:val="en-GB"/>
              </w:rPr>
              <w:t>Bones, joint, and spinal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14.0 (6.0, 29.0)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12.0 (7.0, 23.0)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 (-3.2, 10.0)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CNS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13.0 (7.0, 17.8)</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10.0 (8.0, 10.0)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3.0 (-2.0, 6.8)</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Covid-19</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5.0 (3.0, 9.2)</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5.0 (3.0, 9.0)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0.0 (0.0, 0.0)</w:t>
            </w:r>
          </w:p>
        </w:tc>
      </w:tr>
      <w:tr w:rsidR="00E14A30" w:rsidRPr="00E14A30" w:rsidTr="005E6A72">
        <w:tc>
          <w:tcPr>
            <w:tcW w:w="3681"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Fungal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6.0 (3.0, 14.0)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9.0 (6.0, 12.0)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-2.0 (-5.8, 4.0)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Gastrointestinal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5.0 (2.0, 9.0)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4.0 (4.0, 9.0)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 (-2.0, 2.0)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HIV-related diseases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13.0 (7.0, 22.0)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11.0 (8.0, 14.0)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 (-2.0, 7.0)</w:t>
            </w:r>
          </w:p>
        </w:tc>
      </w:tr>
      <w:tr w:rsidR="00E14A30" w:rsidRPr="00E14A30" w:rsidTr="005E6A72">
        <w:tc>
          <w:tcPr>
            <w:tcW w:w="3681"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Infectious heart diseases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18.0 (7.5, 30.0)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26.0 (24.0, 26.0)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-4.0 (-15.5, 5.0)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Lower respiratory tract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8.0 (5.0, 12.0)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6.0 (6.0, 8.0)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 (-1.0, 4.0)</w:t>
            </w:r>
          </w:p>
        </w:tc>
      </w:tr>
      <w:tr w:rsidR="00E14A30" w:rsidRPr="00E14A30" w:rsidTr="005E6A72">
        <w:tc>
          <w:tcPr>
            <w:tcW w:w="3681"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Mycobacterial diseases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17.5 (5.0, 42.0)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12.0 (6.0, 40.2)</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0.0 (-1.0, 0.0)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 xml:space="preserve">Pneumonia </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8.0 (5.0, 12.0)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7.0 (7.0, 11.0)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0.0 (-3.0, 2.0)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lang w:val="en-US"/>
              </w:rPr>
            </w:pPr>
            <w:r w:rsidRPr="00E14A30">
              <w:rPr>
                <w:rFonts w:ascii="Times New Roman" w:hAnsi="Times New Roman" w:cs="Times New Roman"/>
                <w:bCs/>
                <w:color w:val="000000" w:themeColor="text1"/>
                <w:sz w:val="20"/>
                <w:szCs w:val="20"/>
                <w:lang w:val="en-GB"/>
              </w:rPr>
              <w:t>Prosthesis-, implant-, and graft-associated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15.0 (7.0, 28.0)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16.0 (7.0, 22.0)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1.5 (-4.0, 10.0)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Protozoan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4.0 (3.0, 5.0)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7.0 (6.0, 9.0)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-3.0 (-4.0, -2.0)</w:t>
            </w:r>
          </w:p>
        </w:tc>
      </w:tr>
      <w:tr w:rsidR="00E14A30" w:rsidRPr="00E14A30" w:rsidTr="005E6A72">
        <w:tc>
          <w:tcPr>
            <w:tcW w:w="3681" w:type="dxa"/>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Sepsis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9.0 (6.0, 15.0)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10.0 (9.0, 14.0)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 (-2.0, 3.0)</w:t>
            </w:r>
          </w:p>
        </w:tc>
      </w:tr>
      <w:tr w:rsidR="00E14A30" w:rsidRPr="00E14A30" w:rsidTr="005E6A72">
        <w:tc>
          <w:tcPr>
            <w:tcW w:w="3681" w:type="dxa"/>
          </w:tcPr>
          <w:p w:rsidR="00E14A30" w:rsidRPr="00E14A30" w:rsidRDefault="00E14A30" w:rsidP="005E6A72">
            <w:pPr>
              <w:rPr>
                <w:rFonts w:ascii="Times New Roman" w:hAnsi="Times New Roman" w:cs="Times New Roman"/>
                <w:bCs/>
                <w:color w:val="000000" w:themeColor="text1"/>
                <w:sz w:val="20"/>
                <w:szCs w:val="20"/>
                <w:lang w:val="en-US"/>
              </w:rPr>
            </w:pPr>
            <w:r w:rsidRPr="00E14A30">
              <w:rPr>
                <w:rFonts w:ascii="Times New Roman" w:hAnsi="Times New Roman" w:cs="Times New Roman"/>
                <w:bCs/>
                <w:color w:val="000000" w:themeColor="text1"/>
                <w:sz w:val="20"/>
                <w:szCs w:val="20"/>
                <w:lang w:val="en-GB"/>
              </w:rPr>
              <w:t>Skin and soft tissue infections</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5.0 (3.0, 9.0)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5.0 (4.8, 7.0)</w:t>
            </w:r>
          </w:p>
        </w:tc>
        <w:tc>
          <w:tcPr>
            <w:tcW w:w="170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 (-2.0, 3.0)</w:t>
            </w:r>
          </w:p>
        </w:tc>
      </w:tr>
      <w:tr w:rsidR="00E14A30" w:rsidRPr="00E14A30" w:rsidTr="005E6A72">
        <w:tc>
          <w:tcPr>
            <w:tcW w:w="3681" w:type="dxa"/>
            <w:tcBorders>
              <w:bottom w:val="single" w:sz="4" w:space="0" w:color="auto"/>
            </w:tcBorders>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Upper respiratory tract infections</w:t>
            </w:r>
          </w:p>
        </w:tc>
        <w:tc>
          <w:tcPr>
            <w:tcW w:w="170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4.0 (3.0, 7.0)</w:t>
            </w:r>
          </w:p>
        </w:tc>
        <w:tc>
          <w:tcPr>
            <w:tcW w:w="170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3.0 (3.0, 4.0)</w:t>
            </w:r>
          </w:p>
        </w:tc>
        <w:tc>
          <w:tcPr>
            <w:tcW w:w="170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0.0 (0.0, 2.0)</w:t>
            </w:r>
          </w:p>
        </w:tc>
      </w:tr>
      <w:tr w:rsidR="00E14A30" w:rsidRPr="00E14A30" w:rsidTr="005E6A72">
        <w:tc>
          <w:tcPr>
            <w:tcW w:w="3681" w:type="dxa"/>
            <w:tcBorders>
              <w:bottom w:val="single" w:sz="4" w:space="0" w:color="auto"/>
            </w:tcBorders>
            <w:vAlign w:val="center"/>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Urinary tract infections</w:t>
            </w:r>
          </w:p>
        </w:tc>
        <w:tc>
          <w:tcPr>
            <w:tcW w:w="170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7.0 (5.0, 9.0)</w:t>
            </w:r>
          </w:p>
        </w:tc>
        <w:tc>
          <w:tcPr>
            <w:tcW w:w="170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6.0 (5.0, 6.0)</w:t>
            </w:r>
          </w:p>
        </w:tc>
        <w:tc>
          <w:tcPr>
            <w:tcW w:w="170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color w:val="000000" w:themeColor="text1"/>
                <w:sz w:val="20"/>
                <w:szCs w:val="20"/>
              </w:rPr>
              <w:t>1.0 (-1.0, 3.0)</w:t>
            </w:r>
          </w:p>
        </w:tc>
      </w:tr>
      <w:tr w:rsidR="00E14A30" w:rsidRPr="00E14A30" w:rsidTr="005E6A72">
        <w:tc>
          <w:tcPr>
            <w:tcW w:w="8784" w:type="dxa"/>
            <w:gridSpan w:val="4"/>
            <w:tcBorders>
              <w:top w:val="single" w:sz="4" w:space="0" w:color="auto"/>
              <w:left w:val="nil"/>
              <w:bottom w:val="nil"/>
              <w:right w:val="nil"/>
            </w:tcBorders>
            <w:vAlign w:val="center"/>
          </w:tcPr>
          <w:p w:rsidR="00E14A30" w:rsidRPr="00E14A30" w:rsidRDefault="00E14A30" w:rsidP="005E6A72">
            <w:pPr>
              <w:spacing w:before="120" w:line="276" w:lineRule="auto"/>
              <w:jc w:val="both"/>
              <w:rPr>
                <w:rFonts w:ascii="Times New Roman" w:hAnsi="Times New Roman" w:cs="Times New Roman"/>
                <w:bCs/>
                <w:i/>
                <w:iCs/>
                <w:color w:val="000000" w:themeColor="text1"/>
                <w:sz w:val="20"/>
                <w:szCs w:val="20"/>
                <w:lang w:val="en-GB"/>
              </w:rPr>
            </w:pPr>
            <w:r w:rsidRPr="00E14A30">
              <w:rPr>
                <w:rFonts w:ascii="Times New Roman" w:hAnsi="Times New Roman" w:cs="Times New Roman"/>
                <w:bCs/>
                <w:i/>
                <w:iCs/>
                <w:color w:val="000000" w:themeColor="text1"/>
                <w:sz w:val="20"/>
                <w:szCs w:val="20"/>
                <w:lang w:val="en-GB"/>
              </w:rPr>
              <w:t>Data are presented as median (interquartile range [IQR]: Q1, Q3).</w:t>
            </w:r>
          </w:p>
        </w:tc>
      </w:tr>
    </w:tbl>
    <w:p w:rsidR="00E14A30" w:rsidRPr="00E14A30" w:rsidRDefault="00E14A30" w:rsidP="00E14A30">
      <w:pPr>
        <w:spacing w:line="480" w:lineRule="auto"/>
        <w:rPr>
          <w:bCs/>
          <w:color w:val="000000" w:themeColor="text1"/>
          <w:sz w:val="20"/>
          <w:szCs w:val="20"/>
          <w:lang w:val="en-GB"/>
        </w:rPr>
      </w:pPr>
    </w:p>
    <w:p w:rsidR="00E14A30" w:rsidRPr="00E14A30" w:rsidRDefault="00E14A30" w:rsidP="00E14A30">
      <w:pPr>
        <w:rPr>
          <w:b/>
          <w:color w:val="000000" w:themeColor="text1"/>
          <w:lang w:val="en-GB"/>
        </w:rPr>
      </w:pPr>
      <w:r w:rsidRPr="00E14A30">
        <w:rPr>
          <w:b/>
          <w:color w:val="000000" w:themeColor="text1"/>
          <w:lang w:val="en-GB"/>
        </w:rPr>
        <w:br w:type="page"/>
      </w:r>
    </w:p>
    <w:p w:rsidR="00E14A30" w:rsidRPr="00E14A30" w:rsidRDefault="00E14A30" w:rsidP="00E14A30">
      <w:pPr>
        <w:spacing w:after="240"/>
        <w:jc w:val="both"/>
        <w:rPr>
          <w:rFonts w:eastAsia="Calibri"/>
          <w:b/>
          <w:bCs/>
          <w:i/>
          <w:iCs/>
          <w:color w:val="000000" w:themeColor="text1"/>
          <w:lang w:val="en-GB"/>
        </w:rPr>
      </w:pPr>
      <w:r w:rsidRPr="00E14A30">
        <w:rPr>
          <w:b/>
          <w:i/>
          <w:iCs/>
          <w:color w:val="000000" w:themeColor="text1"/>
          <w:lang w:val="en-GB"/>
        </w:rPr>
        <w:lastRenderedPageBreak/>
        <w:t xml:space="preserve">Supplementary Table 5. </w:t>
      </w:r>
      <w:r w:rsidRPr="00E14A30">
        <w:rPr>
          <w:rFonts w:eastAsia="Calibri"/>
          <w:i/>
          <w:iCs/>
          <w:color w:val="000000" w:themeColor="text1"/>
          <w:lang w:val="en-GB"/>
        </w:rPr>
        <w:t>In-hospital mortality and adjusted odds ratios for in-hospital mortality by infection group.</w:t>
      </w:r>
    </w:p>
    <w:tbl>
      <w:tblPr>
        <w:tblStyle w:val="TableGrid"/>
        <w:tblW w:w="9493" w:type="dxa"/>
        <w:tblLayout w:type="fixed"/>
        <w:tblLook w:val="04A0" w:firstRow="1" w:lastRow="0" w:firstColumn="1" w:lastColumn="0" w:noHBand="0" w:noVBand="1"/>
      </w:tblPr>
      <w:tblGrid>
        <w:gridCol w:w="2405"/>
        <w:gridCol w:w="851"/>
        <w:gridCol w:w="708"/>
        <w:gridCol w:w="993"/>
        <w:gridCol w:w="1417"/>
        <w:gridCol w:w="851"/>
        <w:gridCol w:w="1417"/>
        <w:gridCol w:w="851"/>
      </w:tblGrid>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Infection group</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Deaths</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Cases</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Percentage of deaths</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OR (95% CI)</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P-value</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proofErr w:type="spellStart"/>
            <w:r w:rsidRPr="00E14A30">
              <w:rPr>
                <w:rFonts w:ascii="Times New Roman" w:hAnsi="Times New Roman" w:cs="Times New Roman"/>
                <w:bCs/>
                <w:color w:val="000000" w:themeColor="text1"/>
                <w:sz w:val="20"/>
                <w:szCs w:val="20"/>
                <w:lang w:val="en-GB"/>
              </w:rPr>
              <w:t>aOR</w:t>
            </w:r>
            <w:proofErr w:type="spellEnd"/>
            <w:r w:rsidRPr="00E14A30">
              <w:rPr>
                <w:rFonts w:ascii="Times New Roman" w:hAnsi="Times New Roman" w:cs="Times New Roman"/>
                <w:bCs/>
                <w:color w:val="000000" w:themeColor="text1"/>
                <w:sz w:val="20"/>
                <w:szCs w:val="20"/>
                <w:lang w:val="en-GB"/>
              </w:rPr>
              <w:t xml:space="preserve"> (95% CI)</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P-value</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Bones, joint, and spinal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49</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1,032</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4.75</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1.49 (1.10, 1.97)</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0.007</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1.13 (0.82, 1.52)</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0.003</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CNS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14</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202</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6.93</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2.23 (1.24, 3.70)</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0.004</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2.61 (1.39, 4.52)</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Covid-19</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21</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312</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6.73</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2.16 (1.34, 3.28)</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2.21 (1.35, 3.42)</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Fungal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12</w:t>
            </w:r>
            <w:bookmarkStart w:id="0" w:name="_GoBack"/>
            <w:bookmarkEnd w:id="0"/>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182</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6.59</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0.56 (0.20, 1.22)</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0.2</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1.76 (0.91, 3.11)</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0.070</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Gastrointestinal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43</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1,636</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2.63</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0.81 (0.59, 1.08)</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0.2</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0.99 (0.99, 1.00)</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0.13</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HIV-related diseases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77</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2.60</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0.80 (0.13, 2.53)</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0.8</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1.01 (0.97, 1.05)</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0.8</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Infectious heart diseases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15</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107</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14.00</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4.88 (2.72, 8.17)</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2.84 (1.53, 4.93)</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Lower respiratory tract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144</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1,711</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8.42</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2.75 (2.30, 3.26)</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1.50 (1.24, 1.79)</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Mycobacterial diseases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5</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272</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1.84</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0.56 (0.20, 1.22)</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0.2</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1.48 (0.52, 3.29)</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0.4</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 xml:space="preserve">Pneumonia </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580</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3,535</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16.4</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5.88 (5.34, 6.45)</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3.15 (2.85, 3.49)</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Prosthesis-, implant-, and graft-associated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46</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788</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5.84</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1.86 (1.36, 2.47)</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0.95 (0.68, 1.29)</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0.8</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Protozoan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96</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1.04</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0.32 (0.02, 1.41)</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0.2</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1.00 (0.96, 1.03)</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0.9</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Sepsis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390</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1,256</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31.10</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13.5 (11.9, 15.2)</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5.79 (5.05, 6.62)</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r>
      <w:tr w:rsidR="00E14A30" w:rsidRPr="00E14A30" w:rsidTr="005E6A72">
        <w:tc>
          <w:tcPr>
            <w:tcW w:w="2405"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Skin and soft tissue infections</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21</w:t>
            </w:r>
          </w:p>
        </w:tc>
        <w:tc>
          <w:tcPr>
            <w:tcW w:w="708"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2,136</w:t>
            </w:r>
          </w:p>
        </w:tc>
        <w:tc>
          <w:tcPr>
            <w:tcW w:w="993"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0.98</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0.30 (0.19, 0.44)</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0.99 (0.98, 1.00)</w:t>
            </w:r>
          </w:p>
        </w:tc>
        <w:tc>
          <w:tcPr>
            <w:tcW w:w="851" w:type="dxa"/>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0.006</w:t>
            </w:r>
          </w:p>
        </w:tc>
      </w:tr>
      <w:tr w:rsidR="00E14A30" w:rsidRPr="00E14A30" w:rsidTr="005E6A72">
        <w:tc>
          <w:tcPr>
            <w:tcW w:w="2405"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Upper respiratory tract infections</w:t>
            </w:r>
          </w:p>
        </w:tc>
        <w:tc>
          <w:tcPr>
            <w:tcW w:w="85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26</w:t>
            </w:r>
          </w:p>
        </w:tc>
        <w:tc>
          <w:tcPr>
            <w:tcW w:w="708"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1,033</w:t>
            </w:r>
          </w:p>
        </w:tc>
        <w:tc>
          <w:tcPr>
            <w:tcW w:w="993"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2.52</w:t>
            </w:r>
          </w:p>
        </w:tc>
        <w:tc>
          <w:tcPr>
            <w:tcW w:w="1417"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0.77 (0.51, 1.12)</w:t>
            </w:r>
          </w:p>
        </w:tc>
        <w:tc>
          <w:tcPr>
            <w:tcW w:w="85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0.2</w:t>
            </w:r>
          </w:p>
        </w:tc>
        <w:tc>
          <w:tcPr>
            <w:tcW w:w="1417"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1.01 (1.00, 1.02)</w:t>
            </w:r>
          </w:p>
        </w:tc>
        <w:tc>
          <w:tcPr>
            <w:tcW w:w="85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0.14</w:t>
            </w:r>
          </w:p>
        </w:tc>
      </w:tr>
      <w:tr w:rsidR="00E14A30" w:rsidRPr="00E14A30" w:rsidTr="005E6A72">
        <w:tc>
          <w:tcPr>
            <w:tcW w:w="2405"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rPr>
            </w:pPr>
            <w:r w:rsidRPr="00E14A30">
              <w:rPr>
                <w:rFonts w:ascii="Times New Roman" w:hAnsi="Times New Roman" w:cs="Times New Roman"/>
                <w:bCs/>
                <w:color w:val="000000" w:themeColor="text1"/>
                <w:sz w:val="20"/>
                <w:szCs w:val="20"/>
              </w:rPr>
              <w:t>Urinary tract infections</w:t>
            </w:r>
          </w:p>
        </w:tc>
        <w:tc>
          <w:tcPr>
            <w:tcW w:w="85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42</w:t>
            </w:r>
          </w:p>
        </w:tc>
        <w:tc>
          <w:tcPr>
            <w:tcW w:w="708"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2,767</w:t>
            </w:r>
          </w:p>
        </w:tc>
        <w:tc>
          <w:tcPr>
            <w:tcW w:w="993"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1.52</w:t>
            </w:r>
          </w:p>
        </w:tc>
        <w:tc>
          <w:tcPr>
            <w:tcW w:w="1417"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0.46 (0.33, 0.62)</w:t>
            </w:r>
          </w:p>
        </w:tc>
        <w:tc>
          <w:tcPr>
            <w:tcW w:w="85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c>
          <w:tcPr>
            <w:tcW w:w="1417"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0.98 (0.97, 0.98)</w:t>
            </w:r>
          </w:p>
        </w:tc>
        <w:tc>
          <w:tcPr>
            <w:tcW w:w="851" w:type="dxa"/>
            <w:tcBorders>
              <w:bottom w:val="single" w:sz="4" w:space="0" w:color="auto"/>
            </w:tcBorders>
          </w:tcPr>
          <w:p w:rsidR="00E14A30" w:rsidRPr="00E14A30" w:rsidRDefault="00E14A30" w:rsidP="005E6A72">
            <w:pPr>
              <w:rPr>
                <w:rFonts w:ascii="Times New Roman" w:hAnsi="Times New Roman" w:cs="Times New Roman"/>
                <w:bCs/>
                <w:color w:val="000000" w:themeColor="text1"/>
                <w:sz w:val="20"/>
                <w:szCs w:val="20"/>
                <w:lang w:val="en-GB"/>
              </w:rPr>
            </w:pPr>
            <w:r w:rsidRPr="00E14A30">
              <w:rPr>
                <w:rFonts w:ascii="Times New Roman" w:hAnsi="Times New Roman" w:cs="Times New Roman"/>
                <w:bCs/>
                <w:color w:val="000000" w:themeColor="text1"/>
                <w:sz w:val="20"/>
                <w:szCs w:val="20"/>
                <w:lang w:val="en-GB"/>
              </w:rPr>
              <w:t>&lt;0.001</w:t>
            </w:r>
          </w:p>
        </w:tc>
      </w:tr>
      <w:tr w:rsidR="00E14A30" w:rsidRPr="00E14A30" w:rsidTr="005E6A72">
        <w:tc>
          <w:tcPr>
            <w:tcW w:w="9493" w:type="dxa"/>
            <w:gridSpan w:val="8"/>
            <w:tcBorders>
              <w:top w:val="single" w:sz="4" w:space="0" w:color="auto"/>
              <w:left w:val="nil"/>
              <w:bottom w:val="nil"/>
              <w:right w:val="nil"/>
            </w:tcBorders>
          </w:tcPr>
          <w:p w:rsidR="00E14A30" w:rsidRPr="00E14A30" w:rsidRDefault="00E14A30" w:rsidP="005E6A72">
            <w:pPr>
              <w:spacing w:before="120" w:line="276" w:lineRule="auto"/>
              <w:jc w:val="both"/>
              <w:rPr>
                <w:rFonts w:ascii="Times New Roman" w:hAnsi="Times New Roman" w:cs="Times New Roman"/>
                <w:bCs/>
                <w:i/>
                <w:iCs/>
                <w:color w:val="000000" w:themeColor="text1"/>
                <w:sz w:val="20"/>
                <w:szCs w:val="20"/>
                <w:lang w:val="en-GB"/>
              </w:rPr>
            </w:pPr>
            <w:r w:rsidRPr="00E14A30">
              <w:rPr>
                <w:rFonts w:ascii="Times New Roman" w:hAnsi="Times New Roman" w:cs="Times New Roman"/>
                <w:bCs/>
                <w:i/>
                <w:iCs/>
                <w:color w:val="000000" w:themeColor="text1"/>
                <w:sz w:val="20"/>
                <w:szCs w:val="20"/>
                <w:lang w:val="en-GB"/>
              </w:rPr>
              <w:t xml:space="preserve">Abbreviations: </w:t>
            </w:r>
            <w:proofErr w:type="spellStart"/>
            <w:r w:rsidRPr="00E14A30">
              <w:rPr>
                <w:rFonts w:ascii="Times New Roman" w:hAnsi="Times New Roman" w:cs="Times New Roman"/>
                <w:bCs/>
                <w:i/>
                <w:iCs/>
                <w:color w:val="000000" w:themeColor="text1"/>
                <w:sz w:val="20"/>
                <w:szCs w:val="20"/>
                <w:lang w:val="en-GB"/>
              </w:rPr>
              <w:t>aOR</w:t>
            </w:r>
            <w:proofErr w:type="spellEnd"/>
            <w:r w:rsidRPr="00E14A30">
              <w:rPr>
                <w:rFonts w:ascii="Times New Roman" w:hAnsi="Times New Roman" w:cs="Times New Roman"/>
                <w:bCs/>
                <w:i/>
                <w:iCs/>
                <w:color w:val="000000" w:themeColor="text1"/>
                <w:sz w:val="20"/>
                <w:szCs w:val="20"/>
                <w:lang w:val="en-GB"/>
              </w:rPr>
              <w:t>, adjusted odds ratio; CI, confidence interval.</w:t>
            </w:r>
          </w:p>
        </w:tc>
      </w:tr>
    </w:tbl>
    <w:p w:rsidR="006C6138" w:rsidRPr="00E14A30" w:rsidRDefault="006C6138">
      <w:pPr>
        <w:rPr>
          <w:color w:val="000000" w:themeColor="text1"/>
        </w:rPr>
      </w:pPr>
    </w:p>
    <w:sectPr w:rsidR="006C6138" w:rsidRPr="00E14A30" w:rsidSect="00E14A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A30"/>
    <w:rsid w:val="00033E26"/>
    <w:rsid w:val="000842B2"/>
    <w:rsid w:val="0008736E"/>
    <w:rsid w:val="0011025C"/>
    <w:rsid w:val="00125E50"/>
    <w:rsid w:val="00144808"/>
    <w:rsid w:val="0025349C"/>
    <w:rsid w:val="003744FA"/>
    <w:rsid w:val="003C5908"/>
    <w:rsid w:val="005867E5"/>
    <w:rsid w:val="005D0973"/>
    <w:rsid w:val="005E6444"/>
    <w:rsid w:val="006C6138"/>
    <w:rsid w:val="006E1BA3"/>
    <w:rsid w:val="007945A2"/>
    <w:rsid w:val="007D0DC1"/>
    <w:rsid w:val="0082169B"/>
    <w:rsid w:val="008A6247"/>
    <w:rsid w:val="009C7374"/>
    <w:rsid w:val="009F5C68"/>
    <w:rsid w:val="00B66DAF"/>
    <w:rsid w:val="00C23FF6"/>
    <w:rsid w:val="00D05F7C"/>
    <w:rsid w:val="00E14A30"/>
    <w:rsid w:val="00E949AB"/>
    <w:rsid w:val="00EA2E5D"/>
    <w:rsid w:val="00EB4431"/>
    <w:rsid w:val="00F63721"/>
    <w:rsid w:val="00FD29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17484-D21E-4200-94AA-501E7BAF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4A30"/>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Mariselvi Pitchaya</dc:creator>
  <cp:keywords/>
  <dc:description/>
  <cp:lastModifiedBy>Mariselvi Pitchaya</cp:lastModifiedBy>
  <cp:revision>1</cp:revision>
  <dcterms:created xsi:type="dcterms:W3CDTF">2026-07-16T08:46:00Z</dcterms:created>
  <dcterms:modified xsi:type="dcterms:W3CDTF">2026-07-16T08:47:00Z</dcterms:modified>
</cp:coreProperties>
</file>