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49A62" w14:textId="59D5D4E8" w:rsidR="000D4025" w:rsidRPr="00E83EF3" w:rsidRDefault="000D4025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83EF3"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 Resource</w:t>
      </w:r>
    </w:p>
    <w:p w14:paraId="316772EF" w14:textId="7BDCFB7D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83EF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A8ECEF" wp14:editId="569676D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83033" cy="6038850"/>
                <wp:effectExtent l="0" t="0" r="27305" b="19050"/>
                <wp:wrapNone/>
                <wp:docPr id="100055242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3033" cy="6038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9B91B" w14:textId="77777777" w:rsidR="00881743" w:rsidRPr="00B4404C" w:rsidRDefault="00881743" w:rsidP="00881743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Cs w:val="22"/>
                                <w:shd w:val="clear" w:color="auto" w:fill="FFFFFF"/>
                                <w:lang w:eastAsia="en-AU"/>
                              </w:rPr>
                            </w:pPr>
                            <w:r w:rsidRPr="00052F0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Cs w:val="22"/>
                                <w:shd w:val="clear" w:color="auto" w:fill="FFFFFF"/>
                                <w:lang w:eastAsia="en-AU"/>
                              </w:rPr>
                              <w:t xml:space="preserve">Box </w:t>
                            </w:r>
                            <w:r w:rsidRPr="00613AD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Cs w:val="22"/>
                                <w:shd w:val="clear" w:color="auto" w:fill="FFFFFF"/>
                                <w:lang w:eastAsia="en-AU"/>
                              </w:rPr>
                              <w:t xml:space="preserve">1: </w:t>
                            </w:r>
                            <w:r w:rsidRPr="00613AD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1F1F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613AD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ICD-10 codes used to identify the confirmed and probable cases of </w:t>
                            </w:r>
                            <w:proofErr w:type="spellStart"/>
                            <w:r w:rsidRPr="00613AD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iGAS</w:t>
                            </w:r>
                            <w:proofErr w:type="spellEnd"/>
                          </w:p>
                          <w:p w14:paraId="68EF2296" w14:textId="77777777" w:rsidR="00881743" w:rsidRPr="00CC2AD7" w:rsidRDefault="00881743" w:rsidP="00881743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2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  <w:lang w:eastAsia="en-AU"/>
                              </w:rPr>
                              <w:t>A 400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  <w:lang w:eastAsia="en-AU"/>
                              </w:rPr>
                              <w:t xml:space="preserve"> </w:t>
                            </w: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  <w:lang w:eastAsia="en-AU"/>
                              </w:rPr>
                              <w:t xml:space="preserve">- </w:t>
                            </w: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Sepsis due to streptococcus, group A</w:t>
                            </w:r>
                          </w:p>
                          <w:p w14:paraId="390ED658" w14:textId="77777777" w:rsidR="00881743" w:rsidRPr="00CC2AD7" w:rsidRDefault="00881743" w:rsidP="00881743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  <w:lang w:eastAsia="en-AU"/>
                              </w:rPr>
                              <w:t>B 950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  <w:lang w:eastAsia="en-AU"/>
                              </w:rPr>
                              <w:t xml:space="preserve"> - </w:t>
                            </w: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Streptococcus, group A, as the cause of diseases classified elsewhere together with one of the following codes</w:t>
                            </w:r>
                          </w:p>
                          <w:p w14:paraId="0941BF7F" w14:textId="77777777" w:rsidR="00881743" w:rsidRPr="00CC2AD7" w:rsidRDefault="00881743" w:rsidP="00881743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ab/>
                              <w:t>A 483 - Toxic shock syndrome</w:t>
                            </w:r>
                          </w:p>
                          <w:p w14:paraId="3A5C103A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G002 - Streptococcal meningitis</w:t>
                            </w:r>
                          </w:p>
                          <w:p w14:paraId="78E75789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J154 - Pneumonia due to other streptococci</w:t>
                            </w:r>
                          </w:p>
                          <w:p w14:paraId="5E161422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J 390 - Retropharyngeal and parapharyngeal abscess</w:t>
                            </w:r>
                          </w:p>
                          <w:p w14:paraId="100F55D0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J 860 - Pyothorax with fistula</w:t>
                            </w:r>
                          </w:p>
                          <w:p w14:paraId="375BD0E6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J 869 - Pyothorax without fistula</w:t>
                            </w:r>
                          </w:p>
                          <w:p w14:paraId="5869D435" w14:textId="77777777" w:rsidR="00881743" w:rsidRPr="00CC2AD7" w:rsidRDefault="00881743" w:rsidP="00881743">
                            <w:pPr>
                              <w:spacing w:line="240" w:lineRule="auto"/>
                              <w:ind w:left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M 002 (Other streptococcal arthritis and polyarthritis) which includes M 0020 to M 0029 which further specifies the disease site</w:t>
                            </w:r>
                          </w:p>
                          <w:p w14:paraId="6EFEC81F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M 726 - Necrotizing fasciitis</w:t>
                            </w:r>
                          </w:p>
                          <w:p w14:paraId="3F50496B" w14:textId="77777777" w:rsidR="00881743" w:rsidRPr="00CC2AD7" w:rsidRDefault="00881743" w:rsidP="00881743">
                            <w:pPr>
                              <w:spacing w:line="240" w:lineRule="auto"/>
                              <w:ind w:left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M 86 (Osteomyelitis) which includes M 860 to M 869 which further classifies the disease type or site</w:t>
                            </w:r>
                          </w:p>
                          <w:p w14:paraId="061D66F7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M 462 to M 4628 - Osteomyelitis of vertebra</w:t>
                            </w:r>
                          </w:p>
                          <w:p w14:paraId="3103C415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M 463 to M 4639 - Infection of intervertebral disc (pyogenic)</w:t>
                            </w:r>
                          </w:p>
                          <w:p w14:paraId="788635DD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M 465 to M4659 - Other infective spondylopathies</w:t>
                            </w:r>
                          </w:p>
                          <w:p w14:paraId="4FCD5020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O 85 - Puerperal sepsis</w:t>
                            </w:r>
                          </w:p>
                          <w:p w14:paraId="1287CABF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0939E0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P 361 -</w:t>
                            </w:r>
                            <w:r w:rsidRPr="00CC2AD7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 xml:space="preserve"> </w:t>
                            </w: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Sepsis of newborn due to other and unspecified streptococci</w:t>
                            </w:r>
                          </w:p>
                          <w:p w14:paraId="7E79C32C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P 3610 - Sepsis of newborn due to unspecified streptococci</w:t>
                            </w:r>
                          </w:p>
                          <w:p w14:paraId="20415B42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P 3619 - Sepsis of newborn due to other streptococci</w:t>
                            </w:r>
                          </w:p>
                          <w:p w14:paraId="0656B897" w14:textId="77777777" w:rsidR="00881743" w:rsidRPr="00CC2AD7" w:rsidRDefault="00881743" w:rsidP="00881743">
                            <w:pPr>
                              <w:spacing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</w:pPr>
                            <w:r w:rsidRPr="00CC2AD7">
                              <w:rPr>
                                <w:rFonts w:ascii="Times New Roman" w:hAnsi="Times New Roman" w:cs="Times New Roman"/>
                                <w:color w:val="000000"/>
                                <w:szCs w:val="22"/>
                                <w:shd w:val="clear" w:color="auto" w:fill="FFFFFF"/>
                              </w:rPr>
                              <w:t>0 8612 - Endometritis following delivery</w:t>
                            </w:r>
                          </w:p>
                          <w:p w14:paraId="47F42284" w14:textId="77777777" w:rsidR="00881743" w:rsidRPr="00CC2AD7" w:rsidRDefault="00881743" w:rsidP="00881743">
                            <w:pPr>
                              <w:spacing w:line="240" w:lineRule="auto"/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A8ECE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.05pt;width:423.85pt;height:47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" filled="f" strokeweight=".5pt">
                <v:textbox>
                  <w:txbxContent>
                    <w:p w14:paraId="6E69B91B" w14:textId="77777777" w:rsidR="00881743" w:rsidRPr="00B4404C" w:rsidRDefault="00881743" w:rsidP="00881743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Cs w:val="22"/>
                          <w:shd w:val="clear" w:color="auto" w:fill="FFFFFF"/>
                          <w:lang w:eastAsia="en-AU"/>
                        </w:rPr>
                      </w:pPr>
                      <w:r w:rsidRPr="00052F0B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Cs w:val="22"/>
                          <w:shd w:val="clear" w:color="auto" w:fill="FFFFFF"/>
                          <w:lang w:eastAsia="en-AU"/>
                        </w:rPr>
                        <w:t xml:space="preserve">Box </w:t>
                      </w:r>
                      <w:r w:rsidRPr="00613AD0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Cs w:val="22"/>
                          <w:shd w:val="clear" w:color="auto" w:fill="FFFFFF"/>
                          <w:lang w:eastAsia="en-AU"/>
                        </w:rPr>
                        <w:t xml:space="preserve">1: </w:t>
                      </w:r>
                      <w:r w:rsidRPr="00613AD0">
                        <w:rPr>
                          <w:rFonts w:ascii="Times New Roman" w:hAnsi="Times New Roman" w:cs="Times New Roman"/>
                          <w:b/>
                          <w:bCs/>
                          <w:color w:val="1F1F1F"/>
                          <w:sz w:val="24"/>
                          <w:szCs w:val="24"/>
                        </w:rPr>
                        <w:t xml:space="preserve">The </w:t>
                      </w:r>
                      <w:r w:rsidRPr="00613AD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ICD-10 codes used to identify the confirmed and probable cases of </w:t>
                      </w:r>
                      <w:proofErr w:type="spellStart"/>
                      <w:r w:rsidRPr="00613AD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iGAS</w:t>
                      </w:r>
                      <w:proofErr w:type="spellEnd"/>
                    </w:p>
                    <w:p w14:paraId="68EF2296" w14:textId="77777777" w:rsidR="00881743" w:rsidRPr="00CC2AD7" w:rsidRDefault="00881743" w:rsidP="00881743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Cs w:val="22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  <w:lang w:eastAsia="en-AU"/>
                        </w:rPr>
                        <w:t>A 400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  <w:lang w:eastAsia="en-AU"/>
                        </w:rPr>
                        <w:t xml:space="preserve"> </w:t>
                      </w: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  <w:lang w:eastAsia="en-AU"/>
                        </w:rPr>
                        <w:t xml:space="preserve">- </w:t>
                      </w: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Sepsis due to streptococcus, group A</w:t>
                      </w:r>
                    </w:p>
                    <w:p w14:paraId="390ED658" w14:textId="77777777" w:rsidR="00881743" w:rsidRPr="00CC2AD7" w:rsidRDefault="00881743" w:rsidP="00881743">
                      <w:pPr>
                        <w:spacing w:line="240" w:lineRule="auto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  <w:lang w:eastAsia="en-AU"/>
                        </w:rPr>
                        <w:t>B 950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  <w:lang w:eastAsia="en-AU"/>
                        </w:rPr>
                        <w:t xml:space="preserve"> - </w:t>
                      </w: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Streptococcus, group A, as the cause of diseases classified elsewhere together with one of the following codes</w:t>
                      </w:r>
                    </w:p>
                    <w:p w14:paraId="0941BF7F" w14:textId="77777777" w:rsidR="00881743" w:rsidRPr="00CC2AD7" w:rsidRDefault="00881743" w:rsidP="00881743">
                      <w:pPr>
                        <w:spacing w:line="240" w:lineRule="auto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ab/>
                        <w:t>A 483 - Toxic shock syndrome</w:t>
                      </w:r>
                    </w:p>
                    <w:p w14:paraId="3A5C103A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G002 - Streptococcal meningitis</w:t>
                      </w:r>
                    </w:p>
                    <w:p w14:paraId="78E75789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J154 - Pneumonia due to other streptococci</w:t>
                      </w:r>
                    </w:p>
                    <w:p w14:paraId="5E161422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J 390 - Retropharyngeal and parapharyngeal abscess</w:t>
                      </w:r>
                    </w:p>
                    <w:p w14:paraId="100F55D0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J 860 - Pyothorax with fistula</w:t>
                      </w:r>
                    </w:p>
                    <w:p w14:paraId="375BD0E6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J 869 - Pyothorax without fistula</w:t>
                      </w:r>
                    </w:p>
                    <w:p w14:paraId="5869D435" w14:textId="77777777" w:rsidR="00881743" w:rsidRPr="00CC2AD7" w:rsidRDefault="00881743" w:rsidP="00881743">
                      <w:pPr>
                        <w:spacing w:line="240" w:lineRule="auto"/>
                        <w:ind w:left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M 002 (Other streptococcal arthritis and polyarthritis) which includes M 0020 to M 0029 which further specifies the disease site</w:t>
                      </w:r>
                    </w:p>
                    <w:p w14:paraId="6EFEC81F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M 726 - Necrotizing fasciitis</w:t>
                      </w:r>
                    </w:p>
                    <w:p w14:paraId="3F50496B" w14:textId="77777777" w:rsidR="00881743" w:rsidRPr="00CC2AD7" w:rsidRDefault="00881743" w:rsidP="00881743">
                      <w:pPr>
                        <w:spacing w:line="240" w:lineRule="auto"/>
                        <w:ind w:left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M 86 (Osteomyelitis) which includes M 860 to M 869 which further classifies the disease type or site</w:t>
                      </w:r>
                    </w:p>
                    <w:p w14:paraId="061D66F7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M 462 to M 4628 - Osteomyelitis of vertebra</w:t>
                      </w:r>
                    </w:p>
                    <w:p w14:paraId="3103C415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M 463 to M 4639 - Infection of intervertebral disc (pyogenic)</w:t>
                      </w:r>
                    </w:p>
                    <w:p w14:paraId="788635DD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M 465 to M4659 - Other infective spondylopathies</w:t>
                      </w:r>
                    </w:p>
                    <w:p w14:paraId="4FCD5020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O 85 - Puerperal sepsis</w:t>
                      </w:r>
                    </w:p>
                    <w:p w14:paraId="1287CABF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0939E0">
                        <w:rPr>
                          <w:rFonts w:ascii="Times New Roman" w:hAnsi="Times New Roman" w:cs="Times New Roman"/>
                          <w:szCs w:val="22"/>
                        </w:rPr>
                        <w:t>P 361 -</w:t>
                      </w:r>
                      <w:r w:rsidRPr="00CC2AD7">
                        <w:rPr>
                          <w:rFonts w:ascii="Times New Roman" w:hAnsi="Times New Roman" w:cs="Times New Roman"/>
                          <w:szCs w:val="22"/>
                        </w:rPr>
                        <w:t xml:space="preserve"> </w:t>
                      </w: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Sepsis of newborn due to other and unspecified streptococci</w:t>
                      </w:r>
                    </w:p>
                    <w:p w14:paraId="7E79C32C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P 3610 - Sepsis of newborn due to unspecified streptococci</w:t>
                      </w:r>
                    </w:p>
                    <w:p w14:paraId="20415B42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P 3619 - Sepsis of newborn due to other streptococci</w:t>
                      </w:r>
                    </w:p>
                    <w:p w14:paraId="0656B897" w14:textId="77777777" w:rsidR="00881743" w:rsidRPr="00CC2AD7" w:rsidRDefault="00881743" w:rsidP="00881743">
                      <w:pPr>
                        <w:spacing w:line="240" w:lineRule="auto"/>
                        <w:ind w:firstLine="720"/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</w:pPr>
                      <w:r w:rsidRPr="00CC2AD7">
                        <w:rPr>
                          <w:rFonts w:ascii="Times New Roman" w:hAnsi="Times New Roman" w:cs="Times New Roman"/>
                          <w:color w:val="000000"/>
                          <w:szCs w:val="22"/>
                          <w:shd w:val="clear" w:color="auto" w:fill="FFFFFF"/>
                        </w:rPr>
                        <w:t>0 8612 - Endometritis following delivery</w:t>
                      </w:r>
                    </w:p>
                    <w:p w14:paraId="47F42284" w14:textId="77777777" w:rsidR="00881743" w:rsidRPr="00CC2AD7" w:rsidRDefault="00881743" w:rsidP="00881743">
                      <w:pPr>
                        <w:spacing w:line="240" w:lineRule="auto"/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D1EDB1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B388CD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94E522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A6CF845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F88E40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63D7A0D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B532ED8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205B95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C4E1B0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A38E5FA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1ECF33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2047523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42C3FC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62894F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D0C7D30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F3C1CF9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9C78625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3294E01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CCE4CA6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660C29A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61ABAEE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98175F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9CB8C8" w14:textId="77777777" w:rsidR="00881743" w:rsidRPr="00E83EF3" w:rsidRDefault="00881743" w:rsidP="002056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BC15035" w14:textId="77777777" w:rsidR="00881743" w:rsidRPr="00E83EF3" w:rsidRDefault="00881743">
      <w:pPr>
        <w:spacing w:line="259" w:lineRule="auto"/>
        <w:jc w:val="left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E83EF3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br w:type="page"/>
      </w:r>
    </w:p>
    <w:p w14:paraId="55463233" w14:textId="4DC35CD7" w:rsidR="00CA11C0" w:rsidRPr="00E83EF3" w:rsidRDefault="00CA11C0" w:rsidP="002056F9">
      <w:pPr>
        <w:spacing w:after="0" w:line="36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E83EF3">
        <w:rPr>
          <w:rFonts w:ascii="Times New Roman" w:hAnsi="Times New Roman" w:cs="Times New Roman"/>
          <w:iCs w:val="0"/>
          <w:noProof/>
          <w:sz w:val="24"/>
          <w:szCs w:val="24"/>
          <w:lang w:val="en-IN" w:eastAsia="en-IN"/>
        </w:rPr>
        <w:drawing>
          <wp:inline distT="0" distB="0" distL="0" distR="0" wp14:anchorId="5ACD83DD" wp14:editId="1948945F">
            <wp:extent cx="4754880" cy="2761556"/>
            <wp:effectExtent l="0" t="0" r="7620" b="1270"/>
            <wp:docPr id="125372576" name="Picture 2" descr="A graph with line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72576" name="Picture 2" descr="A graph with lines and numbe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6293" r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567" cy="2887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012095" w14:textId="6039B074" w:rsidR="00CA11C0" w:rsidRPr="00E83EF3" w:rsidRDefault="00CA11C0" w:rsidP="00CA11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83EF3">
        <w:rPr>
          <w:rFonts w:ascii="Times New Roman" w:hAnsi="Times New Roman" w:cs="Times New Roman"/>
          <w:b/>
          <w:bCs/>
          <w:sz w:val="24"/>
          <w:szCs w:val="24"/>
        </w:rPr>
        <w:t>Figure 1: Disease incidence and count by age, sex and Indigenous status (2000-2019)</w:t>
      </w:r>
    </w:p>
    <w:p w14:paraId="10F1B3B4" w14:textId="77777777" w:rsidR="00CA11C0" w:rsidRPr="00E83EF3" w:rsidRDefault="00CA11C0" w:rsidP="002056F9">
      <w:pPr>
        <w:spacing w:after="0" w:line="36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29429ADB" w14:textId="77777777" w:rsidR="00CA11C0" w:rsidRPr="00E83EF3" w:rsidRDefault="00CA11C0" w:rsidP="002056F9">
      <w:pPr>
        <w:spacing w:after="0" w:line="36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760BBB7C" w14:textId="2D23FCE9" w:rsidR="008B7839" w:rsidRPr="00E83EF3" w:rsidRDefault="008B7839" w:rsidP="008B7839">
      <w:pPr>
        <w:tabs>
          <w:tab w:val="left" w:pos="1522"/>
        </w:tabs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83EF3">
        <w:rPr>
          <w:rFonts w:ascii="Times New Roman" w:hAnsi="Times New Roman" w:cs="Times New Roman"/>
          <w:b/>
          <w:bCs/>
          <w:noProof/>
          <w:sz w:val="24"/>
          <w:szCs w:val="24"/>
        </w:rPr>
        <w:t>Table 1 : Generalized additive model (GAM) convergence and basis dimension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7"/>
        <w:gridCol w:w="4421"/>
      </w:tblGrid>
      <w:tr w:rsidR="008B7839" w:rsidRPr="00E83EF3" w14:paraId="61C511A4" w14:textId="77777777" w:rsidTr="002C5554">
        <w:tc>
          <w:tcPr>
            <w:tcW w:w="0" w:type="auto"/>
            <w:hideMark/>
          </w:tcPr>
          <w:p w14:paraId="3B248C1E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Model diagnostic</w:t>
            </w:r>
          </w:p>
        </w:tc>
        <w:tc>
          <w:tcPr>
            <w:tcW w:w="0" w:type="auto"/>
            <w:hideMark/>
          </w:tcPr>
          <w:p w14:paraId="04202F59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Result</w:t>
            </w:r>
          </w:p>
        </w:tc>
      </w:tr>
      <w:tr w:rsidR="008B7839" w:rsidRPr="00E83EF3" w14:paraId="44BAD56E" w14:textId="77777777" w:rsidTr="002C5554">
        <w:tc>
          <w:tcPr>
            <w:tcW w:w="0" w:type="auto"/>
            <w:hideMark/>
          </w:tcPr>
          <w:p w14:paraId="6042B624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Estimation method</w:t>
            </w:r>
          </w:p>
        </w:tc>
        <w:tc>
          <w:tcPr>
            <w:tcW w:w="0" w:type="auto"/>
            <w:hideMark/>
          </w:tcPr>
          <w:p w14:paraId="7A525CB0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Restricted maximum likelihood (REML)</w:t>
            </w:r>
          </w:p>
        </w:tc>
      </w:tr>
      <w:tr w:rsidR="008B7839" w:rsidRPr="00E83EF3" w14:paraId="16389B57" w14:textId="77777777" w:rsidTr="002C5554">
        <w:tc>
          <w:tcPr>
            <w:tcW w:w="0" w:type="auto"/>
            <w:hideMark/>
          </w:tcPr>
          <w:p w14:paraId="4E9AC2CA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Optimisation method</w:t>
            </w:r>
          </w:p>
        </w:tc>
        <w:tc>
          <w:tcPr>
            <w:tcW w:w="0" w:type="auto"/>
            <w:hideMark/>
          </w:tcPr>
          <w:p w14:paraId="222F9374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Outer Newton optimiser</w:t>
            </w:r>
          </w:p>
        </w:tc>
      </w:tr>
      <w:tr w:rsidR="008B7839" w:rsidRPr="00E83EF3" w14:paraId="4D158DD2" w14:textId="77777777" w:rsidTr="002C5554">
        <w:tc>
          <w:tcPr>
            <w:tcW w:w="0" w:type="auto"/>
            <w:hideMark/>
          </w:tcPr>
          <w:p w14:paraId="14AC160D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Model convergence</w:t>
            </w:r>
          </w:p>
        </w:tc>
        <w:tc>
          <w:tcPr>
            <w:tcW w:w="0" w:type="auto"/>
            <w:hideMark/>
          </w:tcPr>
          <w:p w14:paraId="28D6A21A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Full convergence achieved after 5 iterations</w:t>
            </w:r>
          </w:p>
        </w:tc>
      </w:tr>
      <w:tr w:rsidR="008B7839" w:rsidRPr="00E83EF3" w14:paraId="01E95302" w14:textId="77777777" w:rsidTr="002C5554">
        <w:tc>
          <w:tcPr>
            <w:tcW w:w="0" w:type="auto"/>
            <w:hideMark/>
          </w:tcPr>
          <w:p w14:paraId="4EEE8AFA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Gradient range</w:t>
            </w:r>
          </w:p>
        </w:tc>
        <w:tc>
          <w:tcPr>
            <w:tcW w:w="0" w:type="auto"/>
            <w:hideMark/>
          </w:tcPr>
          <w:p w14:paraId="305682EC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−0.00064 to 0.00031</w:t>
            </w:r>
          </w:p>
        </w:tc>
      </w:tr>
      <w:tr w:rsidR="008B7839" w:rsidRPr="00E83EF3" w14:paraId="7F008FBE" w14:textId="77777777" w:rsidTr="002C5554">
        <w:tc>
          <w:tcPr>
            <w:tcW w:w="0" w:type="auto"/>
            <w:hideMark/>
          </w:tcPr>
          <w:p w14:paraId="6F221AD6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Hessian</w:t>
            </w:r>
          </w:p>
        </w:tc>
        <w:tc>
          <w:tcPr>
            <w:tcW w:w="0" w:type="auto"/>
            <w:hideMark/>
          </w:tcPr>
          <w:p w14:paraId="0A6C7CE8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Positive definite</w:t>
            </w:r>
          </w:p>
        </w:tc>
      </w:tr>
      <w:tr w:rsidR="008B7839" w:rsidRPr="00E83EF3" w14:paraId="78BD3E92" w14:textId="77777777" w:rsidTr="002C5554">
        <w:tc>
          <w:tcPr>
            <w:tcW w:w="0" w:type="auto"/>
            <w:hideMark/>
          </w:tcPr>
          <w:p w14:paraId="53976675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Model rank</w:t>
            </w:r>
          </w:p>
        </w:tc>
        <w:tc>
          <w:tcPr>
            <w:tcW w:w="0" w:type="auto"/>
            <w:hideMark/>
          </w:tcPr>
          <w:p w14:paraId="724268D9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20 / 21</w:t>
            </w:r>
          </w:p>
        </w:tc>
      </w:tr>
      <w:tr w:rsidR="008B7839" w:rsidRPr="00E83EF3" w14:paraId="6081014B" w14:textId="77777777" w:rsidTr="002C5554">
        <w:tc>
          <w:tcPr>
            <w:tcW w:w="0" w:type="auto"/>
            <w:hideMark/>
          </w:tcPr>
          <w:p w14:paraId="0F165D0E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Deviance explained</w:t>
            </w:r>
          </w:p>
        </w:tc>
        <w:tc>
          <w:tcPr>
            <w:tcW w:w="0" w:type="auto"/>
            <w:hideMark/>
          </w:tcPr>
          <w:p w14:paraId="67FC98DB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55.5%</w:t>
            </w:r>
          </w:p>
        </w:tc>
      </w:tr>
      <w:tr w:rsidR="008B7839" w:rsidRPr="00E83EF3" w14:paraId="435C5D7F" w14:textId="77777777" w:rsidTr="002C5554">
        <w:tc>
          <w:tcPr>
            <w:tcW w:w="0" w:type="auto"/>
            <w:hideMark/>
          </w:tcPr>
          <w:p w14:paraId="501B7E20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Adjusted R²</w:t>
            </w:r>
          </w:p>
        </w:tc>
        <w:tc>
          <w:tcPr>
            <w:tcW w:w="0" w:type="auto"/>
            <w:hideMark/>
          </w:tcPr>
          <w:p w14:paraId="49C27056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0.261</w:t>
            </w:r>
          </w:p>
        </w:tc>
      </w:tr>
    </w:tbl>
    <w:p w14:paraId="497BAB33" w14:textId="77777777" w:rsidR="008B7839" w:rsidRPr="00E83EF3" w:rsidRDefault="008B7839" w:rsidP="008B7839">
      <w:pPr>
        <w:tabs>
          <w:tab w:val="left" w:pos="1522"/>
        </w:tabs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863AA1B" w14:textId="77777777" w:rsidR="008B7839" w:rsidRPr="00E83EF3" w:rsidRDefault="008B7839" w:rsidP="008B7839">
      <w:pPr>
        <w:tabs>
          <w:tab w:val="left" w:pos="1522"/>
        </w:tabs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AF20FD6" w14:textId="77777777" w:rsidR="00FE134F" w:rsidRDefault="00FE134F" w:rsidP="008B7839">
      <w:pPr>
        <w:tabs>
          <w:tab w:val="left" w:pos="1522"/>
        </w:tabs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2819AD7" w14:textId="2677BF49" w:rsidR="008B7839" w:rsidRPr="00E83EF3" w:rsidRDefault="008B7839" w:rsidP="008B7839">
      <w:pPr>
        <w:tabs>
          <w:tab w:val="left" w:pos="1522"/>
        </w:tabs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83EF3">
        <w:rPr>
          <w:rFonts w:ascii="Times New Roman" w:hAnsi="Times New Roman" w:cs="Times New Roman"/>
          <w:b/>
          <w:bCs/>
          <w:noProof/>
          <w:sz w:val="24"/>
          <w:szCs w:val="24"/>
        </w:rPr>
        <w:t>Table 2: Basis dimension checking for smooth terms in the GAM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9"/>
        <w:gridCol w:w="1872"/>
        <w:gridCol w:w="2332"/>
        <w:gridCol w:w="1418"/>
        <w:gridCol w:w="1165"/>
      </w:tblGrid>
      <w:tr w:rsidR="008B7839" w:rsidRPr="00E83EF3" w14:paraId="7D14ED0A" w14:textId="77777777" w:rsidTr="002C5554">
        <w:tc>
          <w:tcPr>
            <w:tcW w:w="0" w:type="auto"/>
            <w:hideMark/>
          </w:tcPr>
          <w:p w14:paraId="111DD318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Smooth term</w:t>
            </w:r>
          </w:p>
        </w:tc>
        <w:tc>
          <w:tcPr>
            <w:tcW w:w="0" w:type="auto"/>
            <w:hideMark/>
          </w:tcPr>
          <w:p w14:paraId="403800E8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Basis dimension (k')</w:t>
            </w:r>
          </w:p>
        </w:tc>
        <w:tc>
          <w:tcPr>
            <w:tcW w:w="2332" w:type="dxa"/>
            <w:hideMark/>
          </w:tcPr>
          <w:p w14:paraId="3F879F2B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Estimated degrees of freedom (edf)</w:t>
            </w:r>
          </w:p>
        </w:tc>
        <w:tc>
          <w:tcPr>
            <w:tcW w:w="1418" w:type="dxa"/>
            <w:hideMark/>
          </w:tcPr>
          <w:p w14:paraId="50F21B1F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k-index</w:t>
            </w:r>
          </w:p>
        </w:tc>
        <w:tc>
          <w:tcPr>
            <w:tcW w:w="1165" w:type="dxa"/>
            <w:hideMark/>
          </w:tcPr>
          <w:p w14:paraId="730760AE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AU"/>
              </w:rPr>
              <w:t>p-value</w:t>
            </w:r>
          </w:p>
        </w:tc>
      </w:tr>
      <w:tr w:rsidR="008B7839" w:rsidRPr="00E83EF3" w14:paraId="104094A7" w14:textId="77777777" w:rsidTr="002C5554">
        <w:tc>
          <w:tcPr>
            <w:tcW w:w="0" w:type="auto"/>
            <w:hideMark/>
          </w:tcPr>
          <w:p w14:paraId="26D6A653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s(start_year)</w:t>
            </w:r>
          </w:p>
        </w:tc>
        <w:tc>
          <w:tcPr>
            <w:tcW w:w="0" w:type="auto"/>
            <w:hideMark/>
          </w:tcPr>
          <w:p w14:paraId="13B78437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9.00</w:t>
            </w:r>
          </w:p>
        </w:tc>
        <w:tc>
          <w:tcPr>
            <w:tcW w:w="2332" w:type="dxa"/>
            <w:hideMark/>
          </w:tcPr>
          <w:p w14:paraId="0257DF17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8.02</w:t>
            </w:r>
          </w:p>
        </w:tc>
        <w:tc>
          <w:tcPr>
            <w:tcW w:w="1418" w:type="dxa"/>
            <w:hideMark/>
          </w:tcPr>
          <w:p w14:paraId="0016362C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1.22</w:t>
            </w:r>
          </w:p>
        </w:tc>
        <w:tc>
          <w:tcPr>
            <w:tcW w:w="1165" w:type="dxa"/>
            <w:hideMark/>
          </w:tcPr>
          <w:p w14:paraId="6F28EE08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1.00</w:t>
            </w:r>
          </w:p>
        </w:tc>
      </w:tr>
      <w:tr w:rsidR="008B7839" w:rsidRPr="00E83EF3" w14:paraId="6D71CA9E" w14:textId="77777777" w:rsidTr="002C5554">
        <w:tc>
          <w:tcPr>
            <w:tcW w:w="0" w:type="auto"/>
            <w:hideMark/>
          </w:tcPr>
          <w:p w14:paraId="189374DB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s(mid_point_of_age)</w:t>
            </w:r>
          </w:p>
        </w:tc>
        <w:tc>
          <w:tcPr>
            <w:tcW w:w="0" w:type="auto"/>
            <w:hideMark/>
          </w:tcPr>
          <w:p w14:paraId="6BF6B326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9.00</w:t>
            </w:r>
          </w:p>
        </w:tc>
        <w:tc>
          <w:tcPr>
            <w:tcW w:w="2332" w:type="dxa"/>
            <w:hideMark/>
          </w:tcPr>
          <w:p w14:paraId="72439E7B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6.41</w:t>
            </w:r>
          </w:p>
        </w:tc>
        <w:tc>
          <w:tcPr>
            <w:tcW w:w="1418" w:type="dxa"/>
            <w:hideMark/>
          </w:tcPr>
          <w:p w14:paraId="2723C142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1.26</w:t>
            </w:r>
          </w:p>
        </w:tc>
        <w:tc>
          <w:tcPr>
            <w:tcW w:w="1165" w:type="dxa"/>
            <w:hideMark/>
          </w:tcPr>
          <w:p w14:paraId="21B9BC19" w14:textId="77777777" w:rsidR="008B7839" w:rsidRPr="00E83EF3" w:rsidRDefault="008B7839" w:rsidP="002C5554">
            <w:pPr>
              <w:tabs>
                <w:tab w:val="left" w:pos="1522"/>
              </w:tabs>
              <w:spacing w:after="160"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</w:pPr>
            <w:r w:rsidRPr="00E83EF3">
              <w:rPr>
                <w:rFonts w:ascii="Times New Roman" w:hAnsi="Times New Roman" w:cs="Times New Roman"/>
                <w:noProof/>
                <w:sz w:val="24"/>
                <w:szCs w:val="24"/>
                <w:lang w:val="en-AU"/>
              </w:rPr>
              <w:t>1.00</w:t>
            </w:r>
          </w:p>
        </w:tc>
      </w:tr>
    </w:tbl>
    <w:p w14:paraId="417710CD" w14:textId="77777777" w:rsidR="008B7839" w:rsidRPr="00E83EF3" w:rsidRDefault="008B7839" w:rsidP="008B7839">
      <w:pPr>
        <w:tabs>
          <w:tab w:val="left" w:pos="1522"/>
        </w:tabs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8AFA9A4" w14:textId="35E08968" w:rsidR="008B7839" w:rsidRPr="00E83EF3" w:rsidRDefault="005E54F8" w:rsidP="002056F9">
      <w:pPr>
        <w:spacing w:after="0" w:line="36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E83EF3">
        <w:rPr>
          <w:rFonts w:ascii="Times New Roman" w:hAnsi="Times New Roman" w:cs="Times New Roman"/>
          <w:noProof/>
          <w:color w:val="000000"/>
          <w:sz w:val="24"/>
          <w:szCs w:val="24"/>
          <w:lang w:val="en-IN" w:eastAsia="en-IN"/>
        </w:rPr>
        <w:drawing>
          <wp:inline distT="0" distB="0" distL="0" distR="0" wp14:anchorId="020419F3" wp14:editId="72643779">
            <wp:extent cx="5445358" cy="3505200"/>
            <wp:effectExtent l="0" t="0" r="3175" b="0"/>
            <wp:docPr id="119747222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47222" name="Picture 2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80" r="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313" cy="351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7A3862" w14:textId="5600A58E" w:rsidR="005E54F8" w:rsidRPr="00E83EF3" w:rsidRDefault="005E54F8" w:rsidP="005E54F8">
      <w:pPr>
        <w:tabs>
          <w:tab w:val="left" w:pos="1522"/>
        </w:tabs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83EF3">
        <w:rPr>
          <w:rFonts w:ascii="Times New Roman" w:hAnsi="Times New Roman" w:cs="Times New Roman"/>
          <w:b/>
          <w:bCs/>
          <w:noProof/>
          <w:sz w:val="24"/>
          <w:szCs w:val="24"/>
        </w:rPr>
        <w:t>Figure 2: disease count by iGAS type, age group, sex and Indigenous status</w:t>
      </w:r>
    </w:p>
    <w:p w14:paraId="37BD830D" w14:textId="77777777" w:rsidR="00CA11C0" w:rsidRPr="00E83EF3" w:rsidRDefault="00CA11C0" w:rsidP="002056F9">
      <w:pPr>
        <w:spacing w:after="0" w:line="36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0D8F4E81" w14:textId="77777777" w:rsidR="00CA11C0" w:rsidRPr="00E83EF3" w:rsidRDefault="00CA11C0" w:rsidP="002056F9">
      <w:pPr>
        <w:spacing w:after="0" w:line="36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31D92341" w14:textId="4CCF0EF0" w:rsidR="002056F9" w:rsidRPr="00E83EF3" w:rsidRDefault="002056F9" w:rsidP="002056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3EF3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Table</w:t>
      </w:r>
      <w:r w:rsidRPr="00E83EF3">
        <w:rPr>
          <w:rFonts w:ascii="Times New Roman" w:eastAsiaTheme="minorHAnsi" w:hAnsi="Times New Roman" w:cs="Times New Roman"/>
          <w:b/>
          <w:bCs/>
          <w:iCs w:val="0"/>
          <w:noProof/>
          <w:sz w:val="24"/>
          <w:szCs w:val="24"/>
          <w:lang w:val="en-US"/>
        </w:rPr>
        <w:t xml:space="preserve"> </w:t>
      </w:r>
      <w:r w:rsidR="00B9008D" w:rsidRPr="00E83EF3">
        <w:rPr>
          <w:rFonts w:ascii="Times New Roman" w:eastAsiaTheme="minorHAnsi" w:hAnsi="Times New Roman" w:cs="Times New Roman"/>
          <w:b/>
          <w:bCs/>
          <w:iCs w:val="0"/>
          <w:noProof/>
          <w:sz w:val="24"/>
          <w:szCs w:val="24"/>
          <w:lang w:val="en-US"/>
        </w:rPr>
        <w:t>3</w:t>
      </w:r>
      <w:r w:rsidRPr="00E83EF3">
        <w:rPr>
          <w:rFonts w:ascii="Times New Roman" w:eastAsiaTheme="minorHAnsi" w:hAnsi="Times New Roman" w:cs="Times New Roman"/>
          <w:b/>
          <w:bCs/>
          <w:iCs w:val="0"/>
          <w:noProof/>
          <w:sz w:val="24"/>
          <w:szCs w:val="24"/>
          <w:lang w:val="en-US"/>
        </w:rPr>
        <w:t>: ICD-10-AM codes of relevant risk factors (‘x’ indicates a further subdivision of the specific disease type)</w:t>
      </w:r>
    </w:p>
    <w:tbl>
      <w:tblPr>
        <w:tblStyle w:val="TableGrid"/>
        <w:tblpPr w:leftFromText="180" w:rightFromText="180" w:vertAnchor="text" w:tblpY="646"/>
        <w:tblW w:w="9016" w:type="dxa"/>
        <w:tblLook w:val="04A0" w:firstRow="1" w:lastRow="0" w:firstColumn="1" w:lastColumn="0" w:noHBand="0" w:noVBand="1"/>
      </w:tblPr>
      <w:tblGrid>
        <w:gridCol w:w="1838"/>
        <w:gridCol w:w="1843"/>
        <w:gridCol w:w="5335"/>
      </w:tblGrid>
      <w:tr w:rsidR="002056F9" w:rsidRPr="00E83EF3" w14:paraId="309BBCD4" w14:textId="77777777" w:rsidTr="009242EC">
        <w:tc>
          <w:tcPr>
            <w:tcW w:w="1838" w:type="dxa"/>
          </w:tcPr>
          <w:p w14:paraId="5BAD2B7E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b/>
                <w:bCs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iCs w:val="0"/>
                <w:sz w:val="24"/>
                <w:szCs w:val="24"/>
                <w:lang w:val="en-AU" w:eastAsia="en-AU"/>
              </w:rPr>
              <w:t>Risk factor</w:t>
            </w:r>
          </w:p>
        </w:tc>
        <w:tc>
          <w:tcPr>
            <w:tcW w:w="1843" w:type="dxa"/>
          </w:tcPr>
          <w:p w14:paraId="1D6A6E05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b/>
                <w:bCs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iCs w:val="0"/>
                <w:sz w:val="24"/>
                <w:szCs w:val="24"/>
                <w:lang w:val="en-AU" w:eastAsia="en-AU"/>
              </w:rPr>
              <w:t>ICD-10-AM codes</w:t>
            </w:r>
          </w:p>
        </w:tc>
        <w:tc>
          <w:tcPr>
            <w:tcW w:w="5335" w:type="dxa"/>
          </w:tcPr>
          <w:p w14:paraId="170B8937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b/>
                <w:bCs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b/>
                <w:bCs/>
                <w:iCs w:val="0"/>
                <w:sz w:val="24"/>
                <w:szCs w:val="24"/>
                <w:lang w:val="en-AU" w:eastAsia="en-AU"/>
              </w:rPr>
              <w:t>Description</w:t>
            </w:r>
          </w:p>
        </w:tc>
      </w:tr>
      <w:tr w:rsidR="002056F9" w:rsidRPr="00E83EF3" w14:paraId="2A64D9A9" w14:textId="77777777" w:rsidTr="009242EC">
        <w:tc>
          <w:tcPr>
            <w:tcW w:w="1838" w:type="dxa"/>
          </w:tcPr>
          <w:p w14:paraId="61A7CD2E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Skin infections</w:t>
            </w:r>
          </w:p>
        </w:tc>
        <w:tc>
          <w:tcPr>
            <w:tcW w:w="1843" w:type="dxa"/>
          </w:tcPr>
          <w:p w14:paraId="7D775871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L00xx – L08x</w:t>
            </w:r>
          </w:p>
        </w:tc>
        <w:tc>
          <w:tcPr>
            <w:tcW w:w="5335" w:type="dxa"/>
          </w:tcPr>
          <w:p w14:paraId="6688D51E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Skin infections</w:t>
            </w:r>
          </w:p>
        </w:tc>
      </w:tr>
      <w:tr w:rsidR="002056F9" w:rsidRPr="00E83EF3" w14:paraId="5981852B" w14:textId="77777777" w:rsidTr="009242EC">
        <w:tc>
          <w:tcPr>
            <w:tcW w:w="1838" w:type="dxa"/>
          </w:tcPr>
          <w:p w14:paraId="79FEE23C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Renal failure</w:t>
            </w:r>
          </w:p>
        </w:tc>
        <w:tc>
          <w:tcPr>
            <w:tcW w:w="1843" w:type="dxa"/>
          </w:tcPr>
          <w:p w14:paraId="423A20B1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N17 – N17.x</w:t>
            </w:r>
          </w:p>
          <w:p w14:paraId="4B04FABF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N18 – N18.xx</w:t>
            </w:r>
          </w:p>
          <w:p w14:paraId="19144010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N19</w:t>
            </w:r>
          </w:p>
          <w:p w14:paraId="38EA7503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I120</w:t>
            </w:r>
          </w:p>
          <w:p w14:paraId="1597CDB5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I131</w:t>
            </w:r>
          </w:p>
          <w:p w14:paraId="7BBB5584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</w:p>
          <w:p w14:paraId="5CCCB511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I132</w:t>
            </w:r>
          </w:p>
          <w:p w14:paraId="344B40CB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</w:p>
          <w:p w14:paraId="460169A3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P960</w:t>
            </w:r>
          </w:p>
        </w:tc>
        <w:tc>
          <w:tcPr>
            <w:tcW w:w="5335" w:type="dxa"/>
          </w:tcPr>
          <w:p w14:paraId="3F3E6D67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Acute kidney failure</w:t>
            </w:r>
          </w:p>
          <w:p w14:paraId="58F7E46E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Chronic kidney disease</w:t>
            </w:r>
          </w:p>
          <w:p w14:paraId="39032BE6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Unspecified kidney failure</w:t>
            </w:r>
          </w:p>
          <w:p w14:paraId="49B7EB86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Hypertensive kidney disease with kidney failure</w:t>
            </w:r>
          </w:p>
          <w:p w14:paraId="2FD34CC5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Hypertensive heart and kidney disease with kidney failure</w:t>
            </w:r>
          </w:p>
          <w:p w14:paraId="5834FA48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Hypertensive heart and kidney disease with both (congestive) heart failure and kidney failure</w:t>
            </w:r>
          </w:p>
          <w:p w14:paraId="03727866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Congenital kidney failure</w:t>
            </w:r>
          </w:p>
        </w:tc>
      </w:tr>
      <w:tr w:rsidR="002056F9" w:rsidRPr="00E83EF3" w14:paraId="688D6533" w14:textId="77777777" w:rsidTr="009242EC">
        <w:tc>
          <w:tcPr>
            <w:tcW w:w="1838" w:type="dxa"/>
          </w:tcPr>
          <w:p w14:paraId="58DEB197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Cardiac disease</w:t>
            </w:r>
          </w:p>
        </w:tc>
        <w:tc>
          <w:tcPr>
            <w:tcW w:w="1843" w:type="dxa"/>
          </w:tcPr>
          <w:p w14:paraId="724FC811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I01-I01.x</w:t>
            </w:r>
          </w:p>
          <w:p w14:paraId="79BB28B0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I02.0</w:t>
            </w:r>
          </w:p>
          <w:p w14:paraId="1C14D32A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I05x – I09x</w:t>
            </w:r>
          </w:p>
          <w:p w14:paraId="65F5A309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I10 – I15x</w:t>
            </w:r>
          </w:p>
          <w:p w14:paraId="1B7C73A1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I20 – I25x</w:t>
            </w:r>
          </w:p>
          <w:p w14:paraId="106C956C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I26x – I28x</w:t>
            </w:r>
          </w:p>
          <w:p w14:paraId="30AD10F9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</w:p>
          <w:p w14:paraId="7A70F7E5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130x – 152x</w:t>
            </w:r>
          </w:p>
        </w:tc>
        <w:tc>
          <w:tcPr>
            <w:tcW w:w="5335" w:type="dxa"/>
          </w:tcPr>
          <w:p w14:paraId="5AE30B6B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Rheumatic fever with heart involvement</w:t>
            </w:r>
          </w:p>
          <w:p w14:paraId="5339F232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Rheumatic chorea with heart involvement</w:t>
            </w:r>
          </w:p>
          <w:p w14:paraId="710D3856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Rheumatic Heart Disease</w:t>
            </w:r>
          </w:p>
          <w:p w14:paraId="233722B8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Hypertensive Disease</w:t>
            </w:r>
          </w:p>
          <w:p w14:paraId="153BC0D7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Ischaemic Heart Disease</w:t>
            </w:r>
          </w:p>
          <w:p w14:paraId="3061C356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Pulmonary embolism, other pulmonary heart disease, other diseases of pulmonary vessels</w:t>
            </w:r>
          </w:p>
          <w:p w14:paraId="318F7BCE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Other diseases of the heart including pericardial disease, endocarditis, valve disorders, myocarditis, cardiomyopathy, conduction disorders, cardiac arrest, arrhythmias, heart failure</w:t>
            </w:r>
          </w:p>
        </w:tc>
      </w:tr>
      <w:tr w:rsidR="002056F9" w:rsidRPr="00E83EF3" w14:paraId="34F21468" w14:textId="77777777" w:rsidTr="009242EC">
        <w:tc>
          <w:tcPr>
            <w:tcW w:w="1838" w:type="dxa"/>
          </w:tcPr>
          <w:p w14:paraId="13704DCA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Renal dialysis</w:t>
            </w:r>
          </w:p>
        </w:tc>
        <w:tc>
          <w:tcPr>
            <w:tcW w:w="1843" w:type="dxa"/>
          </w:tcPr>
          <w:p w14:paraId="56650650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Y841</w:t>
            </w:r>
          </w:p>
          <w:p w14:paraId="061B29E9" w14:textId="6E06004B" w:rsidR="000277F7" w:rsidRPr="00E83EF3" w:rsidRDefault="000277F7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Z49</w:t>
            </w:r>
          </w:p>
          <w:p w14:paraId="3D551289" w14:textId="7474A098" w:rsidR="006547A6" w:rsidRPr="00E83EF3" w:rsidRDefault="006547A6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Z490</w:t>
            </w:r>
          </w:p>
          <w:p w14:paraId="7CB01349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Z491</w:t>
            </w:r>
          </w:p>
          <w:p w14:paraId="09E0CAC3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Z492</w:t>
            </w:r>
          </w:p>
          <w:p w14:paraId="2A2E1B09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Z992</w:t>
            </w:r>
          </w:p>
          <w:p w14:paraId="0FCF5C68" w14:textId="7F902C37" w:rsidR="008A5077" w:rsidRPr="00E83EF3" w:rsidRDefault="008A5077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</w:p>
        </w:tc>
        <w:tc>
          <w:tcPr>
            <w:tcW w:w="5335" w:type="dxa"/>
          </w:tcPr>
          <w:p w14:paraId="2118B2C9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Kidney dialysis</w:t>
            </w:r>
          </w:p>
          <w:p w14:paraId="57BF6F6D" w14:textId="34B39032" w:rsidR="000277F7" w:rsidRPr="00E83EF3" w:rsidRDefault="000277F7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Care involving dialysis</w:t>
            </w:r>
          </w:p>
          <w:p w14:paraId="59D29444" w14:textId="2A03E8F2" w:rsidR="000277F7" w:rsidRPr="00E83EF3" w:rsidRDefault="006547A6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Preparatory care for dialysis</w:t>
            </w:r>
          </w:p>
          <w:p w14:paraId="4B8F9AEA" w14:textId="77461C7A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Extracorporeal dialysis</w:t>
            </w:r>
          </w:p>
          <w:p w14:paraId="5F36F14D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Other dialysis</w:t>
            </w:r>
          </w:p>
          <w:p w14:paraId="59D3FF32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Dependence on kidney dialysis</w:t>
            </w:r>
          </w:p>
        </w:tc>
      </w:tr>
      <w:tr w:rsidR="002056F9" w:rsidRPr="00E83EF3" w14:paraId="2364CFC8" w14:textId="77777777" w:rsidTr="009242EC">
        <w:tc>
          <w:tcPr>
            <w:tcW w:w="1838" w:type="dxa"/>
          </w:tcPr>
          <w:p w14:paraId="46059B32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Smoking</w:t>
            </w:r>
          </w:p>
        </w:tc>
        <w:tc>
          <w:tcPr>
            <w:tcW w:w="1843" w:type="dxa"/>
          </w:tcPr>
          <w:p w14:paraId="601F9698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Z720</w:t>
            </w:r>
          </w:p>
          <w:p w14:paraId="36E11F5C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Z8643</w:t>
            </w:r>
          </w:p>
        </w:tc>
        <w:tc>
          <w:tcPr>
            <w:tcW w:w="5335" w:type="dxa"/>
          </w:tcPr>
          <w:p w14:paraId="757CD39A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Tobacco use, current</w:t>
            </w:r>
          </w:p>
          <w:p w14:paraId="50CEAA37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Personal history of tobacco use disorder</w:t>
            </w:r>
          </w:p>
        </w:tc>
      </w:tr>
      <w:tr w:rsidR="002056F9" w:rsidRPr="00E83EF3" w14:paraId="255B9646" w14:textId="77777777" w:rsidTr="009242EC">
        <w:tc>
          <w:tcPr>
            <w:tcW w:w="1838" w:type="dxa"/>
          </w:tcPr>
          <w:p w14:paraId="6D83F04A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Diabetes</w:t>
            </w:r>
          </w:p>
        </w:tc>
        <w:tc>
          <w:tcPr>
            <w:tcW w:w="1843" w:type="dxa"/>
          </w:tcPr>
          <w:p w14:paraId="79A62F68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E10xx</w:t>
            </w:r>
          </w:p>
          <w:p w14:paraId="7775919A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E11xx</w:t>
            </w:r>
          </w:p>
          <w:p w14:paraId="745FC5A4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E12xx</w:t>
            </w:r>
          </w:p>
          <w:p w14:paraId="192E18CB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E13xx</w:t>
            </w:r>
          </w:p>
          <w:p w14:paraId="1879F319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E14xx</w:t>
            </w:r>
          </w:p>
        </w:tc>
        <w:tc>
          <w:tcPr>
            <w:tcW w:w="5335" w:type="dxa"/>
          </w:tcPr>
          <w:p w14:paraId="196FC746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Type 1 diabetes mellitus</w:t>
            </w:r>
          </w:p>
          <w:p w14:paraId="703C7CF4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pt-BR" w:eastAsia="en-AU"/>
              </w:rPr>
              <w:t>Type 2 diabetes mellitus</w:t>
            </w:r>
          </w:p>
          <w:p w14:paraId="5B928324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Malnutrition-related diabetes mellitus</w:t>
            </w:r>
          </w:p>
          <w:p w14:paraId="1EBDE880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Other specified diabetes mellitus</w:t>
            </w:r>
          </w:p>
          <w:p w14:paraId="768D49F8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Unspecified diabetes mellitus</w:t>
            </w:r>
          </w:p>
        </w:tc>
      </w:tr>
      <w:tr w:rsidR="002056F9" w:rsidRPr="00E83EF3" w14:paraId="10A952B5" w14:textId="77777777" w:rsidTr="009242EC">
        <w:tc>
          <w:tcPr>
            <w:tcW w:w="1838" w:type="dxa"/>
          </w:tcPr>
          <w:p w14:paraId="45A0B38D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Neoplasms</w:t>
            </w:r>
          </w:p>
        </w:tc>
        <w:tc>
          <w:tcPr>
            <w:tcW w:w="1843" w:type="dxa"/>
          </w:tcPr>
          <w:p w14:paraId="2B2EA606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proofErr w:type="spellStart"/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Cxxxx</w:t>
            </w:r>
            <w:proofErr w:type="spellEnd"/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 xml:space="preserve"> </w:t>
            </w:r>
          </w:p>
          <w:p w14:paraId="69E6B6FB" w14:textId="77777777" w:rsidR="006F3C75" w:rsidRPr="00E83EF3" w:rsidRDefault="001652B7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D0xx</w:t>
            </w:r>
          </w:p>
          <w:p w14:paraId="411503EF" w14:textId="690FE120" w:rsidR="009944BF" w:rsidRPr="00E83EF3" w:rsidRDefault="009944BF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D37xx – D489</w:t>
            </w:r>
          </w:p>
        </w:tc>
        <w:tc>
          <w:tcPr>
            <w:tcW w:w="5335" w:type="dxa"/>
          </w:tcPr>
          <w:p w14:paraId="3C3496B1" w14:textId="77777777" w:rsidR="002056F9" w:rsidRPr="00E83EF3" w:rsidRDefault="006F137F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Malignant n</w:t>
            </w:r>
            <w:r w:rsidR="002056F9"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eoplasms</w:t>
            </w:r>
          </w:p>
          <w:p w14:paraId="4A311070" w14:textId="77777777" w:rsidR="006F137F" w:rsidRPr="00E83EF3" w:rsidRDefault="006F3C75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Carcinoma and melanoma</w:t>
            </w:r>
          </w:p>
          <w:p w14:paraId="5E44CE40" w14:textId="0BE79F3D" w:rsidR="006F3C75" w:rsidRPr="00E83EF3" w:rsidRDefault="006F3C75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Neoplasms of uncertain or unknown behaviour</w:t>
            </w:r>
          </w:p>
        </w:tc>
      </w:tr>
      <w:tr w:rsidR="002056F9" w:rsidRPr="00E83EF3" w14:paraId="1EA10183" w14:textId="77777777" w:rsidTr="009242EC">
        <w:tc>
          <w:tcPr>
            <w:tcW w:w="1838" w:type="dxa"/>
          </w:tcPr>
          <w:p w14:paraId="4AD69AFB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Drug use</w:t>
            </w:r>
          </w:p>
        </w:tc>
        <w:tc>
          <w:tcPr>
            <w:tcW w:w="1843" w:type="dxa"/>
          </w:tcPr>
          <w:p w14:paraId="260475FD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Z722</w:t>
            </w:r>
          </w:p>
          <w:p w14:paraId="142F267B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Z8642</w:t>
            </w:r>
          </w:p>
        </w:tc>
        <w:tc>
          <w:tcPr>
            <w:tcW w:w="5335" w:type="dxa"/>
          </w:tcPr>
          <w:p w14:paraId="6FE3FFAB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Drug use</w:t>
            </w:r>
          </w:p>
          <w:p w14:paraId="18D42BCC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Personal history of drug use disorder</w:t>
            </w:r>
          </w:p>
        </w:tc>
      </w:tr>
      <w:tr w:rsidR="002056F9" w:rsidRPr="00E83EF3" w14:paraId="49EC03BE" w14:textId="77777777" w:rsidTr="009242EC">
        <w:tc>
          <w:tcPr>
            <w:tcW w:w="1838" w:type="dxa"/>
          </w:tcPr>
          <w:p w14:paraId="21C3AE3F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Varicella</w:t>
            </w:r>
          </w:p>
        </w:tc>
        <w:tc>
          <w:tcPr>
            <w:tcW w:w="1843" w:type="dxa"/>
          </w:tcPr>
          <w:p w14:paraId="6B006E71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B01.xx</w:t>
            </w:r>
          </w:p>
        </w:tc>
        <w:tc>
          <w:tcPr>
            <w:tcW w:w="5335" w:type="dxa"/>
          </w:tcPr>
          <w:p w14:paraId="0A99D0CD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Varicella (Chickenpox)</w:t>
            </w:r>
          </w:p>
        </w:tc>
      </w:tr>
      <w:tr w:rsidR="002056F9" w:rsidRPr="00E83EF3" w14:paraId="12A9A7F4" w14:textId="77777777" w:rsidTr="009242EC">
        <w:tc>
          <w:tcPr>
            <w:tcW w:w="1838" w:type="dxa"/>
          </w:tcPr>
          <w:p w14:paraId="7E585D7F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HIV</w:t>
            </w:r>
          </w:p>
        </w:tc>
        <w:tc>
          <w:tcPr>
            <w:tcW w:w="1843" w:type="dxa"/>
          </w:tcPr>
          <w:p w14:paraId="1F07CA4C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B20</w:t>
            </w:r>
          </w:p>
          <w:p w14:paraId="08E89483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</w:p>
          <w:p w14:paraId="5D962354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B21</w:t>
            </w:r>
          </w:p>
          <w:p w14:paraId="63D64121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</w:p>
          <w:p w14:paraId="2D8D733E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B22</w:t>
            </w:r>
          </w:p>
          <w:p w14:paraId="268AECB7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</w:p>
          <w:p w14:paraId="3AA7DE21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B23</w:t>
            </w:r>
          </w:p>
          <w:p w14:paraId="550173ED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</w:p>
          <w:p w14:paraId="33C92011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B230</w:t>
            </w:r>
          </w:p>
          <w:p w14:paraId="45E00544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B238</w:t>
            </w:r>
          </w:p>
          <w:p w14:paraId="3E36DA6B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B24</w:t>
            </w:r>
          </w:p>
        </w:tc>
        <w:tc>
          <w:tcPr>
            <w:tcW w:w="5335" w:type="dxa"/>
          </w:tcPr>
          <w:p w14:paraId="5966171B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Human immunodeficiency virus [HIV] disease resulting in infectious and parasitic diseases</w:t>
            </w:r>
          </w:p>
          <w:p w14:paraId="3C9157A7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Human immunodeficiency virus [HIV] disease resulting in malignant neoplasms</w:t>
            </w:r>
          </w:p>
          <w:p w14:paraId="2EDC6A46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Human immunodeficiency virus [HIV] disease resulting in other specified diseases</w:t>
            </w:r>
          </w:p>
          <w:p w14:paraId="58E5D9A4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Human immunodeficiency virus [HIV] disease resulting in other conditions</w:t>
            </w:r>
          </w:p>
          <w:p w14:paraId="04DB5D18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Acute HIV infection syndrome</w:t>
            </w:r>
          </w:p>
          <w:p w14:paraId="6E8F2680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HIV disease resulting in other specified conditions</w:t>
            </w:r>
          </w:p>
          <w:p w14:paraId="04C4F2F7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Unspecified human immunodeficiency virus [HIV] disease</w:t>
            </w:r>
          </w:p>
        </w:tc>
      </w:tr>
      <w:tr w:rsidR="002056F9" w:rsidRPr="00E83EF3" w14:paraId="51D3A88F" w14:textId="77777777" w:rsidTr="009242EC">
        <w:tc>
          <w:tcPr>
            <w:tcW w:w="1838" w:type="dxa"/>
          </w:tcPr>
          <w:p w14:paraId="119CF44A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Chemotherapy use</w:t>
            </w:r>
          </w:p>
        </w:tc>
        <w:tc>
          <w:tcPr>
            <w:tcW w:w="1843" w:type="dxa"/>
          </w:tcPr>
          <w:p w14:paraId="4D547AA5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Z511</w:t>
            </w:r>
          </w:p>
          <w:p w14:paraId="3CF1FBE3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Z512</w:t>
            </w:r>
          </w:p>
          <w:p w14:paraId="3D74B1C9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Z926</w:t>
            </w:r>
          </w:p>
          <w:p w14:paraId="257E2C0B" w14:textId="77777777" w:rsidR="00503EFE" w:rsidRPr="00E83EF3" w:rsidRDefault="00503EFE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</w:p>
          <w:p w14:paraId="2A58F52E" w14:textId="4F82CADB" w:rsidR="009242EC" w:rsidRPr="00E83EF3" w:rsidRDefault="00345C3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Z082</w:t>
            </w:r>
          </w:p>
        </w:tc>
        <w:tc>
          <w:tcPr>
            <w:tcW w:w="5335" w:type="dxa"/>
          </w:tcPr>
          <w:p w14:paraId="31C2A4A7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Pharmacotherapy session for neoplasm</w:t>
            </w:r>
          </w:p>
          <w:p w14:paraId="13336453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Other chemotherapy</w:t>
            </w:r>
          </w:p>
          <w:p w14:paraId="75B3EA8B" w14:textId="77777777" w:rsidR="002056F9" w:rsidRPr="00E83EF3" w:rsidRDefault="002056F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Personal history of pharmacotherapy for neoplastic disease</w:t>
            </w:r>
          </w:p>
          <w:p w14:paraId="359C8CD5" w14:textId="1C9DB651" w:rsidR="00345C39" w:rsidRPr="00E83EF3" w:rsidRDefault="00345C39" w:rsidP="0088577E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Follow-up examination after pharmacotherapy for malignant neoplasm</w:t>
            </w:r>
          </w:p>
        </w:tc>
      </w:tr>
      <w:tr w:rsidR="001D6D4D" w:rsidRPr="00E83EF3" w14:paraId="3E27821A" w14:textId="77777777" w:rsidTr="009242EC">
        <w:tc>
          <w:tcPr>
            <w:tcW w:w="1838" w:type="dxa"/>
          </w:tcPr>
          <w:p w14:paraId="27883D18" w14:textId="6974044A" w:rsidR="001D6D4D" w:rsidRPr="00E83EF3" w:rsidRDefault="001D6D4D" w:rsidP="001D6D4D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sz w:val="24"/>
                <w:szCs w:val="24"/>
              </w:rPr>
              <w:t>Alcohol use</w:t>
            </w:r>
          </w:p>
        </w:tc>
        <w:tc>
          <w:tcPr>
            <w:tcW w:w="1843" w:type="dxa"/>
          </w:tcPr>
          <w:p w14:paraId="38100AC5" w14:textId="77777777" w:rsidR="001D6D4D" w:rsidRPr="00E83EF3" w:rsidRDefault="001D6D4D" w:rsidP="001D6D4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F3">
              <w:rPr>
                <w:rFonts w:ascii="Times New Roman" w:hAnsi="Times New Roman" w:cs="Times New Roman"/>
                <w:sz w:val="24"/>
                <w:szCs w:val="24"/>
              </w:rPr>
              <w:t>Z721</w:t>
            </w:r>
          </w:p>
          <w:p w14:paraId="0FC36ACA" w14:textId="77777777" w:rsidR="004047C4" w:rsidRPr="00E83EF3" w:rsidRDefault="003B401C" w:rsidP="001D6D4D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Z8641</w:t>
            </w:r>
          </w:p>
          <w:p w14:paraId="309C78A4" w14:textId="3A3237D3" w:rsidR="00FE1B23" w:rsidRPr="00E83EF3" w:rsidRDefault="003541A4" w:rsidP="001D6D4D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F</w:t>
            </w:r>
            <w:r w:rsidR="00804E99"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 xml:space="preserve">10 </w:t>
            </w:r>
            <w:r w:rsidR="00601160"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–</w:t>
            </w:r>
            <w:r w:rsidR="00804E99"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 xml:space="preserve"> </w:t>
            </w:r>
            <w:r w:rsidR="00601160"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F10</w:t>
            </w:r>
            <w:r w:rsidR="00C0057D"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9</w:t>
            </w:r>
          </w:p>
        </w:tc>
        <w:tc>
          <w:tcPr>
            <w:tcW w:w="5335" w:type="dxa"/>
          </w:tcPr>
          <w:p w14:paraId="7931D17A" w14:textId="77777777" w:rsidR="001D6D4D" w:rsidRPr="00E83EF3" w:rsidRDefault="001D6D4D" w:rsidP="001D6D4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F3">
              <w:rPr>
                <w:rFonts w:ascii="Times New Roman" w:hAnsi="Times New Roman" w:cs="Times New Roman"/>
                <w:sz w:val="24"/>
                <w:szCs w:val="24"/>
              </w:rPr>
              <w:t>Alcohol use</w:t>
            </w:r>
          </w:p>
          <w:p w14:paraId="5D126280" w14:textId="77777777" w:rsidR="003B401C" w:rsidRPr="00E83EF3" w:rsidRDefault="006F1B0F" w:rsidP="001D6D4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F3">
              <w:rPr>
                <w:rFonts w:ascii="Times New Roman" w:hAnsi="Times New Roman" w:cs="Times New Roman"/>
                <w:sz w:val="24"/>
                <w:szCs w:val="24"/>
              </w:rPr>
              <w:t>Personal history of alcohol use disorder</w:t>
            </w:r>
          </w:p>
          <w:p w14:paraId="7DCD0AE2" w14:textId="4EC7F1FB" w:rsidR="006F1B0F" w:rsidRPr="00E83EF3" w:rsidRDefault="004B5A18" w:rsidP="001D6D4D">
            <w:pPr>
              <w:spacing w:line="360" w:lineRule="auto"/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</w:pPr>
            <w:r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 xml:space="preserve">Mental and behavioural disorders due to </w:t>
            </w:r>
            <w:r w:rsidR="00AE1FCC" w:rsidRPr="00E83EF3">
              <w:rPr>
                <w:rFonts w:ascii="Times New Roman" w:hAnsi="Times New Roman" w:cs="Times New Roman"/>
                <w:iCs w:val="0"/>
                <w:sz w:val="24"/>
                <w:szCs w:val="24"/>
                <w:lang w:val="en-AU" w:eastAsia="en-AU"/>
              </w:rPr>
              <w:t>alcohol use</w:t>
            </w:r>
          </w:p>
        </w:tc>
      </w:tr>
    </w:tbl>
    <w:p w14:paraId="04205C86" w14:textId="77777777" w:rsidR="00B21A44" w:rsidRPr="00E83EF3" w:rsidRDefault="00B21A44" w:rsidP="002056F9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BD39E" w14:textId="5E82E5F4" w:rsidR="002056F9" w:rsidRPr="00E83EF3" w:rsidRDefault="002056F9" w:rsidP="00F02164">
      <w:p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90AD8D3" w14:textId="4F20BC31" w:rsidR="00115DBE" w:rsidRPr="00E83EF3" w:rsidRDefault="00115DBE" w:rsidP="004C019E">
      <w:pPr>
        <w:tabs>
          <w:tab w:val="left" w:pos="1522"/>
        </w:tabs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27F66BC" w14:textId="7D9C3C90" w:rsidR="006E67E9" w:rsidRPr="00E83EF3" w:rsidRDefault="006E67E9" w:rsidP="00A61B9D">
      <w:pPr>
        <w:tabs>
          <w:tab w:val="left" w:pos="1522"/>
        </w:tabs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GoBack"/>
      <w:bookmarkEnd w:id="0"/>
    </w:p>
    <w:sectPr w:rsidR="006E67E9" w:rsidRPr="00E83EF3" w:rsidSect="009C72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6F9"/>
    <w:rsid w:val="000277F7"/>
    <w:rsid w:val="0008634F"/>
    <w:rsid w:val="000D4025"/>
    <w:rsid w:val="000F58DB"/>
    <w:rsid w:val="000F70BE"/>
    <w:rsid w:val="00115DBE"/>
    <w:rsid w:val="001652B7"/>
    <w:rsid w:val="001652D7"/>
    <w:rsid w:val="00196346"/>
    <w:rsid w:val="001D5293"/>
    <w:rsid w:val="001D6D4D"/>
    <w:rsid w:val="001E3B35"/>
    <w:rsid w:val="002056F9"/>
    <w:rsid w:val="002235F7"/>
    <w:rsid w:val="002D338A"/>
    <w:rsid w:val="00326AB0"/>
    <w:rsid w:val="00345C39"/>
    <w:rsid w:val="003541A4"/>
    <w:rsid w:val="003B401C"/>
    <w:rsid w:val="003B55E2"/>
    <w:rsid w:val="003F093A"/>
    <w:rsid w:val="004047C4"/>
    <w:rsid w:val="004318D3"/>
    <w:rsid w:val="00434B00"/>
    <w:rsid w:val="004B1C30"/>
    <w:rsid w:val="004B5A18"/>
    <w:rsid w:val="004C019E"/>
    <w:rsid w:val="004D718B"/>
    <w:rsid w:val="004F4E9D"/>
    <w:rsid w:val="00503EFE"/>
    <w:rsid w:val="005346ED"/>
    <w:rsid w:val="00535390"/>
    <w:rsid w:val="005B6543"/>
    <w:rsid w:val="005C1EBD"/>
    <w:rsid w:val="005E54F8"/>
    <w:rsid w:val="00601160"/>
    <w:rsid w:val="006547A6"/>
    <w:rsid w:val="00677ABD"/>
    <w:rsid w:val="006E67E9"/>
    <w:rsid w:val="006F137F"/>
    <w:rsid w:val="006F1B0F"/>
    <w:rsid w:val="006F3C75"/>
    <w:rsid w:val="007173E8"/>
    <w:rsid w:val="0072111F"/>
    <w:rsid w:val="00736B2D"/>
    <w:rsid w:val="007412F8"/>
    <w:rsid w:val="00752AF0"/>
    <w:rsid w:val="00756E73"/>
    <w:rsid w:val="007801A8"/>
    <w:rsid w:val="007B0593"/>
    <w:rsid w:val="00804E99"/>
    <w:rsid w:val="00881743"/>
    <w:rsid w:val="008A5077"/>
    <w:rsid w:val="008B7839"/>
    <w:rsid w:val="008F72DE"/>
    <w:rsid w:val="00913271"/>
    <w:rsid w:val="009242EC"/>
    <w:rsid w:val="00962C63"/>
    <w:rsid w:val="0097541F"/>
    <w:rsid w:val="00975F6C"/>
    <w:rsid w:val="0098760B"/>
    <w:rsid w:val="009944BF"/>
    <w:rsid w:val="009B6EC9"/>
    <w:rsid w:val="009C7250"/>
    <w:rsid w:val="00A32E2D"/>
    <w:rsid w:val="00A61B9D"/>
    <w:rsid w:val="00A71A2C"/>
    <w:rsid w:val="00A82371"/>
    <w:rsid w:val="00AE1FCC"/>
    <w:rsid w:val="00AE7C2D"/>
    <w:rsid w:val="00B21A44"/>
    <w:rsid w:val="00B511AA"/>
    <w:rsid w:val="00B7452F"/>
    <w:rsid w:val="00B9008D"/>
    <w:rsid w:val="00BC0103"/>
    <w:rsid w:val="00BC5B4D"/>
    <w:rsid w:val="00BE707E"/>
    <w:rsid w:val="00BF1331"/>
    <w:rsid w:val="00C0057D"/>
    <w:rsid w:val="00CA11C0"/>
    <w:rsid w:val="00CB521F"/>
    <w:rsid w:val="00CC2961"/>
    <w:rsid w:val="00D05190"/>
    <w:rsid w:val="00D068A5"/>
    <w:rsid w:val="00D31154"/>
    <w:rsid w:val="00DB3094"/>
    <w:rsid w:val="00DB375D"/>
    <w:rsid w:val="00DC3619"/>
    <w:rsid w:val="00E37A8A"/>
    <w:rsid w:val="00E83EF3"/>
    <w:rsid w:val="00EF66E5"/>
    <w:rsid w:val="00F02164"/>
    <w:rsid w:val="00F3229F"/>
    <w:rsid w:val="00F33479"/>
    <w:rsid w:val="00F76C04"/>
    <w:rsid w:val="00F76DE1"/>
    <w:rsid w:val="00FB01DC"/>
    <w:rsid w:val="00FD4CBA"/>
    <w:rsid w:val="00FE134F"/>
    <w:rsid w:val="00FE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35E2E"/>
  <w15:chartTrackingRefBased/>
  <w15:docId w15:val="{6F12C3D4-831B-4E59-B65A-8FF950A03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6F9"/>
    <w:pPr>
      <w:spacing w:line="480" w:lineRule="auto"/>
      <w:jc w:val="both"/>
    </w:pPr>
    <w:rPr>
      <w:rFonts w:ascii="Arial" w:eastAsia="Times New Roman" w:hAnsi="Arial" w:cs="Arial"/>
      <w:iCs/>
      <w:szCs w:val="28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5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6F9"/>
    <w:pPr>
      <w:keepNext/>
      <w:keepLines/>
      <w:spacing w:before="80" w:after="40"/>
      <w:outlineLvl w:val="3"/>
    </w:pPr>
    <w:rPr>
      <w:rFonts w:eastAsiaTheme="majorEastAsia" w:cstheme="majorBidi"/>
      <w:i/>
      <w:iCs w:val="0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6F9"/>
    <w:pPr>
      <w:keepNext/>
      <w:keepLines/>
      <w:spacing w:before="40" w:after="0"/>
      <w:outlineLvl w:val="5"/>
    </w:pPr>
    <w:rPr>
      <w:rFonts w:eastAsiaTheme="majorEastAsia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6F9"/>
    <w:pPr>
      <w:keepNext/>
      <w:keepLines/>
      <w:spacing w:after="0"/>
      <w:outlineLvl w:val="7"/>
    </w:pPr>
    <w:rPr>
      <w:rFonts w:eastAsiaTheme="majorEastAsia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6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6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6F9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6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6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6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5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D338A"/>
    <w:pPr>
      <w:spacing w:after="0" w:line="240" w:lineRule="auto"/>
    </w:pPr>
    <w:rPr>
      <w:rFonts w:ascii="Arial" w:eastAsia="Times New Roman" w:hAnsi="Arial" w:cs="Arial"/>
      <w:iCs/>
      <w:szCs w:val="28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Himali Ratnayake</dc:creator>
  <cp:keywords/>
  <dc:description/>
  <cp:lastModifiedBy>Swetha Pandiyan</cp:lastModifiedBy>
  <cp:revision>82</cp:revision>
  <dcterms:created xsi:type="dcterms:W3CDTF">2025-05-26T01:56:00Z</dcterms:created>
  <dcterms:modified xsi:type="dcterms:W3CDTF">2026-07-16T09:00:00Z</dcterms:modified>
</cp:coreProperties>
</file>