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CE8" w:rsidRPr="005D7E49" w:rsidRDefault="009735EE" w:rsidP="005D7E49">
      <w:pPr>
        <w:jc w:val="center"/>
        <w:rPr>
          <w:rFonts w:ascii="Times New Roman" w:hAnsi="Times New Roman" w:cs="Times New Roman"/>
          <w:b/>
          <w:sz w:val="32"/>
        </w:rPr>
      </w:pPr>
      <w:r w:rsidRPr="005D7E49">
        <w:rPr>
          <w:rFonts w:ascii="Times New Roman" w:hAnsi="Times New Roman" w:cs="Times New Roman"/>
          <w:b/>
          <w:sz w:val="32"/>
        </w:rPr>
        <w:t>Supplementary Data</w:t>
      </w:r>
    </w:p>
    <w:p w:rsidR="00DF4A85" w:rsidRDefault="00DF4A85">
      <w:pPr>
        <w:rPr>
          <w:b/>
          <w:sz w:val="21"/>
          <w:szCs w:val="21"/>
        </w:rPr>
      </w:pPr>
    </w:p>
    <w:p w:rsidR="00DF4A85" w:rsidRDefault="00DF4A85">
      <w:pPr>
        <w:rPr>
          <w:b/>
          <w:sz w:val="21"/>
          <w:szCs w:val="21"/>
        </w:rPr>
      </w:pPr>
    </w:p>
    <w:p w:rsidR="00254685" w:rsidRPr="003F1236" w:rsidRDefault="00DF4A85" w:rsidP="00733224">
      <w:pPr>
        <w:spacing w:line="480" w:lineRule="auto"/>
        <w:rPr>
          <w:rFonts w:ascii="Times New Roman" w:hAnsi="Times New Roman" w:cs="Times New Roman"/>
          <w:b/>
          <w:sz w:val="24"/>
          <w:szCs w:val="24"/>
        </w:rPr>
      </w:pPr>
      <w:r w:rsidRPr="003F1236">
        <w:rPr>
          <w:rFonts w:ascii="Times New Roman" w:hAnsi="Times New Roman" w:cs="Times New Roman"/>
          <w:b/>
          <w:sz w:val="24"/>
          <w:szCs w:val="24"/>
        </w:rPr>
        <w:t>Compressibility index (i.e. proliposome powder formulations), hardness and friability test (i.e. i.e. proliposome tablet formulations)</w:t>
      </w:r>
    </w:p>
    <w:p w:rsidR="00DF4A85" w:rsidRPr="003F1236" w:rsidRDefault="00DF4A85" w:rsidP="00733224">
      <w:pPr>
        <w:spacing w:line="480" w:lineRule="auto"/>
        <w:jc w:val="both"/>
        <w:rPr>
          <w:rFonts w:ascii="Times New Roman" w:hAnsi="Times New Roman" w:cs="Times New Roman"/>
          <w:sz w:val="24"/>
          <w:szCs w:val="24"/>
        </w:rPr>
      </w:pPr>
      <w:r w:rsidRPr="003F1236">
        <w:rPr>
          <w:rFonts w:ascii="Times New Roman" w:hAnsi="Times New Roman" w:cs="Times New Roman"/>
          <w:sz w:val="24"/>
          <w:szCs w:val="24"/>
          <w:lang w:val="en-US"/>
        </w:rPr>
        <w:t xml:space="preserve">Based </w:t>
      </w:r>
      <w:r w:rsidR="00646D2C" w:rsidRPr="00646D2C">
        <w:rPr>
          <w:rFonts w:ascii="Times New Roman" w:hAnsi="Times New Roman" w:cs="Times New Roman"/>
          <w:sz w:val="24"/>
          <w:szCs w:val="24"/>
          <w:lang w:val="en-US"/>
        </w:rPr>
        <w:t>on compressibility index values, proliposome powder formulations with 1:10 w/w ratio exhibited better flow properties when compared to formulations at a 1:15 w/w ratios (Table A). Powders with higher flowability are expected to improve die filling, subsequently improving uniformity of weight. Stewart assay (Table 2 in the manuscript) also confirmed the presence of a high lipid content in the 1:10 w/w formulations, when compared to the 1:15 w/w ratio formulation. It is noteworthy, that the higher lipid concentration over carbohydrate carriers in formulations with 1:10 w/w ratios, exhibited greater resistance to powder flow (when compared to lower concentrations of lipid coating over carriers in the  1:15 w/w ratios), preventing compaction during tapping. This is a potential reason for the lower compressibility index (via tapped density) observed for higher lipid content proliposome formulations (i.e. 1:10 w/w lipid phase to carrier ratios).</w:t>
      </w:r>
    </w:p>
    <w:p w:rsidR="00DF4A85" w:rsidRPr="003F1236" w:rsidRDefault="00DF4A85">
      <w:pPr>
        <w:rPr>
          <w:rFonts w:ascii="Times New Roman" w:hAnsi="Times New Roman" w:cs="Times New Roman"/>
          <w:sz w:val="24"/>
          <w:szCs w:val="24"/>
        </w:rPr>
      </w:pPr>
    </w:p>
    <w:p w:rsidR="00DF4A85" w:rsidRPr="003F1236" w:rsidRDefault="00DF4A85" w:rsidP="00733224">
      <w:pPr>
        <w:pStyle w:val="PlainText"/>
        <w:spacing w:after="200"/>
        <w:jc w:val="both"/>
        <w:rPr>
          <w:rFonts w:ascii="Times New Roman" w:hAnsi="Times New Roman" w:cs="Times New Roman"/>
          <w:noProof/>
          <w:sz w:val="24"/>
          <w:szCs w:val="24"/>
          <w:lang w:eastAsia="en-GB"/>
        </w:rPr>
      </w:pPr>
      <w:r w:rsidRPr="003F1236">
        <w:rPr>
          <w:rFonts w:ascii="Times New Roman" w:hAnsi="Times New Roman" w:cs="Times New Roman"/>
          <w:b/>
          <w:noProof/>
          <w:sz w:val="24"/>
          <w:szCs w:val="24"/>
          <w:lang w:eastAsia="en-GB"/>
        </w:rPr>
        <w:t>Table A</w:t>
      </w:r>
      <w:r w:rsidRPr="003F1236">
        <w:rPr>
          <w:rFonts w:ascii="Times New Roman" w:hAnsi="Times New Roman" w:cs="Times New Roman"/>
          <w:noProof/>
          <w:sz w:val="24"/>
          <w:szCs w:val="24"/>
          <w:lang w:eastAsia="en-GB"/>
        </w:rPr>
        <w:t xml:space="preserve"> Compressibility index (%) of proliposome powders utilising sorbitol and mannitol-based formulations in both 1:10 and 1:15 w/w lipid phase to carrier ratios. Values of hardness </w:t>
      </w:r>
      <w:r w:rsidR="00733224" w:rsidRPr="003F1236">
        <w:rPr>
          <w:rFonts w:ascii="Times New Roman" w:hAnsi="Times New Roman" w:cs="Times New Roman"/>
          <w:noProof/>
          <w:sz w:val="24"/>
          <w:szCs w:val="24"/>
          <w:lang w:eastAsia="en-GB"/>
        </w:rPr>
        <w:t xml:space="preserve">test (N) </w:t>
      </w:r>
      <w:r w:rsidRPr="003F1236">
        <w:rPr>
          <w:rFonts w:ascii="Times New Roman" w:hAnsi="Times New Roman" w:cs="Times New Roman"/>
          <w:noProof/>
          <w:sz w:val="24"/>
          <w:szCs w:val="24"/>
          <w:lang w:eastAsia="en-GB"/>
        </w:rPr>
        <w:t>and friability test</w:t>
      </w:r>
      <w:r w:rsidR="00733224" w:rsidRPr="003F1236">
        <w:rPr>
          <w:rFonts w:ascii="Times New Roman" w:hAnsi="Times New Roman" w:cs="Times New Roman"/>
          <w:noProof/>
          <w:sz w:val="24"/>
          <w:szCs w:val="24"/>
          <w:lang w:eastAsia="en-GB"/>
        </w:rPr>
        <w:t xml:space="preserve"> (%)</w:t>
      </w:r>
      <w:r w:rsidRPr="003F1236">
        <w:rPr>
          <w:rFonts w:ascii="Times New Roman" w:hAnsi="Times New Roman" w:cs="Times New Roman"/>
          <w:noProof/>
          <w:sz w:val="24"/>
          <w:szCs w:val="24"/>
          <w:lang w:eastAsia="en-GB"/>
        </w:rPr>
        <w:t xml:space="preserve"> for proliposme tablets manufactured from sorbitol and mannitol-based formulations in both 1:10 and 1:15 w/w lipid phase to carrier ratios. Data are mean ± SD, n=3.</w:t>
      </w:r>
    </w:p>
    <w:tbl>
      <w:tblPr>
        <w:tblStyle w:val="ListTable6Colorful-Accent3"/>
        <w:tblW w:w="9189" w:type="dxa"/>
        <w:tblLook w:val="04A0" w:firstRow="1" w:lastRow="0" w:firstColumn="1" w:lastColumn="0" w:noHBand="0" w:noVBand="1"/>
      </w:tblPr>
      <w:tblGrid>
        <w:gridCol w:w="2758"/>
        <w:gridCol w:w="1684"/>
        <w:gridCol w:w="1684"/>
        <w:gridCol w:w="1532"/>
        <w:gridCol w:w="1531"/>
      </w:tblGrid>
      <w:tr w:rsidR="00733224" w:rsidRPr="00DF4A85" w:rsidTr="00733224">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758" w:type="dxa"/>
            <w:tcBorders>
              <w:top w:val="single" w:sz="4" w:space="0" w:color="000000"/>
              <w:bottom w:val="single" w:sz="4" w:space="0" w:color="000000"/>
            </w:tcBorders>
            <w:shd w:val="clear" w:color="auto" w:fill="auto"/>
          </w:tcPr>
          <w:p w:rsidR="00DF4A85" w:rsidRPr="00DF4A85" w:rsidRDefault="00DF4A85" w:rsidP="00334005">
            <w:pPr>
              <w:pStyle w:val="PlainText"/>
              <w:spacing w:before="60" w:after="60"/>
              <w:jc w:val="both"/>
              <w:rPr>
                <w:rFonts w:ascii="Times New Roman" w:hAnsi="Times New Roman" w:cs="Times New Roman"/>
                <w:noProof/>
                <w:color w:val="auto"/>
                <w:szCs w:val="22"/>
                <w:lang w:eastAsia="en-GB"/>
              </w:rPr>
            </w:pPr>
            <w:r w:rsidRPr="00DF4A85">
              <w:rPr>
                <w:rFonts w:ascii="Times New Roman" w:hAnsi="Times New Roman" w:cs="Times New Roman"/>
                <w:color w:val="auto"/>
                <w:szCs w:val="22"/>
              </w:rPr>
              <w:t>Formulations</w:t>
            </w:r>
          </w:p>
        </w:tc>
        <w:tc>
          <w:tcPr>
            <w:tcW w:w="1684" w:type="dxa"/>
            <w:tcBorders>
              <w:top w:val="single" w:sz="4" w:space="0" w:color="000000"/>
              <w:bottom w:val="single" w:sz="4" w:space="0" w:color="000000"/>
            </w:tcBorders>
            <w:shd w:val="clear" w:color="auto" w:fill="auto"/>
          </w:tcPr>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2"/>
              </w:rPr>
            </w:pPr>
            <w:r w:rsidRPr="00DF4A85">
              <w:rPr>
                <w:rFonts w:ascii="Times New Roman" w:hAnsi="Times New Roman" w:cs="Times New Roman"/>
                <w:color w:val="auto"/>
                <w:szCs w:val="22"/>
              </w:rPr>
              <w:t>Sorbitol</w:t>
            </w:r>
          </w:p>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color w:val="auto"/>
                <w:szCs w:val="22"/>
              </w:rPr>
              <w:t>(1:10)</w:t>
            </w:r>
          </w:p>
        </w:tc>
        <w:tc>
          <w:tcPr>
            <w:tcW w:w="1684" w:type="dxa"/>
            <w:tcBorders>
              <w:top w:val="single" w:sz="4" w:space="0" w:color="000000"/>
              <w:bottom w:val="single" w:sz="4" w:space="0" w:color="000000"/>
            </w:tcBorders>
            <w:shd w:val="clear" w:color="auto" w:fill="auto"/>
          </w:tcPr>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2"/>
              </w:rPr>
            </w:pPr>
            <w:r w:rsidRPr="00DF4A85">
              <w:rPr>
                <w:rFonts w:ascii="Times New Roman" w:hAnsi="Times New Roman" w:cs="Times New Roman"/>
                <w:color w:val="auto"/>
                <w:szCs w:val="22"/>
              </w:rPr>
              <w:t>Sorbitol</w:t>
            </w:r>
          </w:p>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color w:val="auto"/>
                <w:szCs w:val="22"/>
              </w:rPr>
              <w:t>(1:15)</w:t>
            </w:r>
          </w:p>
        </w:tc>
        <w:tc>
          <w:tcPr>
            <w:tcW w:w="1532" w:type="dxa"/>
            <w:tcBorders>
              <w:top w:val="single" w:sz="4" w:space="0" w:color="000000"/>
              <w:bottom w:val="single" w:sz="4" w:space="0" w:color="000000"/>
            </w:tcBorders>
            <w:shd w:val="clear" w:color="auto" w:fill="auto"/>
          </w:tcPr>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2"/>
              </w:rPr>
            </w:pPr>
            <w:r w:rsidRPr="00DF4A85">
              <w:rPr>
                <w:rFonts w:ascii="Times New Roman" w:hAnsi="Times New Roman" w:cs="Times New Roman"/>
                <w:color w:val="auto"/>
                <w:szCs w:val="22"/>
              </w:rPr>
              <w:t>Mannitol</w:t>
            </w:r>
          </w:p>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color w:val="auto"/>
                <w:szCs w:val="22"/>
              </w:rPr>
              <w:t>(1:10)</w:t>
            </w:r>
          </w:p>
        </w:tc>
        <w:tc>
          <w:tcPr>
            <w:tcW w:w="1531" w:type="dxa"/>
            <w:tcBorders>
              <w:top w:val="single" w:sz="4" w:space="0" w:color="000000"/>
              <w:bottom w:val="single" w:sz="4" w:space="0" w:color="000000"/>
            </w:tcBorders>
            <w:shd w:val="clear" w:color="auto" w:fill="auto"/>
          </w:tcPr>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Cs w:val="22"/>
              </w:rPr>
            </w:pPr>
            <w:r w:rsidRPr="00DF4A85">
              <w:rPr>
                <w:rFonts w:ascii="Times New Roman" w:hAnsi="Times New Roman" w:cs="Times New Roman"/>
                <w:color w:val="auto"/>
                <w:szCs w:val="22"/>
              </w:rPr>
              <w:t>Mannitol</w:t>
            </w:r>
          </w:p>
          <w:p w:rsidR="00DF4A85" w:rsidRPr="00DF4A85" w:rsidRDefault="00DF4A85" w:rsidP="00334005">
            <w:pPr>
              <w:pStyle w:val="PlainText"/>
              <w:spacing w:before="60" w:after="6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color w:val="auto"/>
                <w:szCs w:val="22"/>
              </w:rPr>
              <w:t>(1:15)</w:t>
            </w:r>
          </w:p>
        </w:tc>
      </w:tr>
      <w:tr w:rsidR="00DF4A85" w:rsidRPr="00DF4A85" w:rsidTr="00733224">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758" w:type="dxa"/>
            <w:tcBorders>
              <w:top w:val="single" w:sz="4" w:space="0" w:color="000000"/>
            </w:tcBorders>
            <w:shd w:val="clear" w:color="auto" w:fill="auto"/>
          </w:tcPr>
          <w:p w:rsidR="00DF4A85" w:rsidRPr="00DF4A85" w:rsidRDefault="00DF4A85" w:rsidP="00334005">
            <w:pPr>
              <w:spacing w:before="60" w:after="60"/>
              <w:rPr>
                <w:rFonts w:ascii="Times New Roman" w:eastAsiaTheme="minorEastAsia" w:hAnsi="Times New Roman" w:cs="Times New Roman"/>
                <w:bCs w:val="0"/>
                <w:color w:val="auto"/>
                <w:lang w:eastAsia="zh-TW"/>
              </w:rPr>
            </w:pPr>
            <w:r w:rsidRPr="00DF4A85">
              <w:rPr>
                <w:rFonts w:ascii="Times New Roman" w:eastAsiaTheme="minorEastAsia" w:hAnsi="Times New Roman" w:cs="Times New Roman"/>
                <w:bCs w:val="0"/>
                <w:color w:val="auto"/>
                <w:lang w:eastAsia="zh-TW"/>
              </w:rPr>
              <w:t>Powder</w:t>
            </w:r>
          </w:p>
        </w:tc>
        <w:tc>
          <w:tcPr>
            <w:tcW w:w="1684" w:type="dxa"/>
            <w:tcBorders>
              <w:top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684" w:type="dxa"/>
            <w:tcBorders>
              <w:top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532" w:type="dxa"/>
            <w:tcBorders>
              <w:top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531" w:type="dxa"/>
            <w:tcBorders>
              <w:top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r>
      <w:tr w:rsidR="00733224" w:rsidRPr="00DF4A85" w:rsidTr="00733224">
        <w:trPr>
          <w:trHeight w:val="516"/>
        </w:trPr>
        <w:tc>
          <w:tcPr>
            <w:cnfStyle w:val="001000000000" w:firstRow="0" w:lastRow="0" w:firstColumn="1" w:lastColumn="0" w:oddVBand="0" w:evenVBand="0" w:oddHBand="0" w:evenHBand="0" w:firstRowFirstColumn="0" w:firstRowLastColumn="0" w:lastRowFirstColumn="0" w:lastRowLastColumn="0"/>
            <w:tcW w:w="2758" w:type="dxa"/>
            <w:shd w:val="clear" w:color="auto" w:fill="auto"/>
          </w:tcPr>
          <w:p w:rsidR="00DF4A85" w:rsidRPr="00DF4A85" w:rsidRDefault="00DF4A85" w:rsidP="00334005">
            <w:pPr>
              <w:spacing w:before="60" w:after="60"/>
              <w:rPr>
                <w:rFonts w:ascii="Times New Roman" w:eastAsiaTheme="minorEastAsia" w:hAnsi="Times New Roman" w:cs="Times New Roman"/>
                <w:b w:val="0"/>
                <w:bCs w:val="0"/>
                <w:lang w:eastAsia="zh-TW"/>
              </w:rPr>
            </w:pPr>
            <w:r w:rsidRPr="00DF4A85">
              <w:rPr>
                <w:rFonts w:ascii="Times New Roman" w:eastAsiaTheme="minorEastAsia" w:hAnsi="Times New Roman" w:cs="Times New Roman"/>
                <w:b w:val="0"/>
                <w:bCs w:val="0"/>
                <w:color w:val="auto"/>
                <w:lang w:eastAsia="zh-TW"/>
              </w:rPr>
              <w:t>Compressibility Index (%)</w:t>
            </w:r>
          </w:p>
        </w:tc>
        <w:tc>
          <w:tcPr>
            <w:tcW w:w="1684"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Cs w:val="22"/>
                <w:lang w:eastAsia="en-GB"/>
              </w:rPr>
            </w:pPr>
            <w:r w:rsidRPr="00DF4A85">
              <w:rPr>
                <w:rFonts w:ascii="Times New Roman" w:hAnsi="Times New Roman" w:cs="Times New Roman"/>
                <w:noProof/>
                <w:color w:val="auto"/>
                <w:szCs w:val="22"/>
                <w:lang w:eastAsia="en-GB"/>
              </w:rPr>
              <w:t>15.25 ± 2.47</w:t>
            </w:r>
          </w:p>
        </w:tc>
        <w:tc>
          <w:tcPr>
            <w:tcW w:w="1684"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Cs w:val="22"/>
                <w:lang w:eastAsia="en-GB"/>
              </w:rPr>
            </w:pPr>
            <w:r w:rsidRPr="00DF4A85">
              <w:rPr>
                <w:rFonts w:ascii="Times New Roman" w:hAnsi="Times New Roman" w:cs="Times New Roman"/>
                <w:noProof/>
                <w:color w:val="auto"/>
                <w:szCs w:val="22"/>
                <w:lang w:eastAsia="en-GB"/>
              </w:rPr>
              <w:t>18.34 ± 2.77</w:t>
            </w:r>
          </w:p>
        </w:tc>
        <w:tc>
          <w:tcPr>
            <w:tcW w:w="1532"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Cs w:val="22"/>
                <w:lang w:eastAsia="en-GB"/>
              </w:rPr>
            </w:pPr>
            <w:r w:rsidRPr="00DF4A85">
              <w:rPr>
                <w:rFonts w:ascii="Times New Roman" w:hAnsi="Times New Roman" w:cs="Times New Roman"/>
                <w:noProof/>
                <w:color w:val="auto"/>
                <w:szCs w:val="22"/>
                <w:lang w:eastAsia="en-GB"/>
              </w:rPr>
              <w:t>18.73 ± 3.82</w:t>
            </w:r>
          </w:p>
        </w:tc>
        <w:tc>
          <w:tcPr>
            <w:tcW w:w="1531"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szCs w:val="22"/>
                <w:lang w:eastAsia="en-GB"/>
              </w:rPr>
            </w:pPr>
            <w:r w:rsidRPr="00DF4A85">
              <w:rPr>
                <w:rFonts w:ascii="Times New Roman" w:hAnsi="Times New Roman" w:cs="Times New Roman"/>
                <w:noProof/>
                <w:color w:val="auto"/>
                <w:szCs w:val="22"/>
                <w:lang w:eastAsia="en-GB"/>
              </w:rPr>
              <w:t>20.66 ± 3.52</w:t>
            </w:r>
          </w:p>
        </w:tc>
      </w:tr>
      <w:tr w:rsidR="00DF4A85" w:rsidRPr="00DF4A85" w:rsidTr="0073322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758" w:type="dxa"/>
            <w:shd w:val="clear" w:color="auto" w:fill="auto"/>
          </w:tcPr>
          <w:p w:rsidR="00DF4A85" w:rsidRPr="00DF4A85" w:rsidRDefault="00DF4A85" w:rsidP="00334005">
            <w:pPr>
              <w:pStyle w:val="PlainText"/>
              <w:spacing w:before="60" w:after="60"/>
              <w:jc w:val="both"/>
              <w:rPr>
                <w:rFonts w:ascii="Times New Roman" w:hAnsi="Times New Roman" w:cs="Times New Roman"/>
                <w:noProof/>
                <w:color w:val="auto"/>
                <w:szCs w:val="22"/>
                <w:lang w:eastAsia="en-GB"/>
              </w:rPr>
            </w:pPr>
            <w:r w:rsidRPr="00DF4A85">
              <w:rPr>
                <w:rFonts w:ascii="Times New Roman" w:eastAsiaTheme="minorEastAsia" w:hAnsi="Times New Roman" w:cs="Times New Roman"/>
                <w:color w:val="auto"/>
                <w:szCs w:val="22"/>
                <w:lang w:eastAsia="zh-TW"/>
              </w:rPr>
              <w:t>Tablets</w:t>
            </w:r>
          </w:p>
        </w:tc>
        <w:tc>
          <w:tcPr>
            <w:tcW w:w="1684" w:type="dxa"/>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684" w:type="dxa"/>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532" w:type="dxa"/>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c>
          <w:tcPr>
            <w:tcW w:w="1531" w:type="dxa"/>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p>
        </w:tc>
      </w:tr>
      <w:tr w:rsidR="00DF4A85" w:rsidRPr="00DF4A85" w:rsidTr="00733224">
        <w:trPr>
          <w:trHeight w:val="371"/>
        </w:trPr>
        <w:tc>
          <w:tcPr>
            <w:cnfStyle w:val="001000000000" w:firstRow="0" w:lastRow="0" w:firstColumn="1" w:lastColumn="0" w:oddVBand="0" w:evenVBand="0" w:oddHBand="0" w:evenHBand="0" w:firstRowFirstColumn="0" w:firstRowLastColumn="0" w:lastRowFirstColumn="0" w:lastRowLastColumn="0"/>
            <w:tcW w:w="2758" w:type="dxa"/>
            <w:shd w:val="clear" w:color="auto" w:fill="auto"/>
          </w:tcPr>
          <w:p w:rsidR="00DF4A85" w:rsidRPr="00DF4A85" w:rsidRDefault="00DF4A85" w:rsidP="00334005">
            <w:pPr>
              <w:pStyle w:val="PlainText"/>
              <w:spacing w:before="60" w:after="60"/>
              <w:jc w:val="both"/>
              <w:rPr>
                <w:rFonts w:ascii="Times New Roman" w:hAnsi="Times New Roman" w:cs="Times New Roman"/>
                <w:b w:val="0"/>
                <w:noProof/>
                <w:color w:val="auto"/>
                <w:szCs w:val="22"/>
                <w:lang w:eastAsia="en-GB"/>
              </w:rPr>
            </w:pPr>
            <w:r w:rsidRPr="00DF4A85">
              <w:rPr>
                <w:rFonts w:ascii="Times New Roman" w:hAnsi="Times New Roman" w:cs="Times New Roman"/>
                <w:b w:val="0"/>
                <w:noProof/>
                <w:color w:val="auto"/>
                <w:szCs w:val="22"/>
                <w:lang w:eastAsia="en-GB"/>
              </w:rPr>
              <w:t>Hardness test (N)</w:t>
            </w:r>
          </w:p>
        </w:tc>
        <w:tc>
          <w:tcPr>
            <w:tcW w:w="1684"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106.36 ± 8.49</w:t>
            </w:r>
          </w:p>
        </w:tc>
        <w:tc>
          <w:tcPr>
            <w:tcW w:w="1684"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117.76 ± 8.27</w:t>
            </w:r>
          </w:p>
        </w:tc>
        <w:tc>
          <w:tcPr>
            <w:tcW w:w="1532"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w:t>
            </w:r>
          </w:p>
        </w:tc>
        <w:tc>
          <w:tcPr>
            <w:tcW w:w="1531" w:type="dxa"/>
            <w:shd w:val="clear" w:color="auto" w:fill="auto"/>
          </w:tcPr>
          <w:p w:rsidR="00DF4A85" w:rsidRPr="00DF4A85" w:rsidRDefault="00DF4A85" w:rsidP="00334005">
            <w:pPr>
              <w:pStyle w:val="PlainText"/>
              <w:spacing w:before="60" w:after="6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w:t>
            </w:r>
          </w:p>
        </w:tc>
      </w:tr>
      <w:tr w:rsidR="00DF4A85" w:rsidRPr="00DF4A85" w:rsidTr="00733224">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2758" w:type="dxa"/>
            <w:tcBorders>
              <w:bottom w:val="single" w:sz="4" w:space="0" w:color="000000"/>
            </w:tcBorders>
            <w:shd w:val="clear" w:color="auto" w:fill="auto"/>
          </w:tcPr>
          <w:p w:rsidR="00DF4A85" w:rsidRPr="00DF4A85" w:rsidRDefault="00DF4A85" w:rsidP="00334005">
            <w:pPr>
              <w:pStyle w:val="PlainText"/>
              <w:spacing w:before="60" w:after="60"/>
              <w:jc w:val="both"/>
              <w:rPr>
                <w:rFonts w:ascii="Times New Roman" w:hAnsi="Times New Roman" w:cs="Times New Roman"/>
                <w:b w:val="0"/>
                <w:noProof/>
                <w:color w:val="auto"/>
                <w:szCs w:val="22"/>
                <w:lang w:eastAsia="en-GB"/>
              </w:rPr>
            </w:pPr>
            <w:r w:rsidRPr="00DF4A85">
              <w:rPr>
                <w:rFonts w:ascii="Times New Roman" w:hAnsi="Times New Roman" w:cs="Times New Roman"/>
                <w:b w:val="0"/>
                <w:noProof/>
                <w:color w:val="auto"/>
                <w:szCs w:val="22"/>
                <w:lang w:eastAsia="en-GB"/>
              </w:rPr>
              <w:t>Friability (%)</w:t>
            </w:r>
          </w:p>
        </w:tc>
        <w:tc>
          <w:tcPr>
            <w:tcW w:w="1684" w:type="dxa"/>
            <w:tcBorders>
              <w:bottom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0.21 ± 0.04</w:t>
            </w:r>
          </w:p>
        </w:tc>
        <w:tc>
          <w:tcPr>
            <w:tcW w:w="1684" w:type="dxa"/>
            <w:tcBorders>
              <w:bottom w:val="single" w:sz="4" w:space="0" w:color="000000"/>
            </w:tcBorders>
            <w:shd w:val="clear" w:color="auto" w:fill="auto"/>
          </w:tcPr>
          <w:p w:rsidR="00DF4A85" w:rsidRPr="00DF4A85" w:rsidRDefault="00DF4A85" w:rsidP="00D3547F">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0.2</w:t>
            </w:r>
            <w:r w:rsidR="00D3547F">
              <w:rPr>
                <w:rFonts w:ascii="Times New Roman" w:hAnsi="Times New Roman" w:cs="Times New Roman"/>
                <w:noProof/>
                <w:color w:val="auto"/>
                <w:szCs w:val="22"/>
                <w:lang w:eastAsia="en-GB"/>
              </w:rPr>
              <w:t>3</w:t>
            </w:r>
            <w:r w:rsidRPr="00DF4A85">
              <w:rPr>
                <w:rFonts w:ascii="Times New Roman" w:hAnsi="Times New Roman" w:cs="Times New Roman"/>
                <w:noProof/>
                <w:color w:val="auto"/>
                <w:szCs w:val="22"/>
                <w:lang w:eastAsia="en-GB"/>
              </w:rPr>
              <w:t xml:space="preserve"> ± 0.05</w:t>
            </w:r>
          </w:p>
        </w:tc>
        <w:tc>
          <w:tcPr>
            <w:tcW w:w="1532" w:type="dxa"/>
            <w:tcBorders>
              <w:bottom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0.48 ± 0.05</w:t>
            </w:r>
          </w:p>
        </w:tc>
        <w:tc>
          <w:tcPr>
            <w:tcW w:w="1531" w:type="dxa"/>
            <w:tcBorders>
              <w:bottom w:val="single" w:sz="4" w:space="0" w:color="000000"/>
            </w:tcBorders>
            <w:shd w:val="clear" w:color="auto" w:fill="auto"/>
          </w:tcPr>
          <w:p w:rsidR="00DF4A85" w:rsidRPr="00DF4A85" w:rsidRDefault="00DF4A85" w:rsidP="00334005">
            <w:pPr>
              <w:pStyle w:val="PlainText"/>
              <w:spacing w:before="60" w:after="6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color w:val="auto"/>
                <w:szCs w:val="22"/>
                <w:lang w:eastAsia="en-GB"/>
              </w:rPr>
            </w:pPr>
            <w:r w:rsidRPr="00DF4A85">
              <w:rPr>
                <w:rFonts w:ascii="Times New Roman" w:hAnsi="Times New Roman" w:cs="Times New Roman"/>
                <w:noProof/>
                <w:color w:val="auto"/>
                <w:szCs w:val="22"/>
                <w:lang w:eastAsia="en-GB"/>
              </w:rPr>
              <w:t>0.47 ± 0.04</w:t>
            </w:r>
          </w:p>
        </w:tc>
      </w:tr>
    </w:tbl>
    <w:p w:rsidR="00DF4A85" w:rsidRPr="00DF4A85" w:rsidRDefault="00DF4A85" w:rsidP="00DF4A85">
      <w:pPr>
        <w:pStyle w:val="PlainText"/>
        <w:jc w:val="both"/>
        <w:rPr>
          <w:rFonts w:ascii="Times New Roman" w:hAnsi="Times New Roman" w:cs="Times New Roman"/>
          <w:color w:val="FF0000"/>
          <w:lang w:val="en-US"/>
        </w:rPr>
      </w:pPr>
    </w:p>
    <w:p w:rsidR="00DF4A85" w:rsidRPr="00DF4A85" w:rsidRDefault="00DF4A85" w:rsidP="00DF4A85">
      <w:pPr>
        <w:pStyle w:val="PlainText"/>
        <w:jc w:val="both"/>
        <w:rPr>
          <w:rFonts w:ascii="Times New Roman" w:hAnsi="Times New Roman" w:cs="Times New Roman"/>
          <w:color w:val="FF0000"/>
          <w:lang w:val="en-US"/>
        </w:rPr>
      </w:pPr>
    </w:p>
    <w:p w:rsidR="00254685" w:rsidRPr="003F1236" w:rsidRDefault="001A0A97" w:rsidP="001A0A97">
      <w:pPr>
        <w:spacing w:line="480" w:lineRule="auto"/>
        <w:jc w:val="both"/>
        <w:rPr>
          <w:rFonts w:ascii="Times New Roman" w:hAnsi="Times New Roman" w:cs="Times New Roman"/>
          <w:sz w:val="24"/>
          <w:szCs w:val="21"/>
        </w:rPr>
      </w:pPr>
      <w:r w:rsidRPr="003F1236">
        <w:rPr>
          <w:rFonts w:ascii="Times New Roman" w:hAnsi="Times New Roman" w:cs="Times New Roman"/>
          <w:sz w:val="24"/>
          <w:szCs w:val="21"/>
        </w:rPr>
        <w:t>Upon</w:t>
      </w:r>
      <w:bookmarkStart w:id="0" w:name="_GoBack"/>
      <w:bookmarkEnd w:id="0"/>
      <w:r w:rsidRPr="003F1236">
        <w:rPr>
          <w:rFonts w:ascii="Times New Roman" w:hAnsi="Times New Roman" w:cs="Times New Roman"/>
          <w:sz w:val="24"/>
          <w:szCs w:val="21"/>
        </w:rPr>
        <w:t xml:space="preserve"> </w:t>
      </w:r>
      <w:r w:rsidR="00646D2C" w:rsidRPr="00646D2C">
        <w:rPr>
          <w:rFonts w:ascii="Times New Roman" w:hAnsi="Times New Roman" w:cs="Times New Roman"/>
          <w:sz w:val="24"/>
          <w:szCs w:val="21"/>
        </w:rPr>
        <w:t xml:space="preserve">using similar compression force, the sorbitol formulation demonstrated high compactability (related to their high deformability), with tablets of high hardness produced. Whereas, mannitol particles retained their shape with slight fragmentation during manufacturing, producing soft tablets with poor hardness (i.e. tablets were unable to withstand the crushing strength of hardness tester) (Table A). In friability testing, sorbitol tablets showed lower friability (percentage loss during the process) than mannitol tablets. As discussed previously, sorbitol tablets were much stronger than mannitol tablets, related to the porous structure of sorbitol particles (high deformability) when compared to non-porous crystalline particles of mannitol (resisting deformation) (Fig 1 in the manuscript). Tablets possessing high hardness are stronger and therefore exhibit lower loss in terms of friability, whereas tablets with poor hardness are more prone to chip and crumble during friability tester </w:t>
      </w:r>
      <w:r w:rsidRPr="003F1236">
        <w:rPr>
          <w:rFonts w:ascii="Times New Roman" w:hAnsi="Times New Roman" w:cs="Times New Roman"/>
          <w:sz w:val="24"/>
          <w:szCs w:val="21"/>
        </w:rPr>
        <w:t>(Table A).</w:t>
      </w:r>
    </w:p>
    <w:p w:rsidR="00254685" w:rsidRDefault="00254685">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1A0A97" w:rsidRDefault="001A0A97">
      <w:pPr>
        <w:rPr>
          <w:b/>
          <w:sz w:val="21"/>
          <w:szCs w:val="21"/>
        </w:rPr>
      </w:pPr>
    </w:p>
    <w:p w:rsidR="00576FA4" w:rsidRDefault="00576FA4" w:rsidP="001A0A97">
      <w:pPr>
        <w:spacing w:line="480" w:lineRule="auto"/>
        <w:rPr>
          <w:rFonts w:ascii="Times New Roman" w:hAnsi="Times New Roman" w:cs="Times New Roman"/>
          <w:b/>
          <w:sz w:val="24"/>
          <w:szCs w:val="21"/>
        </w:rPr>
      </w:pPr>
    </w:p>
    <w:p w:rsidR="001A0A97" w:rsidRPr="00576FA4" w:rsidRDefault="001A0A97" w:rsidP="001A0A97">
      <w:pPr>
        <w:spacing w:line="480" w:lineRule="auto"/>
        <w:rPr>
          <w:rFonts w:ascii="Times New Roman" w:hAnsi="Times New Roman" w:cs="Times New Roman"/>
          <w:b/>
          <w:sz w:val="24"/>
          <w:szCs w:val="21"/>
        </w:rPr>
      </w:pPr>
      <w:r w:rsidRPr="00576FA4">
        <w:rPr>
          <w:rFonts w:ascii="Times New Roman" w:hAnsi="Times New Roman" w:cs="Times New Roman"/>
          <w:b/>
          <w:sz w:val="24"/>
          <w:szCs w:val="21"/>
        </w:rPr>
        <w:t>Entrapment efficiency of BDP in proliposome powder and tablet formulations (sorbitol and mannitol-based in 1:10 and 1:15 w/w lipid phase to carrier ratios</w:t>
      </w:r>
      <w:r w:rsidR="00576FA4">
        <w:rPr>
          <w:rFonts w:ascii="Times New Roman" w:hAnsi="Times New Roman" w:cs="Times New Roman"/>
          <w:b/>
          <w:sz w:val="24"/>
          <w:szCs w:val="21"/>
        </w:rPr>
        <w:t>)</w:t>
      </w:r>
    </w:p>
    <w:p w:rsidR="001A0A97" w:rsidRDefault="001A0A97">
      <w:pPr>
        <w:rPr>
          <w:b/>
          <w:sz w:val="21"/>
          <w:szCs w:val="21"/>
        </w:rPr>
      </w:pPr>
    </w:p>
    <w:p w:rsidR="001A0A97" w:rsidRDefault="001A0A97">
      <w:pPr>
        <w:rPr>
          <w:b/>
          <w:sz w:val="21"/>
          <w:szCs w:val="21"/>
        </w:rPr>
      </w:pPr>
    </w:p>
    <w:p w:rsidR="00DF4A85" w:rsidRDefault="00DF4A85">
      <w:pPr>
        <w:rPr>
          <w:b/>
          <w:sz w:val="21"/>
          <w:szCs w:val="21"/>
        </w:rPr>
      </w:pPr>
    </w:p>
    <w:p w:rsidR="00254685" w:rsidRDefault="00115623">
      <w:pPr>
        <w:rPr>
          <w:b/>
          <w:sz w:val="21"/>
          <w:szCs w:val="21"/>
        </w:rPr>
      </w:pPr>
      <w:r>
        <w:rPr>
          <w:noProof/>
          <w:lang w:eastAsia="en-GB"/>
        </w:rPr>
        <w:drawing>
          <wp:inline distT="0" distB="0" distL="0" distR="0" wp14:anchorId="16D3A310" wp14:editId="232B6D56">
            <wp:extent cx="6301212" cy="3621386"/>
            <wp:effectExtent l="0" t="0" r="444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F86577" w:rsidRPr="005D7E49" w:rsidRDefault="005D7E49" w:rsidP="00077A94">
      <w:pPr>
        <w:spacing w:after="200" w:line="240" w:lineRule="auto"/>
        <w:jc w:val="both"/>
        <w:rPr>
          <w:rFonts w:ascii="Times New Roman" w:hAnsi="Times New Roman" w:cs="Times New Roman"/>
          <w:sz w:val="24"/>
          <w:szCs w:val="21"/>
        </w:rPr>
      </w:pPr>
      <w:r w:rsidRPr="005D7E49">
        <w:rPr>
          <w:rFonts w:ascii="Times New Roman" w:hAnsi="Times New Roman" w:cs="Times New Roman"/>
          <w:b/>
          <w:sz w:val="24"/>
          <w:szCs w:val="21"/>
        </w:rPr>
        <w:t>Fig</w:t>
      </w:r>
      <w:r w:rsidR="001A0A97">
        <w:rPr>
          <w:rFonts w:ascii="Times New Roman" w:hAnsi="Times New Roman" w:cs="Times New Roman"/>
          <w:b/>
          <w:sz w:val="24"/>
          <w:szCs w:val="21"/>
        </w:rPr>
        <w:t>.</w:t>
      </w:r>
      <w:r w:rsidR="00F86577" w:rsidRPr="005D7E49">
        <w:rPr>
          <w:rFonts w:ascii="Times New Roman" w:hAnsi="Times New Roman" w:cs="Times New Roman"/>
          <w:b/>
          <w:sz w:val="24"/>
          <w:szCs w:val="21"/>
        </w:rPr>
        <w:t xml:space="preserve"> </w:t>
      </w:r>
      <w:proofErr w:type="gramStart"/>
      <w:r w:rsidR="00DF4A85">
        <w:rPr>
          <w:rFonts w:ascii="Times New Roman" w:hAnsi="Times New Roman" w:cs="Times New Roman"/>
          <w:b/>
          <w:sz w:val="24"/>
          <w:szCs w:val="21"/>
        </w:rPr>
        <w:t>A</w:t>
      </w:r>
      <w:proofErr w:type="gramEnd"/>
      <w:r w:rsidR="00F86577" w:rsidRPr="005D7E49">
        <w:rPr>
          <w:rFonts w:ascii="Times New Roman" w:hAnsi="Times New Roman" w:cs="Times New Roman"/>
          <w:b/>
          <w:sz w:val="24"/>
          <w:szCs w:val="21"/>
        </w:rPr>
        <w:t xml:space="preserve"> </w:t>
      </w:r>
      <w:r w:rsidR="00F86577" w:rsidRPr="005D7E49">
        <w:rPr>
          <w:rFonts w:ascii="Times New Roman" w:hAnsi="Times New Roman" w:cs="Times New Roman"/>
          <w:sz w:val="24"/>
          <w:szCs w:val="21"/>
        </w:rPr>
        <w:t xml:space="preserve">Entrapment efficiency of liposome generated from sorbitol </w:t>
      </w:r>
      <w:r w:rsidR="00764590">
        <w:rPr>
          <w:rFonts w:ascii="Times New Roman" w:hAnsi="Times New Roman" w:cs="Times New Roman"/>
          <w:sz w:val="24"/>
          <w:szCs w:val="21"/>
        </w:rPr>
        <w:t>or</w:t>
      </w:r>
      <w:r w:rsidR="00F86577" w:rsidRPr="005D7E49">
        <w:rPr>
          <w:rFonts w:ascii="Times New Roman" w:hAnsi="Times New Roman" w:cs="Times New Roman"/>
          <w:sz w:val="24"/>
          <w:szCs w:val="21"/>
        </w:rPr>
        <w:t xml:space="preserve"> mannitol</w:t>
      </w:r>
      <w:r w:rsidR="00764590">
        <w:rPr>
          <w:rFonts w:ascii="Times New Roman" w:hAnsi="Times New Roman" w:cs="Times New Roman"/>
          <w:sz w:val="24"/>
          <w:szCs w:val="21"/>
        </w:rPr>
        <w:t>-based proliposome powder and tablet formulations for both</w:t>
      </w:r>
      <w:r w:rsidR="00F86577" w:rsidRPr="005D7E49">
        <w:rPr>
          <w:rFonts w:ascii="Times New Roman" w:hAnsi="Times New Roman" w:cs="Times New Roman"/>
          <w:sz w:val="24"/>
          <w:szCs w:val="21"/>
        </w:rPr>
        <w:t xml:space="preserve"> 1:10 and 1:15 w/w </w:t>
      </w:r>
      <w:r w:rsidR="00764590">
        <w:rPr>
          <w:rFonts w:ascii="Times New Roman" w:hAnsi="Times New Roman" w:cs="Times New Roman"/>
          <w:sz w:val="24"/>
          <w:szCs w:val="21"/>
        </w:rPr>
        <w:t>lipid to carrier ratios</w:t>
      </w:r>
      <w:r w:rsidR="00F86577" w:rsidRPr="005D7E49">
        <w:rPr>
          <w:rFonts w:ascii="Times New Roman" w:hAnsi="Times New Roman" w:cs="Times New Roman"/>
          <w:sz w:val="24"/>
          <w:szCs w:val="21"/>
        </w:rPr>
        <w:t xml:space="preserve">. Data are mean </w:t>
      </w:r>
      <w:r w:rsidR="00764590">
        <w:rPr>
          <w:rFonts w:ascii="Times New Roman" w:hAnsi="Times New Roman" w:cs="Times New Roman"/>
          <w:sz w:val="24"/>
          <w:szCs w:val="21"/>
        </w:rPr>
        <w:t>±</w:t>
      </w:r>
      <w:r w:rsidR="00EA76C3">
        <w:rPr>
          <w:rFonts w:ascii="Times New Roman" w:hAnsi="Times New Roman" w:cs="Times New Roman"/>
          <w:sz w:val="24"/>
          <w:szCs w:val="21"/>
        </w:rPr>
        <w:t xml:space="preserve"> SD, n=3</w:t>
      </w:r>
    </w:p>
    <w:p w:rsidR="00254685" w:rsidRDefault="00254685">
      <w:pPr>
        <w:rPr>
          <w:b/>
          <w:sz w:val="21"/>
          <w:szCs w:val="21"/>
        </w:rPr>
      </w:pPr>
    </w:p>
    <w:p w:rsidR="00254685" w:rsidRDefault="00254685">
      <w:pPr>
        <w:rPr>
          <w:b/>
          <w:sz w:val="21"/>
          <w:szCs w:val="21"/>
        </w:rPr>
      </w:pPr>
    </w:p>
    <w:p w:rsidR="00DF4A85" w:rsidRDefault="00DF4A85">
      <w:pPr>
        <w:rPr>
          <w:b/>
          <w:sz w:val="21"/>
          <w:szCs w:val="21"/>
        </w:rPr>
      </w:pPr>
    </w:p>
    <w:sectPr w:rsidR="00DF4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5EE"/>
    <w:rsid w:val="000464B1"/>
    <w:rsid w:val="00077A94"/>
    <w:rsid w:val="000F18EA"/>
    <w:rsid w:val="0010513D"/>
    <w:rsid w:val="00115623"/>
    <w:rsid w:val="001768C4"/>
    <w:rsid w:val="0019180B"/>
    <w:rsid w:val="001A0A97"/>
    <w:rsid w:val="00254685"/>
    <w:rsid w:val="00264A58"/>
    <w:rsid w:val="0030673C"/>
    <w:rsid w:val="00392EBF"/>
    <w:rsid w:val="003B0A81"/>
    <w:rsid w:val="003C0C87"/>
    <w:rsid w:val="003F1236"/>
    <w:rsid w:val="004147D8"/>
    <w:rsid w:val="00436797"/>
    <w:rsid w:val="00576FA4"/>
    <w:rsid w:val="005D7E49"/>
    <w:rsid w:val="00646D2C"/>
    <w:rsid w:val="006C05C4"/>
    <w:rsid w:val="00733224"/>
    <w:rsid w:val="00737FC5"/>
    <w:rsid w:val="00764590"/>
    <w:rsid w:val="00802814"/>
    <w:rsid w:val="00832BAC"/>
    <w:rsid w:val="008C7E19"/>
    <w:rsid w:val="008E7796"/>
    <w:rsid w:val="008E7CEC"/>
    <w:rsid w:val="009735EE"/>
    <w:rsid w:val="00984CFA"/>
    <w:rsid w:val="009D09B1"/>
    <w:rsid w:val="00AC0926"/>
    <w:rsid w:val="00B76D49"/>
    <w:rsid w:val="00B82F1E"/>
    <w:rsid w:val="00B84470"/>
    <w:rsid w:val="00BD0E0A"/>
    <w:rsid w:val="00BF7242"/>
    <w:rsid w:val="00C10A6D"/>
    <w:rsid w:val="00C307E4"/>
    <w:rsid w:val="00C30AEB"/>
    <w:rsid w:val="00C6611F"/>
    <w:rsid w:val="00CF3F1C"/>
    <w:rsid w:val="00D3547F"/>
    <w:rsid w:val="00D7219B"/>
    <w:rsid w:val="00DF4A85"/>
    <w:rsid w:val="00E44603"/>
    <w:rsid w:val="00E84A3A"/>
    <w:rsid w:val="00EA1FD8"/>
    <w:rsid w:val="00EA76C3"/>
    <w:rsid w:val="00ED476C"/>
    <w:rsid w:val="00F25B3B"/>
    <w:rsid w:val="00F44D12"/>
    <w:rsid w:val="00F56502"/>
    <w:rsid w:val="00F8657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577803-988D-4ECC-89CF-BB22BA39F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stTable6Colorful">
    <w:name w:val="List Table 6 Colorful"/>
    <w:basedOn w:val="TableNormal"/>
    <w:uiPriority w:val="51"/>
    <w:rsid w:val="00254685"/>
    <w:pPr>
      <w:spacing w:after="0" w:line="240" w:lineRule="auto"/>
    </w:pPr>
    <w:rPr>
      <w:rFonts w:eastAsiaTheme="minorEastAsia"/>
      <w:color w:val="000000" w:themeColor="text1"/>
      <w:lang w:eastAsia="zh-TW"/>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PlainText">
    <w:name w:val="Plain Text"/>
    <w:basedOn w:val="Normal"/>
    <w:link w:val="PlainTextChar"/>
    <w:uiPriority w:val="99"/>
    <w:unhideWhenUsed/>
    <w:rsid w:val="00EA1FD8"/>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EA1FD8"/>
    <w:rPr>
      <w:rFonts w:ascii="Calibri" w:hAnsi="Calibri"/>
      <w:szCs w:val="21"/>
    </w:rPr>
  </w:style>
  <w:style w:type="table" w:styleId="ListTable6Colorful-Accent3">
    <w:name w:val="List Table 6 Colorful Accent 3"/>
    <w:basedOn w:val="TableNormal"/>
    <w:uiPriority w:val="51"/>
    <w:rsid w:val="00EA1FD8"/>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D:\PAPERS%20WITH%20REVIEWERS%20RESPONCES\Liposome%20Research.%202020.%20Nebulization%20of%20powder%20&amp;%20Tablets\Paper%204%20from%20my%20PhD%20thesis\Sent%20to%20Abdelbary%20for%20submission\Journal%20of%20Pharmacy%20and%20Pharmacology\Graph%20of%20release.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9826357497487278E-2"/>
          <c:y val="2.5428331875182269E-2"/>
          <c:w val="0.89739596854434245"/>
          <c:h val="0.63784741907261588"/>
        </c:manualLayout>
      </c:layout>
      <c:barChart>
        <c:barDir val="col"/>
        <c:grouping val="clustered"/>
        <c:varyColors val="0"/>
        <c:ser>
          <c:idx val="0"/>
          <c:order val="0"/>
          <c:tx>
            <c:strRef>
              <c:f>'Entrapment Efficiency (%)'!$H$21</c:f>
              <c:strCache>
                <c:ptCount val="1"/>
                <c:pt idx="0">
                  <c:v>Un-entrapped</c:v>
                </c:pt>
              </c:strCache>
            </c:strRef>
          </c:tx>
          <c:spPr>
            <a:solidFill>
              <a:srgbClr val="3366FF"/>
            </a:solidFill>
            <a:ln>
              <a:solidFill>
                <a:schemeClr val="tx1"/>
              </a:solidFill>
            </a:ln>
            <a:effectLst/>
          </c:spPr>
          <c:invertIfNegative val="0"/>
          <c:errBars>
            <c:errBarType val="both"/>
            <c:errValType val="cust"/>
            <c:noEndCap val="0"/>
            <c:plus>
              <c:numRef>
                <c:f>'Entrapment Efficiency (%)'!$H$36:$H$43</c:f>
                <c:numCache>
                  <c:formatCode>General</c:formatCode>
                  <c:ptCount val="8"/>
                  <c:pt idx="0">
                    <c:v>6.15</c:v>
                  </c:pt>
                  <c:pt idx="1">
                    <c:v>7.95</c:v>
                  </c:pt>
                  <c:pt idx="2">
                    <c:v>6.38</c:v>
                  </c:pt>
                  <c:pt idx="3">
                    <c:v>6.62</c:v>
                  </c:pt>
                  <c:pt idx="4">
                    <c:v>5.87</c:v>
                  </c:pt>
                  <c:pt idx="5">
                    <c:v>7.33</c:v>
                  </c:pt>
                  <c:pt idx="6">
                    <c:v>8.42</c:v>
                  </c:pt>
                  <c:pt idx="7">
                    <c:v>5.88</c:v>
                  </c:pt>
                </c:numCache>
              </c:numRef>
            </c:plus>
            <c:minus>
              <c:numRef>
                <c:f>'Entrapment Efficiency (%)'!$H$36:$H$43</c:f>
                <c:numCache>
                  <c:formatCode>General</c:formatCode>
                  <c:ptCount val="8"/>
                  <c:pt idx="0">
                    <c:v>6.15</c:v>
                  </c:pt>
                  <c:pt idx="1">
                    <c:v>7.95</c:v>
                  </c:pt>
                  <c:pt idx="2">
                    <c:v>6.38</c:v>
                  </c:pt>
                  <c:pt idx="3">
                    <c:v>6.62</c:v>
                  </c:pt>
                  <c:pt idx="4">
                    <c:v>5.87</c:v>
                  </c:pt>
                  <c:pt idx="5">
                    <c:v>7.33</c:v>
                  </c:pt>
                  <c:pt idx="6">
                    <c:v>8.42</c:v>
                  </c:pt>
                  <c:pt idx="7">
                    <c:v>5.88</c:v>
                  </c:pt>
                </c:numCache>
              </c:numRef>
            </c:minus>
            <c:spPr>
              <a:noFill/>
              <a:ln w="6350" cap="flat" cmpd="sng" algn="ctr">
                <a:solidFill>
                  <a:schemeClr val="tx1">
                    <a:lumMod val="65000"/>
                    <a:lumOff val="35000"/>
                  </a:schemeClr>
                </a:solidFill>
                <a:round/>
              </a:ln>
              <a:effectLst/>
            </c:spPr>
          </c:errBars>
          <c:cat>
            <c:multiLvlStrRef>
              <c:f>'Entrapment Efficiency (%)'!$D$22:$G$29</c:f>
              <c:multiLvlStrCache>
                <c:ptCount val="8"/>
                <c:lvl>
                  <c:pt idx="0">
                    <c:v>01:10</c:v>
                  </c:pt>
                  <c:pt idx="1">
                    <c:v>01:15</c:v>
                  </c:pt>
                  <c:pt idx="2">
                    <c:v>01:10</c:v>
                  </c:pt>
                  <c:pt idx="3">
                    <c:v>01:15</c:v>
                  </c:pt>
                  <c:pt idx="4">
                    <c:v>01:10</c:v>
                  </c:pt>
                  <c:pt idx="5">
                    <c:v>01:15</c:v>
                  </c:pt>
                  <c:pt idx="6">
                    <c:v>01:10</c:v>
                  </c:pt>
                  <c:pt idx="7">
                    <c:v>01:15</c:v>
                  </c:pt>
                </c:lvl>
                <c:lvl>
                  <c:pt idx="0">
                    <c:v>Sorbitol</c:v>
                  </c:pt>
                  <c:pt idx="1">
                    <c:v>Sorbitol</c:v>
                  </c:pt>
                  <c:pt idx="2">
                    <c:v>Mannitol</c:v>
                  </c:pt>
                  <c:pt idx="3">
                    <c:v>Mannitol</c:v>
                  </c:pt>
                  <c:pt idx="4">
                    <c:v>Sorbitol</c:v>
                  </c:pt>
                  <c:pt idx="5">
                    <c:v>Sorbitol</c:v>
                  </c:pt>
                  <c:pt idx="6">
                    <c:v>Mannitol</c:v>
                  </c:pt>
                  <c:pt idx="7">
                    <c:v>Mannitol</c:v>
                  </c:pt>
                </c:lvl>
                <c:lvl>
                  <c:pt idx="0">
                    <c:v>Powder</c:v>
                  </c:pt>
                  <c:pt idx="4">
                    <c:v>Tablet</c:v>
                  </c:pt>
                </c:lvl>
              </c:multiLvlStrCache>
            </c:multiLvlStrRef>
          </c:cat>
          <c:val>
            <c:numRef>
              <c:f>'Entrapment Efficiency (%)'!$H$22:$H$29</c:f>
              <c:numCache>
                <c:formatCode>General</c:formatCode>
                <c:ptCount val="8"/>
                <c:pt idx="0">
                  <c:v>43.66</c:v>
                </c:pt>
                <c:pt idx="1">
                  <c:v>44.09</c:v>
                </c:pt>
                <c:pt idx="2">
                  <c:v>41.95</c:v>
                </c:pt>
                <c:pt idx="3">
                  <c:v>43.67</c:v>
                </c:pt>
                <c:pt idx="4">
                  <c:v>47.38</c:v>
                </c:pt>
                <c:pt idx="5">
                  <c:v>43.07</c:v>
                </c:pt>
                <c:pt idx="6">
                  <c:v>55.37</c:v>
                </c:pt>
                <c:pt idx="7">
                  <c:v>52.21</c:v>
                </c:pt>
              </c:numCache>
            </c:numRef>
          </c:val>
          <c:extLst>
            <c:ext xmlns:c16="http://schemas.microsoft.com/office/drawing/2014/chart" uri="{C3380CC4-5D6E-409C-BE32-E72D297353CC}">
              <c16:uniqueId val="{00000000-C1D7-4599-BF78-C16B4EACEE51}"/>
            </c:ext>
          </c:extLst>
        </c:ser>
        <c:ser>
          <c:idx val="1"/>
          <c:order val="1"/>
          <c:tx>
            <c:strRef>
              <c:f>'Entrapment Efficiency (%)'!$I$21</c:f>
              <c:strCache>
                <c:ptCount val="1"/>
                <c:pt idx="0">
                  <c:v> Entrapped</c:v>
                </c:pt>
              </c:strCache>
            </c:strRef>
          </c:tx>
          <c:spPr>
            <a:solidFill>
              <a:srgbClr val="9999FF"/>
            </a:solidFill>
            <a:ln>
              <a:solidFill>
                <a:schemeClr val="tx1"/>
              </a:solidFill>
            </a:ln>
            <a:effectLst/>
          </c:spPr>
          <c:invertIfNegative val="0"/>
          <c:errBars>
            <c:errBarType val="both"/>
            <c:errValType val="cust"/>
            <c:noEndCap val="0"/>
            <c:plus>
              <c:numRef>
                <c:f>'Entrapment Efficiency (%)'!$I$36:$I$43</c:f>
                <c:numCache>
                  <c:formatCode>General</c:formatCode>
                  <c:ptCount val="8"/>
                  <c:pt idx="0">
                    <c:v>5.28</c:v>
                  </c:pt>
                  <c:pt idx="1">
                    <c:v>7.34</c:v>
                  </c:pt>
                  <c:pt idx="2">
                    <c:v>4.8099999999999996</c:v>
                  </c:pt>
                  <c:pt idx="3">
                    <c:v>6.27</c:v>
                  </c:pt>
                  <c:pt idx="4">
                    <c:v>6.57</c:v>
                  </c:pt>
                  <c:pt idx="5">
                    <c:v>6.71</c:v>
                  </c:pt>
                  <c:pt idx="6">
                    <c:v>8.5399999999999991</c:v>
                  </c:pt>
                  <c:pt idx="7">
                    <c:v>5.52</c:v>
                  </c:pt>
                </c:numCache>
              </c:numRef>
            </c:plus>
            <c:minus>
              <c:numRef>
                <c:f>'Entrapment Efficiency (%)'!$I$36:$I$43</c:f>
                <c:numCache>
                  <c:formatCode>General</c:formatCode>
                  <c:ptCount val="8"/>
                  <c:pt idx="0">
                    <c:v>5.28</c:v>
                  </c:pt>
                  <c:pt idx="1">
                    <c:v>7.34</c:v>
                  </c:pt>
                  <c:pt idx="2">
                    <c:v>4.8099999999999996</c:v>
                  </c:pt>
                  <c:pt idx="3">
                    <c:v>6.27</c:v>
                  </c:pt>
                  <c:pt idx="4">
                    <c:v>6.57</c:v>
                  </c:pt>
                  <c:pt idx="5">
                    <c:v>6.71</c:v>
                  </c:pt>
                  <c:pt idx="6">
                    <c:v>8.5399999999999991</c:v>
                  </c:pt>
                  <c:pt idx="7">
                    <c:v>5.52</c:v>
                  </c:pt>
                </c:numCache>
              </c:numRef>
            </c:minus>
            <c:spPr>
              <a:noFill/>
              <a:ln w="6350" cap="flat" cmpd="sng" algn="ctr">
                <a:solidFill>
                  <a:schemeClr val="tx1">
                    <a:lumMod val="65000"/>
                    <a:lumOff val="35000"/>
                  </a:schemeClr>
                </a:solidFill>
                <a:round/>
              </a:ln>
              <a:effectLst/>
            </c:spPr>
          </c:errBars>
          <c:cat>
            <c:multiLvlStrRef>
              <c:f>'Entrapment Efficiency (%)'!$D$22:$G$29</c:f>
              <c:multiLvlStrCache>
                <c:ptCount val="8"/>
                <c:lvl>
                  <c:pt idx="0">
                    <c:v>01:10</c:v>
                  </c:pt>
                  <c:pt idx="1">
                    <c:v>01:15</c:v>
                  </c:pt>
                  <c:pt idx="2">
                    <c:v>01:10</c:v>
                  </c:pt>
                  <c:pt idx="3">
                    <c:v>01:15</c:v>
                  </c:pt>
                  <c:pt idx="4">
                    <c:v>01:10</c:v>
                  </c:pt>
                  <c:pt idx="5">
                    <c:v>01:15</c:v>
                  </c:pt>
                  <c:pt idx="6">
                    <c:v>01:10</c:v>
                  </c:pt>
                  <c:pt idx="7">
                    <c:v>01:15</c:v>
                  </c:pt>
                </c:lvl>
                <c:lvl>
                  <c:pt idx="0">
                    <c:v>Sorbitol</c:v>
                  </c:pt>
                  <c:pt idx="1">
                    <c:v>Sorbitol</c:v>
                  </c:pt>
                  <c:pt idx="2">
                    <c:v>Mannitol</c:v>
                  </c:pt>
                  <c:pt idx="3">
                    <c:v>Mannitol</c:v>
                  </c:pt>
                  <c:pt idx="4">
                    <c:v>Sorbitol</c:v>
                  </c:pt>
                  <c:pt idx="5">
                    <c:v>Sorbitol</c:v>
                  </c:pt>
                  <c:pt idx="6">
                    <c:v>Mannitol</c:v>
                  </c:pt>
                  <c:pt idx="7">
                    <c:v>Mannitol</c:v>
                  </c:pt>
                </c:lvl>
                <c:lvl>
                  <c:pt idx="0">
                    <c:v>Powder</c:v>
                  </c:pt>
                  <c:pt idx="4">
                    <c:v>Tablet</c:v>
                  </c:pt>
                </c:lvl>
              </c:multiLvlStrCache>
            </c:multiLvlStrRef>
          </c:cat>
          <c:val>
            <c:numRef>
              <c:f>'Entrapment Efficiency (%)'!$I$22:$I$29</c:f>
              <c:numCache>
                <c:formatCode>General</c:formatCode>
                <c:ptCount val="8"/>
                <c:pt idx="0">
                  <c:v>56.34</c:v>
                </c:pt>
                <c:pt idx="1">
                  <c:v>55.91</c:v>
                </c:pt>
                <c:pt idx="2">
                  <c:v>58.05</c:v>
                </c:pt>
                <c:pt idx="3">
                  <c:v>56.33</c:v>
                </c:pt>
                <c:pt idx="4">
                  <c:v>52.62</c:v>
                </c:pt>
                <c:pt idx="5">
                  <c:v>56.93</c:v>
                </c:pt>
                <c:pt idx="6">
                  <c:v>44.63</c:v>
                </c:pt>
                <c:pt idx="7">
                  <c:v>47.79</c:v>
                </c:pt>
              </c:numCache>
            </c:numRef>
          </c:val>
          <c:extLst>
            <c:ext xmlns:c16="http://schemas.microsoft.com/office/drawing/2014/chart" uri="{C3380CC4-5D6E-409C-BE32-E72D297353CC}">
              <c16:uniqueId val="{00000001-C1D7-4599-BF78-C16B4EACEE51}"/>
            </c:ext>
          </c:extLst>
        </c:ser>
        <c:dLbls>
          <c:showLegendKey val="0"/>
          <c:showVal val="0"/>
          <c:showCatName val="0"/>
          <c:showSerName val="0"/>
          <c:showPercent val="0"/>
          <c:showBubbleSize val="0"/>
        </c:dLbls>
        <c:gapWidth val="219"/>
        <c:overlap val="-27"/>
        <c:axId val="689030896"/>
        <c:axId val="689033848"/>
      </c:barChart>
      <c:catAx>
        <c:axId val="689030896"/>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sz="1200" b="1">
                    <a:latin typeface="Times New Roman" panose="02020603050405020304" pitchFamily="18" charset="0"/>
                    <a:cs typeface="Times New Roman" panose="02020603050405020304" pitchFamily="18" charset="0"/>
                  </a:rPr>
                  <a:t>Formulations</a:t>
                </a:r>
              </a:p>
            </c:rich>
          </c:tx>
          <c:layout>
            <c:manualLayout>
              <c:xMode val="edge"/>
              <c:yMode val="edge"/>
              <c:x val="0.47947371876783512"/>
              <c:y val="0.9267695538057743"/>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w="9525" cap="flat" cmpd="sng" algn="ctr">
            <a:solidFill>
              <a:schemeClr val="tx1">
                <a:lumMod val="75000"/>
                <a:lumOff val="2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689033848"/>
        <c:crosses val="autoZero"/>
        <c:auto val="1"/>
        <c:lblAlgn val="ctr"/>
        <c:lblOffset val="100"/>
        <c:noMultiLvlLbl val="0"/>
      </c:catAx>
      <c:valAx>
        <c:axId val="689033848"/>
        <c:scaling>
          <c:orientation val="minMax"/>
          <c:max val="80"/>
        </c:scaling>
        <c:delete val="0"/>
        <c:axPos val="l"/>
        <c:title>
          <c:tx>
            <c:rich>
              <a:bodyPr rot="-54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GB" sz="1100" b="1">
                    <a:latin typeface="Times New Roman" panose="02020603050405020304" pitchFamily="18" charset="0"/>
                    <a:cs typeface="Times New Roman" panose="02020603050405020304" pitchFamily="18" charset="0"/>
                  </a:rPr>
                  <a:t>Entrapment efficiency (%)</a:t>
                </a:r>
              </a:p>
            </c:rich>
          </c:tx>
          <c:layout>
            <c:manualLayout>
              <c:xMode val="edge"/>
              <c:yMode val="edge"/>
              <c:x val="1.6962104265839087E-3"/>
              <c:y val="0.137202860165103"/>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solidFill>
              <a:sysClr val="windowText" lastClr="000000"/>
            </a:solidFill>
          </a:ln>
          <a:effectLst/>
        </c:spPr>
        <c:txPr>
          <a:bodyPr rot="-60000000" spcFirstLastPara="1" vertOverflow="ellipsis" vert="horz" wrap="square" anchor="ctr" anchorCtr="1"/>
          <a:lstStyle/>
          <a:p>
            <a:pPr>
              <a:defRPr sz="105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689030896"/>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47776662292213473"/>
          <c:y val="2.8355934674832269E-2"/>
          <c:w val="0.38793997767597849"/>
          <c:h val="8.0368503937007868E-2"/>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00">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Liverpool John Moores University</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 Iftikhar</dc:creator>
  <cp:keywords/>
  <dc:description/>
  <cp:lastModifiedBy>Khan, Iftikhar</cp:lastModifiedBy>
  <cp:revision>3</cp:revision>
  <dcterms:created xsi:type="dcterms:W3CDTF">2020-07-14T01:18:00Z</dcterms:created>
  <dcterms:modified xsi:type="dcterms:W3CDTF">2020-07-17T13:53:00Z</dcterms:modified>
</cp:coreProperties>
</file>