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A9562">
      <w:pPr>
        <w:pStyle w:val="2"/>
        <w:jc w:val="center"/>
        <w:rPr>
          <w:rFonts w:ascii="Times New Roman" w:hAnsi="Times New Roman" w:cs="Times New Roman"/>
        </w:rPr>
      </w:pPr>
      <w:r>
        <w:rPr>
          <w:rFonts w:ascii="Times New Roman" w:hAnsi="Times New Roman" w:cs="Times New Roman"/>
        </w:rPr>
        <w:t>Supplemental Information</w:t>
      </w:r>
    </w:p>
    <w:p w14:paraId="09617F36">
      <w:pPr>
        <w:rPr>
          <w:rFonts w:ascii="Times New Roman" w:hAnsi="Times New Roman" w:cs="Times New Roman"/>
          <w:b/>
          <w:bCs/>
          <w:sz w:val="28"/>
          <w:szCs w:val="28"/>
        </w:rPr>
      </w:pPr>
      <w:bookmarkStart w:id="0" w:name="OLE_LINK3"/>
      <w:r>
        <w:rPr>
          <w:rFonts w:ascii="Times New Roman" w:hAnsi="Times New Roman" w:cs="Times New Roman"/>
          <w:b/>
          <w:bCs/>
          <w:sz w:val="28"/>
          <w:szCs w:val="28"/>
        </w:rPr>
        <w:t>The combination of HDAC</w:t>
      </w:r>
      <w:r>
        <w:rPr>
          <w:rFonts w:hint="eastAsia" w:ascii="Times New Roman" w:hAnsi="Times New Roman" w:cs="Times New Roman"/>
          <w:b/>
          <w:bCs/>
          <w:sz w:val="28"/>
          <w:szCs w:val="28"/>
        </w:rPr>
        <w:t>i</w:t>
      </w:r>
      <w:r>
        <w:rPr>
          <w:rFonts w:ascii="Times New Roman" w:hAnsi="Times New Roman" w:cs="Times New Roman"/>
          <w:b/>
          <w:bCs/>
          <w:sz w:val="28"/>
          <w:szCs w:val="28"/>
        </w:rPr>
        <w:t xml:space="preserve"> </w:t>
      </w:r>
      <w:r>
        <w:rPr>
          <w:rFonts w:hint="eastAsia" w:ascii="Times New Roman" w:hAnsi="Times New Roman" w:cs="Times New Roman"/>
          <w:b/>
          <w:bCs/>
          <w:sz w:val="28"/>
          <w:szCs w:val="28"/>
        </w:rPr>
        <w:t xml:space="preserve">encapsulated </w:t>
      </w:r>
      <w:r>
        <w:rPr>
          <w:rFonts w:ascii="Times New Roman" w:hAnsi="Times New Roman" w:cs="Times New Roman"/>
          <w:b/>
          <w:bCs/>
          <w:sz w:val="28"/>
          <w:szCs w:val="28"/>
        </w:rPr>
        <w:t>liposomal vaccine</w:t>
      </w:r>
      <w:r>
        <w:rPr>
          <w:rFonts w:hint="eastAsia" w:ascii="Times New Roman" w:hAnsi="Times New Roman" w:cs="Times New Roman"/>
          <w:b/>
          <w:bCs/>
          <w:sz w:val="28"/>
          <w:szCs w:val="28"/>
        </w:rPr>
        <w:t>s w</w:t>
      </w:r>
      <w:r>
        <w:rPr>
          <w:rFonts w:ascii="Times New Roman" w:hAnsi="Times New Roman" w:cs="Times New Roman"/>
          <w:b/>
          <w:bCs/>
          <w:sz w:val="28"/>
          <w:szCs w:val="28"/>
        </w:rPr>
        <w:t xml:space="preserve">ith oncolytic peptide QR-KLU induces an immune-mediated abscopal effect </w:t>
      </w:r>
      <w:r>
        <w:rPr>
          <w:rFonts w:hint="eastAsia" w:ascii="Times New Roman" w:hAnsi="Times New Roman" w:cs="Times New Roman"/>
          <w:b/>
          <w:bCs/>
          <w:sz w:val="28"/>
          <w:szCs w:val="28"/>
        </w:rPr>
        <w:t>for cancer immunotherapy</w:t>
      </w:r>
    </w:p>
    <w:bookmarkEnd w:id="0"/>
    <w:p w14:paraId="7C59ED57">
      <w:pPr>
        <w:rPr>
          <w:rFonts w:ascii="Times New Roman" w:hAnsi="Times New Roman" w:eastAsia="宋体" w:cs="Times New Roman"/>
          <w:sz w:val="24"/>
        </w:rPr>
      </w:pPr>
      <w:r>
        <w:rPr>
          <w:rFonts w:hint="eastAsia" w:ascii="Times New Roman" w:hAnsi="Times New Roman" w:cs="Times New Roman"/>
          <w:sz w:val="28"/>
          <w:szCs w:val="28"/>
        </w:rPr>
        <w:t>Tao Sun</w:t>
      </w:r>
      <w:r>
        <w:rPr>
          <w:rFonts w:hint="eastAsia" w:ascii="Times New Roman" w:hAnsi="Times New Roman" w:cs="Times New Roman"/>
          <w:sz w:val="28"/>
          <w:szCs w:val="28"/>
          <w:vertAlign w:val="superscript"/>
        </w:rPr>
        <w:t>2#</w:t>
      </w:r>
      <w:r>
        <w:rPr>
          <w:rFonts w:hint="eastAsia" w:ascii="Times New Roman" w:hAnsi="Times New Roman" w:cs="Times New Roman"/>
          <w:sz w:val="28"/>
          <w:szCs w:val="28"/>
        </w:rPr>
        <w:t>, Jingjing Du</w:t>
      </w:r>
      <w:r>
        <w:rPr>
          <w:rFonts w:hint="eastAsia" w:ascii="Times New Roman" w:hAnsi="Times New Roman" w:cs="Times New Roman"/>
          <w:sz w:val="28"/>
          <w:szCs w:val="28"/>
          <w:vertAlign w:val="superscript"/>
        </w:rPr>
        <w:t>3#</w:t>
      </w:r>
      <w:r>
        <w:rPr>
          <w:rFonts w:hint="eastAsia" w:ascii="Times New Roman" w:hAnsi="Times New Roman" w:cs="Times New Roman"/>
          <w:sz w:val="28"/>
          <w:szCs w:val="28"/>
        </w:rPr>
        <w:t xml:space="preserve">, </w:t>
      </w:r>
      <w:r>
        <w:rPr>
          <w:rFonts w:hint="eastAsia" w:ascii="Times New Roman" w:hAnsi="Times New Roman" w:cs="Times New Roman"/>
          <w:sz w:val="24"/>
        </w:rPr>
        <w:t>Y</w:t>
      </w:r>
      <w:r>
        <w:rPr>
          <w:rFonts w:ascii="Times New Roman" w:hAnsi="Times New Roman" w:cs="Times New Roman"/>
          <w:sz w:val="24"/>
        </w:rPr>
        <w:t>u Lei</w:t>
      </w:r>
      <w:r>
        <w:rPr>
          <w:rFonts w:hint="eastAsia" w:ascii="Times New Roman" w:hAnsi="Times New Roman" w:cs="Times New Roman"/>
          <w:sz w:val="24"/>
          <w:vertAlign w:val="superscript"/>
        </w:rPr>
        <w:t>2#</w:t>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sz w:val="28"/>
          <w:szCs w:val="28"/>
        </w:rPr>
        <w:t>Jun Guo</w:t>
      </w:r>
      <w:r>
        <w:rPr>
          <w:rFonts w:hint="eastAsia" w:ascii="Times New Roman" w:hAnsi="Times New Roman" w:cs="Times New Roman"/>
          <w:sz w:val="28"/>
          <w:szCs w:val="28"/>
          <w:vertAlign w:val="superscript"/>
        </w:rPr>
        <w:t>4</w:t>
      </w:r>
      <w:r>
        <w:rPr>
          <w:rFonts w:hint="eastAsia" w:ascii="Times New Roman" w:hAnsi="Times New Roman" w:cs="Times New Roman"/>
          <w:sz w:val="28"/>
          <w:szCs w:val="28"/>
        </w:rPr>
        <w:t>, Chuansheng Zheng</w:t>
      </w:r>
      <w:r>
        <w:rPr>
          <w:rFonts w:hint="eastAsia" w:ascii="Times New Roman" w:hAnsi="Times New Roman" w:cs="Times New Roman"/>
          <w:sz w:val="28"/>
          <w:szCs w:val="28"/>
          <w:vertAlign w:val="superscript"/>
        </w:rPr>
        <w:t>2</w:t>
      </w:r>
      <w:r>
        <w:rPr>
          <w:rFonts w:hint="eastAsia" w:ascii="Times New Roman" w:hAnsi="Times New Roman" w:cs="Times New Roman"/>
          <w:sz w:val="28"/>
          <w:szCs w:val="28"/>
        </w:rPr>
        <w:t>*, Dongyuan Wang</w:t>
      </w:r>
      <w:r>
        <w:rPr>
          <w:rFonts w:hint="eastAsia" w:ascii="Times New Roman" w:hAnsi="Times New Roman" w:cs="Times New Roman"/>
          <w:sz w:val="28"/>
          <w:szCs w:val="28"/>
          <w:vertAlign w:val="superscript"/>
        </w:rPr>
        <w:t>1</w:t>
      </w:r>
      <w:r>
        <w:rPr>
          <w:rFonts w:ascii="Times New Roman" w:hAnsi="Times New Roman" w:eastAsia="宋体" w:cs="Times New Roman"/>
          <w:sz w:val="24"/>
        </w:rPr>
        <w:t>*</w:t>
      </w:r>
    </w:p>
    <w:p w14:paraId="20F321B0">
      <w:pPr>
        <w:numPr>
          <w:ilvl w:val="0"/>
          <w:numId w:val="1"/>
        </w:numPr>
        <w:spacing w:line="480" w:lineRule="auto"/>
        <w:rPr>
          <w:rFonts w:ascii="Times New Roman" w:hAnsi="Times New Roman" w:eastAsia="宋体" w:cs="Times New Roman"/>
          <w:sz w:val="24"/>
        </w:rPr>
      </w:pPr>
      <w:r>
        <w:rPr>
          <w:rFonts w:ascii="Times New Roman" w:hAnsi="Times New Roman" w:eastAsia="宋体" w:cs="Times New Roman"/>
          <w:sz w:val="24"/>
          <w:lang w:val="en-GB"/>
        </w:rPr>
        <w:t>Department of Pharmacy, Union Hospital, Tongji Medical College, Huazhong University of Science and Technology, Wuhan, China</w:t>
      </w:r>
      <w:r>
        <w:rPr>
          <w:rFonts w:hint="eastAsia" w:ascii="Times New Roman" w:hAnsi="Times New Roman" w:eastAsia="宋体" w:cs="Times New Roman"/>
          <w:sz w:val="24"/>
        </w:rPr>
        <w:t>.</w:t>
      </w:r>
    </w:p>
    <w:p w14:paraId="2A6012D0">
      <w:pPr>
        <w:numPr>
          <w:ilvl w:val="0"/>
          <w:numId w:val="1"/>
        </w:numPr>
        <w:spacing w:line="480" w:lineRule="auto"/>
        <w:rPr>
          <w:rFonts w:ascii="Times New Roman" w:hAnsi="Times New Roman" w:eastAsia="宋体" w:cs="Times New Roman"/>
          <w:sz w:val="24"/>
        </w:rPr>
      </w:pPr>
      <w:r>
        <w:rPr>
          <w:rFonts w:ascii="Times New Roman" w:hAnsi="Times New Roman" w:cs="Times New Roman"/>
          <w:sz w:val="24"/>
        </w:rPr>
        <w:t>Department of Radiology, Union Hospital, Tongji Medical College, Huazhong University of Science and Technology, Wuhan 430022, China.</w:t>
      </w:r>
    </w:p>
    <w:p w14:paraId="42BE800B">
      <w:pPr>
        <w:numPr>
          <w:ilvl w:val="255"/>
          <w:numId w:val="0"/>
        </w:numPr>
        <w:spacing w:line="480" w:lineRule="auto"/>
        <w:rPr>
          <w:rFonts w:ascii="Times New Roman" w:hAnsi="Times New Roman" w:eastAsia="宋体" w:cs="Times New Roman"/>
          <w:sz w:val="24"/>
        </w:rPr>
      </w:pPr>
      <w:r>
        <w:rPr>
          <w:rFonts w:hint="eastAsia" w:ascii="Times New Roman" w:hAnsi="Times New Roman" w:eastAsia="宋体" w:cs="Times New Roman"/>
          <w:sz w:val="24"/>
        </w:rPr>
        <w:t>3.</w:t>
      </w:r>
      <w:r>
        <w:rPr>
          <w:rFonts w:ascii="Times New Roman" w:hAnsi="Times New Roman" w:eastAsia="宋体" w:cs="Times New Roman"/>
          <w:sz w:val="24"/>
        </w:rPr>
        <w:t>Hubei Key Laboratory of Kidney Disease Pathogenesis and Intervention, College of Medicine, Hubei Polytechnic University, Huangshi, China</w:t>
      </w:r>
    </w:p>
    <w:p w14:paraId="2142EE9B">
      <w:pPr>
        <w:numPr>
          <w:ilvl w:val="255"/>
          <w:numId w:val="0"/>
        </w:numPr>
        <w:spacing w:line="480" w:lineRule="auto"/>
        <w:rPr>
          <w:rFonts w:ascii="Times New Roman" w:hAnsi="Times New Roman" w:eastAsia="宋体" w:cs="Times New Roman"/>
          <w:sz w:val="24"/>
        </w:rPr>
      </w:pPr>
      <w:r>
        <w:rPr>
          <w:rFonts w:hint="eastAsia" w:ascii="Times New Roman" w:hAnsi="Times New Roman" w:eastAsia="宋体" w:cs="Times New Roman"/>
          <w:sz w:val="24"/>
        </w:rPr>
        <w:t>4. Key Laboratory of Pesticide and Chemical Biology of Ministry of Education, Hubei International Scientific and Technological Cooperation Base of Pesticide and Green Synthesis, International Joint Research Center for Intelligent Biosensing Technology and Health, College of Chemistry, Central China Normal University, Wuhan, China.</w:t>
      </w:r>
    </w:p>
    <w:p w14:paraId="1FC86429">
      <w:pPr>
        <w:numPr>
          <w:ilvl w:val="255"/>
          <w:numId w:val="0"/>
        </w:numPr>
        <w:spacing w:line="480" w:lineRule="auto"/>
        <w:rPr>
          <w:rFonts w:ascii="Times New Roman" w:hAnsi="Times New Roman" w:eastAsia="宋体" w:cs="Times New Roman"/>
          <w:sz w:val="24"/>
        </w:rPr>
      </w:pPr>
    </w:p>
    <w:p w14:paraId="65B7470B">
      <w:pPr>
        <w:numPr>
          <w:ilvl w:val="255"/>
          <w:numId w:val="0"/>
        </w:numPr>
        <w:spacing w:line="480" w:lineRule="auto"/>
        <w:rPr>
          <w:rFonts w:ascii="Times New Roman" w:hAnsi="Times New Roman" w:eastAsia="宋体" w:cs="Times New Roman"/>
          <w:sz w:val="24"/>
        </w:rPr>
      </w:pPr>
      <w:r>
        <w:rPr>
          <w:rFonts w:hint="eastAsia" w:ascii="Times New Roman" w:hAnsi="Times New Roman" w:cs="Times New Roman"/>
          <w:sz w:val="24"/>
        </w:rPr>
        <w:t>#</w:t>
      </w:r>
      <w:r>
        <w:rPr>
          <w:rFonts w:ascii="Times New Roman" w:hAnsi="Times New Roman" w:cs="Times New Roman"/>
          <w:sz w:val="24"/>
        </w:rPr>
        <w:t>These authors contributed equally to this work.</w:t>
      </w:r>
    </w:p>
    <w:p w14:paraId="432D5C25">
      <w:pPr>
        <w:spacing w:line="480" w:lineRule="auto"/>
        <w:rPr>
          <w:rFonts w:ascii="Times New Roman" w:hAnsi="Times New Roman" w:eastAsia="宋体" w:cs="Times New Roman"/>
          <w:sz w:val="24"/>
        </w:rPr>
      </w:pPr>
      <w:r>
        <w:rPr>
          <w:rFonts w:ascii="Times New Roman" w:hAnsi="Times New Roman" w:eastAsia="宋体" w:cs="Times New Roman"/>
          <w:b/>
          <w:bCs/>
          <w:sz w:val="24"/>
        </w:rPr>
        <w:t>*Correspondence to:</w:t>
      </w:r>
      <w:r>
        <w:rPr>
          <w:rFonts w:ascii="Times New Roman" w:hAnsi="Times New Roman" w:eastAsia="宋体" w:cs="Times New Roman"/>
          <w:sz w:val="24"/>
        </w:rPr>
        <w:t xml:space="preserve"> </w:t>
      </w:r>
      <w:r>
        <w:rPr>
          <w:rFonts w:hint="eastAsia" w:ascii="Times New Roman" w:hAnsi="Times New Roman" w:eastAsia="宋体" w:cs="Times New Roman"/>
          <w:sz w:val="24"/>
        </w:rPr>
        <w:t>Wang Dongyuan</w:t>
      </w:r>
      <w:r>
        <w:rPr>
          <w:rFonts w:ascii="Times New Roman" w:hAnsi="Times New Roman" w:eastAsia="宋体" w:cs="Times New Roman"/>
          <w:sz w:val="24"/>
        </w:rPr>
        <w:t xml:space="preserve">, E-mail: </w:t>
      </w:r>
      <w:r>
        <w:fldChar w:fldCharType="begin"/>
      </w:r>
      <w:r>
        <w:instrText xml:space="preserve"> HYPERLINK "mailto:wangdy2019@hust.edu.cn," </w:instrText>
      </w:r>
      <w:r>
        <w:fldChar w:fldCharType="separate"/>
      </w:r>
      <w:r>
        <w:rPr>
          <w:rStyle w:val="10"/>
          <w:rFonts w:hint="eastAsia" w:ascii="Times New Roman" w:hAnsi="Times New Roman" w:eastAsia="宋体" w:cs="Times New Roman"/>
          <w:sz w:val="24"/>
        </w:rPr>
        <w:t>wangdy2019</w:t>
      </w:r>
      <w:r>
        <w:rPr>
          <w:rStyle w:val="10"/>
          <w:rFonts w:ascii="Times New Roman" w:hAnsi="Times New Roman" w:eastAsia="宋体" w:cs="Times New Roman"/>
          <w:sz w:val="24"/>
        </w:rPr>
        <w:t>@</w:t>
      </w:r>
      <w:r>
        <w:rPr>
          <w:rStyle w:val="10"/>
          <w:rFonts w:hint="eastAsia" w:ascii="Times New Roman" w:hAnsi="Times New Roman" w:eastAsia="宋体" w:cs="Times New Roman"/>
          <w:sz w:val="24"/>
        </w:rPr>
        <w:t>hust.edu.cn</w:t>
      </w:r>
      <w:r>
        <w:rPr>
          <w:rStyle w:val="10"/>
          <w:rFonts w:hint="eastAsia" w:ascii="Times New Roman" w:hAnsi="Times New Roman" w:eastAsia="宋体" w:cs="Times New Roman"/>
          <w:sz w:val="24"/>
        </w:rPr>
        <w:fldChar w:fldCharType="end"/>
      </w:r>
      <w:r>
        <w:rPr>
          <w:rFonts w:hint="eastAsia" w:ascii="Times New Roman" w:hAnsi="Times New Roman" w:eastAsia="宋体" w:cs="Times New Roman"/>
          <w:sz w:val="24"/>
        </w:rPr>
        <w:t xml:space="preserve">；Zheng Chuansheng, </w:t>
      </w:r>
      <w:r>
        <w:rPr>
          <w:rFonts w:ascii="Times New Roman" w:hAnsi="Times New Roman" w:eastAsia="宋体" w:cs="Times New Roman"/>
          <w:sz w:val="24"/>
        </w:rPr>
        <w:t>Email: hqzcsxh@sina.com.</w:t>
      </w:r>
    </w:p>
    <w:p w14:paraId="3E34C78A">
      <w:pPr>
        <w:rPr>
          <w:rFonts w:ascii="Times New Roman" w:hAnsi="Times New Roman" w:cs="Times New Roman"/>
          <w:b/>
          <w:bCs/>
          <w:sz w:val="28"/>
          <w:szCs w:val="28"/>
        </w:rPr>
      </w:pPr>
    </w:p>
    <w:p w14:paraId="09D7D9A5">
      <w:pPr>
        <w:rPr>
          <w:rFonts w:ascii="Times New Roman" w:hAnsi="Times New Roman" w:cs="Times New Roman"/>
          <w:b/>
          <w:bCs/>
          <w:sz w:val="28"/>
          <w:szCs w:val="28"/>
        </w:rPr>
      </w:pPr>
    </w:p>
    <w:p w14:paraId="38C5409F">
      <w:pPr>
        <w:rPr>
          <w:rFonts w:ascii="Times New Roman" w:hAnsi="Times New Roman" w:cs="Times New Roman"/>
          <w:b/>
          <w:bCs/>
          <w:sz w:val="28"/>
          <w:szCs w:val="28"/>
        </w:rPr>
      </w:pPr>
    </w:p>
    <w:p w14:paraId="024CD7A7">
      <w:pPr>
        <w:rPr>
          <w:rFonts w:ascii="Times New Roman" w:hAnsi="Times New Roman" w:cs="Times New Roman"/>
          <w:b/>
          <w:bCs/>
          <w:sz w:val="28"/>
          <w:szCs w:val="28"/>
        </w:rPr>
      </w:pPr>
    </w:p>
    <w:p w14:paraId="58F9C482">
      <w:pPr>
        <w:rPr>
          <w:rFonts w:ascii="Times New Roman" w:hAnsi="Times New Roman" w:cs="Times New Roman"/>
          <w:b/>
          <w:bCs/>
          <w:sz w:val="28"/>
          <w:szCs w:val="28"/>
        </w:rPr>
      </w:pPr>
    </w:p>
    <w:p w14:paraId="00F49AD5">
      <w:pPr>
        <w:rPr>
          <w:rFonts w:ascii="Times New Roman" w:hAnsi="Times New Roman" w:cs="Times New Roman"/>
          <w:b/>
          <w:bCs/>
          <w:sz w:val="28"/>
          <w:szCs w:val="28"/>
        </w:rPr>
      </w:pPr>
      <w:r>
        <w:rPr>
          <w:rFonts w:ascii="Times New Roman" w:hAnsi="Times New Roman" w:cs="Times New Roman"/>
          <w:b/>
          <w:bCs/>
          <w:sz w:val="28"/>
          <w:szCs w:val="28"/>
        </w:rPr>
        <w:drawing>
          <wp:inline distT="0" distB="0" distL="114300" distR="114300">
            <wp:extent cx="5269230" cy="5706110"/>
            <wp:effectExtent l="0" t="0" r="0" b="0"/>
            <wp:docPr id="8" name="图片 8" descr="S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I-2"/>
                    <pic:cNvPicPr>
                      <a:picLocks noChangeAspect="1"/>
                    </pic:cNvPicPr>
                  </pic:nvPicPr>
                  <pic:blipFill>
                    <a:blip r:embed="rId4"/>
                    <a:srcRect t="8137"/>
                    <a:stretch>
                      <a:fillRect/>
                    </a:stretch>
                  </pic:blipFill>
                  <pic:spPr>
                    <a:xfrm>
                      <a:off x="0" y="0"/>
                      <a:ext cx="5269230" cy="5706110"/>
                    </a:xfrm>
                    <a:prstGeom prst="rect">
                      <a:avLst/>
                    </a:prstGeom>
                  </pic:spPr>
                </pic:pic>
              </a:graphicData>
            </a:graphic>
          </wp:inline>
        </w:drawing>
      </w:r>
    </w:p>
    <w:p w14:paraId="42E47B33">
      <w:pPr>
        <w:rPr>
          <w:rFonts w:ascii="Times New Roman" w:hAnsi="Times New Roman" w:cs="Times New Roman"/>
          <w:sz w:val="24"/>
        </w:rPr>
      </w:pPr>
      <w:r>
        <w:rPr>
          <w:rFonts w:hint="eastAsia" w:ascii="Times New Roman" w:hAnsi="Times New Roman" w:cs="Times New Roman"/>
          <w:b/>
          <w:bCs/>
          <w:sz w:val="24"/>
        </w:rPr>
        <w:t>Fig. S1.</w:t>
      </w:r>
      <w:r>
        <w:rPr>
          <w:rFonts w:hint="eastAsia" w:ascii="Times New Roman" w:hAnsi="Times New Roman" w:cs="Times New Roman"/>
          <w:b/>
          <w:bCs/>
          <w:sz w:val="28"/>
          <w:szCs w:val="28"/>
        </w:rPr>
        <w:t xml:space="preserve"> </w:t>
      </w:r>
      <w:r>
        <w:rPr>
          <w:rFonts w:ascii="Times New Roman" w:hAnsi="Times New Roman" w:cs="Times New Roman"/>
          <w:sz w:val="24"/>
        </w:rPr>
        <w:t>HPLC and MS analyses of Pam2-MUC1 peptide were performed applying a linear gradient (30-90%) of buffer B (acetonitrile) in buffer A (water) over 25 min, afforded pure product as a while solid. HRMS: Calcd for C59H99N18O23 [M+2H]2+ m/z = 773.01; [M+H+Na]2+ m/z = 784.01; observed: 773.40 [M+2H]2+, 784.00 [M+ H+Na]2+.</w:t>
      </w:r>
    </w:p>
    <w:p w14:paraId="5257389B">
      <w:pPr>
        <w:rPr>
          <w:rFonts w:ascii="Times New Roman" w:hAnsi="Times New Roman" w:cs="Times New Roman"/>
          <w:sz w:val="24"/>
        </w:rPr>
      </w:pPr>
    </w:p>
    <w:p w14:paraId="772378E2">
      <w:pPr>
        <w:jc w:val="center"/>
      </w:pPr>
      <w:r>
        <w:drawing>
          <wp:inline distT="0" distB="0" distL="114300" distR="114300">
            <wp:extent cx="3483610" cy="2856230"/>
            <wp:effectExtent l="0" t="0" r="8890" b="1270"/>
            <wp:docPr id="12" name="图片 11" desc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EE"/>
                    <pic:cNvPicPr>
                      <a:picLocks noChangeAspect="1"/>
                    </pic:cNvPicPr>
                  </pic:nvPicPr>
                  <pic:blipFill>
                    <a:blip r:embed="rId5"/>
                    <a:stretch>
                      <a:fillRect/>
                    </a:stretch>
                  </pic:blipFill>
                  <pic:spPr>
                    <a:xfrm>
                      <a:off x="0" y="0"/>
                      <a:ext cx="3483610" cy="2856230"/>
                    </a:xfrm>
                    <a:prstGeom prst="rect">
                      <a:avLst/>
                    </a:prstGeom>
                  </pic:spPr>
                </pic:pic>
              </a:graphicData>
            </a:graphic>
          </wp:inline>
        </w:drawing>
      </w:r>
    </w:p>
    <w:p w14:paraId="26E1697E">
      <w:pPr>
        <w:rPr>
          <w:rFonts w:ascii="Times New Roman" w:hAnsi="Times New Roman" w:cs="Times New Roman"/>
          <w:sz w:val="24"/>
        </w:rPr>
      </w:pPr>
      <w:r>
        <w:rPr>
          <w:rFonts w:ascii="Times New Roman" w:hAnsi="Times New Roman" w:cs="Times New Roman"/>
          <w:b/>
          <w:bCs/>
          <w:sz w:val="24"/>
        </w:rPr>
        <w:t>Fig</w:t>
      </w:r>
      <w:r>
        <w:rPr>
          <w:rFonts w:hint="eastAsia" w:ascii="Times New Roman" w:hAnsi="Times New Roman" w:cs="Times New Roman"/>
          <w:b/>
          <w:bCs/>
          <w:sz w:val="24"/>
        </w:rPr>
        <w:t>.</w:t>
      </w:r>
      <w:r>
        <w:rPr>
          <w:rFonts w:ascii="Times New Roman" w:hAnsi="Times New Roman" w:cs="Times New Roman"/>
          <w:b/>
          <w:bCs/>
          <w:sz w:val="24"/>
        </w:rPr>
        <w:t xml:space="preserve"> S</w:t>
      </w:r>
      <w:r>
        <w:rPr>
          <w:rFonts w:hint="eastAsia" w:ascii="Times New Roman" w:hAnsi="Times New Roman" w:cs="Times New Roman"/>
          <w:b/>
          <w:bCs/>
          <w:sz w:val="24"/>
        </w:rPr>
        <w:t>2</w:t>
      </w:r>
      <w:r>
        <w:rPr>
          <w:rFonts w:ascii="Times New Roman" w:hAnsi="Times New Roman" w:cs="Times New Roman"/>
          <w:b/>
          <w:bCs/>
          <w:sz w:val="24"/>
        </w:rPr>
        <w:t xml:space="preserve">. </w:t>
      </w:r>
      <w:r>
        <w:rPr>
          <w:rFonts w:ascii="Times New Roman" w:hAnsi="Times New Roman" w:cs="Times New Roman"/>
          <w:sz w:val="24"/>
        </w:rPr>
        <w:t xml:space="preserve">The molar ratio of SAHA encapsulated in liposomal vaccines was screened according to </w:t>
      </w:r>
      <w:r>
        <w:rPr>
          <w:rFonts w:hint="eastAsia" w:ascii="Times New Roman" w:hAnsi="Times New Roman" w:cs="Times New Roman"/>
          <w:sz w:val="24"/>
        </w:rPr>
        <w:t xml:space="preserve">encapsulation efficiency. The molar ratio of SAHA: DSPC was screened at 1:10,2:10, 4:10, 6:10, 8:10. </w:t>
      </w:r>
    </w:p>
    <w:p w14:paraId="3098D620">
      <w:pPr>
        <w:rPr>
          <w:rFonts w:ascii="Times New Roman" w:hAnsi="Times New Roman" w:cs="Times New Roman"/>
          <w:sz w:val="24"/>
        </w:rPr>
      </w:pPr>
    </w:p>
    <w:p w14:paraId="725B4ACF">
      <w:pPr>
        <w:jc w:val="center"/>
      </w:pPr>
    </w:p>
    <w:p w14:paraId="3351E874">
      <w:pPr>
        <w:jc w:val="center"/>
        <w:rPr>
          <w:rFonts w:ascii="Times New Roman" w:hAnsi="Times New Roman" w:cs="Times New Roman"/>
          <w:b/>
          <w:bCs/>
          <w:sz w:val="28"/>
          <w:szCs w:val="28"/>
        </w:rPr>
      </w:pPr>
      <w:r>
        <w:rPr>
          <w:rFonts w:ascii="Times New Roman" w:hAnsi="Times New Roman" w:cs="Times New Roman"/>
          <w:b/>
          <w:bCs/>
          <w:sz w:val="28"/>
          <w:szCs w:val="28"/>
        </w:rPr>
        <w:drawing>
          <wp:inline distT="0" distB="0" distL="114300" distR="114300">
            <wp:extent cx="5270500" cy="2786380"/>
            <wp:effectExtent l="0" t="0" r="0" b="0"/>
            <wp:docPr id="5" name="图片 5" descr="S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I-1"/>
                    <pic:cNvPicPr>
                      <a:picLocks noChangeAspect="1"/>
                    </pic:cNvPicPr>
                  </pic:nvPicPr>
                  <pic:blipFill>
                    <a:blip r:embed="rId6"/>
                    <a:stretch>
                      <a:fillRect/>
                    </a:stretch>
                  </pic:blipFill>
                  <pic:spPr>
                    <a:xfrm>
                      <a:off x="0" y="0"/>
                      <a:ext cx="5270500" cy="2786380"/>
                    </a:xfrm>
                    <a:prstGeom prst="rect">
                      <a:avLst/>
                    </a:prstGeom>
                  </pic:spPr>
                </pic:pic>
              </a:graphicData>
            </a:graphic>
          </wp:inline>
        </w:drawing>
      </w:r>
    </w:p>
    <w:p w14:paraId="684F6A5A">
      <w:pPr>
        <w:rPr>
          <w:rFonts w:ascii="Times New Roman" w:hAnsi="Times New Roman" w:cs="Times New Roman"/>
          <w:sz w:val="24"/>
        </w:rPr>
      </w:pPr>
      <w:bookmarkStart w:id="1" w:name="OLE_LINK1"/>
      <w:r>
        <w:rPr>
          <w:rFonts w:ascii="Times New Roman" w:hAnsi="Times New Roman" w:cs="Times New Roman"/>
          <w:b/>
          <w:bCs/>
          <w:sz w:val="24"/>
        </w:rPr>
        <w:t>Fig</w:t>
      </w:r>
      <w:r>
        <w:rPr>
          <w:rFonts w:hint="eastAsia" w:ascii="Times New Roman" w:hAnsi="Times New Roman" w:cs="Times New Roman"/>
          <w:b/>
          <w:bCs/>
          <w:sz w:val="24"/>
        </w:rPr>
        <w:t>.</w:t>
      </w:r>
      <w:r>
        <w:rPr>
          <w:rFonts w:ascii="Times New Roman" w:hAnsi="Times New Roman" w:cs="Times New Roman"/>
          <w:b/>
          <w:bCs/>
          <w:sz w:val="24"/>
        </w:rPr>
        <w:t xml:space="preserve"> S</w:t>
      </w:r>
      <w:r>
        <w:rPr>
          <w:rFonts w:hint="eastAsia" w:ascii="Times New Roman" w:hAnsi="Times New Roman" w:cs="Times New Roman"/>
          <w:b/>
          <w:bCs/>
          <w:sz w:val="24"/>
        </w:rPr>
        <w:t>3</w:t>
      </w:r>
      <w:r>
        <w:rPr>
          <w:rFonts w:ascii="Times New Roman" w:hAnsi="Times New Roman" w:cs="Times New Roman"/>
          <w:b/>
          <w:bCs/>
          <w:sz w:val="24"/>
        </w:rPr>
        <w:t xml:space="preserve">. </w:t>
      </w:r>
      <w:r>
        <w:rPr>
          <w:rFonts w:ascii="Times New Roman" w:hAnsi="Times New Roman" w:cs="Times New Roman"/>
          <w:sz w:val="24"/>
        </w:rPr>
        <w:t xml:space="preserve">The </w:t>
      </w:r>
      <w:r>
        <w:rPr>
          <w:rFonts w:hint="eastAsia" w:ascii="Times New Roman" w:hAnsi="Times New Roman" w:cs="Times New Roman"/>
          <w:sz w:val="24"/>
        </w:rPr>
        <w:t xml:space="preserve">selective cell toxicity </w:t>
      </w:r>
      <w:bookmarkEnd w:id="1"/>
      <w:r>
        <w:rPr>
          <w:rFonts w:ascii="Times New Roman" w:hAnsi="Times New Roman" w:cs="Times New Roman"/>
          <w:sz w:val="24"/>
        </w:rPr>
        <w:t>of SAHA</w:t>
      </w:r>
      <w:r>
        <w:rPr>
          <w:rFonts w:hint="eastAsia" w:ascii="Times New Roman" w:hAnsi="Times New Roman" w:cs="Times New Roman"/>
          <w:sz w:val="24"/>
        </w:rPr>
        <w:t>@</w:t>
      </w:r>
      <w:r>
        <w:rPr>
          <w:rFonts w:ascii="Times New Roman" w:hAnsi="Times New Roman" w:cs="Times New Roman"/>
          <w:sz w:val="24"/>
        </w:rPr>
        <w:t xml:space="preserve">liposomal vaccines to </w:t>
      </w:r>
      <w:r>
        <w:rPr>
          <w:rFonts w:hint="eastAsia" w:ascii="Times New Roman" w:hAnsi="Times New Roman" w:cs="Times New Roman"/>
          <w:sz w:val="24"/>
        </w:rPr>
        <w:t>B16-MUC1</w:t>
      </w:r>
      <w:r>
        <w:rPr>
          <w:rFonts w:ascii="Times New Roman" w:hAnsi="Times New Roman" w:cs="Times New Roman"/>
          <w:sz w:val="24"/>
        </w:rPr>
        <w:t xml:space="preserve"> cells but negligible toxicity to AML-12 cell. The </w:t>
      </w:r>
      <w:r>
        <w:rPr>
          <w:rFonts w:hint="eastAsia" w:ascii="Times New Roman" w:hAnsi="Times New Roman" w:cs="Times New Roman"/>
          <w:sz w:val="24"/>
        </w:rPr>
        <w:t>SAHA@</w:t>
      </w:r>
      <w:r>
        <w:rPr>
          <w:rFonts w:ascii="Times New Roman" w:hAnsi="Times New Roman" w:cs="Times New Roman"/>
          <w:sz w:val="24"/>
        </w:rPr>
        <w:t xml:space="preserve">liposomal vaccines were composed of </w:t>
      </w:r>
      <w:r>
        <w:rPr>
          <w:rFonts w:ascii="Times New Roman" w:hAnsi="Times New Roman" w:eastAsia="宋体" w:cs="Times New Roman"/>
          <w:sz w:val="24"/>
        </w:rPr>
        <w:t xml:space="preserve">MUC1 antigens, </w:t>
      </w:r>
      <w:bookmarkStart w:id="2" w:name="OLE_LINK10"/>
      <w:r>
        <w:rPr>
          <w:rFonts w:ascii="Times New Roman" w:hAnsi="Times New Roman" w:eastAsia="宋体" w:cs="Times New Roman"/>
          <w:sz w:val="24"/>
        </w:rPr>
        <w:t>αGalcer</w:t>
      </w:r>
      <w:bookmarkEnd w:id="2"/>
      <w:r>
        <w:rPr>
          <w:rFonts w:ascii="Times New Roman" w:hAnsi="Times New Roman" w:eastAsia="宋体" w:cs="Times New Roman"/>
          <w:sz w:val="24"/>
        </w:rPr>
        <w:t>, DSPC,</w:t>
      </w:r>
      <w:r>
        <w:rPr>
          <w:rFonts w:hint="eastAsia" w:ascii="Times New Roman" w:hAnsi="Times New Roman" w:eastAsia="宋体" w:cs="Times New Roman"/>
          <w:sz w:val="24"/>
        </w:rPr>
        <w:t xml:space="preserve"> </w:t>
      </w:r>
      <w:bookmarkStart w:id="3" w:name="OLE_LINK8"/>
      <w:r>
        <w:rPr>
          <w:rFonts w:ascii="Times New Roman" w:hAnsi="Times New Roman" w:eastAsia="宋体" w:cs="Times New Roman"/>
          <w:sz w:val="24"/>
        </w:rPr>
        <w:t>cholesterol</w:t>
      </w:r>
      <w:bookmarkEnd w:id="3"/>
      <w:r>
        <w:rPr>
          <w:rFonts w:hint="eastAsia" w:ascii="Times New Roman" w:hAnsi="Times New Roman" w:eastAsia="宋体" w:cs="Times New Roman"/>
          <w:sz w:val="24"/>
        </w:rPr>
        <w:t xml:space="preserve"> and SAHA</w:t>
      </w:r>
      <w:r>
        <w:rPr>
          <w:rFonts w:ascii="Times New Roman" w:hAnsi="Times New Roman" w:eastAsia="宋体" w:cs="Times New Roman"/>
          <w:sz w:val="24"/>
        </w:rPr>
        <w:t>(a</w:t>
      </w:r>
      <w:bookmarkStart w:id="4" w:name="OLE_LINK16"/>
      <w:r>
        <w:rPr>
          <w:rFonts w:ascii="Times New Roman" w:hAnsi="Times New Roman" w:eastAsia="宋体" w:cs="Times New Roman"/>
          <w:sz w:val="24"/>
        </w:rPr>
        <w:t xml:space="preserve"> 10:5:50:40</w:t>
      </w:r>
      <w:bookmarkEnd w:id="4"/>
      <w:r>
        <w:rPr>
          <w:rFonts w:ascii="Times New Roman" w:hAnsi="Times New Roman" w:eastAsia="宋体" w:cs="Times New Roman"/>
          <w:sz w:val="24"/>
        </w:rPr>
        <w:t xml:space="preserve"> </w:t>
      </w:r>
      <w:r>
        <w:rPr>
          <w:rFonts w:hint="eastAsia" w:ascii="Times New Roman" w:hAnsi="Times New Roman" w:eastAsia="宋体" w:cs="Times New Roman"/>
          <w:sz w:val="24"/>
        </w:rPr>
        <w:t>:5</w:t>
      </w:r>
      <w:r>
        <w:rPr>
          <w:rFonts w:ascii="Times New Roman" w:hAnsi="Times New Roman" w:eastAsia="宋体" w:cs="Times New Roman"/>
          <w:sz w:val="24"/>
        </w:rPr>
        <w:t xml:space="preserve">molar ratio). The </w:t>
      </w:r>
      <w:r>
        <w:rPr>
          <w:rFonts w:hint="eastAsia" w:ascii="Times New Roman" w:hAnsi="Times New Roman" w:eastAsia="宋体" w:cs="Times New Roman"/>
          <w:sz w:val="24"/>
        </w:rPr>
        <w:t xml:space="preserve">final concentration of </w:t>
      </w:r>
      <w:r>
        <w:rPr>
          <w:rFonts w:ascii="Times New Roman" w:hAnsi="Times New Roman" w:eastAsia="宋体" w:cs="Times New Roman"/>
          <w:sz w:val="24"/>
        </w:rPr>
        <w:t xml:space="preserve">SAHA </w:t>
      </w:r>
      <w:r>
        <w:rPr>
          <w:rFonts w:hint="eastAsia" w:ascii="Times New Roman" w:hAnsi="Times New Roman" w:eastAsia="宋体" w:cs="Times New Roman"/>
          <w:sz w:val="24"/>
        </w:rPr>
        <w:t>was</w:t>
      </w:r>
      <w:r>
        <w:rPr>
          <w:rFonts w:ascii="Times New Roman" w:hAnsi="Times New Roman" w:eastAsia="宋体" w:cs="Times New Roman"/>
          <w:sz w:val="24"/>
        </w:rPr>
        <w:t xml:space="preserve"> 0 μM</w:t>
      </w:r>
      <w:r>
        <w:rPr>
          <w:rFonts w:hint="eastAsia" w:ascii="Times New Roman" w:hAnsi="Times New Roman" w:eastAsia="宋体" w:cs="Times New Roman"/>
          <w:sz w:val="24"/>
        </w:rPr>
        <w:t xml:space="preserve">, 2.5 </w:t>
      </w:r>
      <w:r>
        <w:rPr>
          <w:rFonts w:ascii="Times New Roman" w:hAnsi="Times New Roman" w:eastAsia="宋体" w:cs="Times New Roman"/>
          <w:sz w:val="24"/>
        </w:rPr>
        <w:t>μM</w:t>
      </w:r>
      <w:r>
        <w:rPr>
          <w:rFonts w:hint="eastAsia" w:ascii="Times New Roman" w:hAnsi="Times New Roman" w:eastAsia="宋体" w:cs="Times New Roman"/>
          <w:sz w:val="24"/>
        </w:rPr>
        <w:t xml:space="preserve">, 5 </w:t>
      </w:r>
      <w:r>
        <w:rPr>
          <w:rFonts w:ascii="Times New Roman" w:hAnsi="Times New Roman" w:eastAsia="宋体" w:cs="Times New Roman"/>
          <w:sz w:val="24"/>
        </w:rPr>
        <w:t>μM</w:t>
      </w:r>
      <w:r>
        <w:rPr>
          <w:rFonts w:hint="eastAsia" w:ascii="Times New Roman" w:hAnsi="Times New Roman" w:eastAsia="宋体" w:cs="Times New Roman"/>
          <w:sz w:val="24"/>
        </w:rPr>
        <w:t xml:space="preserve">, 10 </w:t>
      </w:r>
      <w:r>
        <w:rPr>
          <w:rFonts w:ascii="Times New Roman" w:hAnsi="Times New Roman" w:eastAsia="宋体" w:cs="Times New Roman"/>
          <w:sz w:val="24"/>
        </w:rPr>
        <w:t>μM</w:t>
      </w:r>
      <w:r>
        <w:rPr>
          <w:rFonts w:hint="eastAsia" w:ascii="Times New Roman" w:hAnsi="Times New Roman" w:eastAsia="宋体" w:cs="Times New Roman"/>
          <w:sz w:val="24"/>
        </w:rPr>
        <w:t>, respectively.</w:t>
      </w:r>
    </w:p>
    <w:p w14:paraId="49AFF216">
      <w:pPr>
        <w:rPr>
          <w:rFonts w:ascii="Times New Roman" w:hAnsi="Times New Roman" w:cs="Times New Roman"/>
        </w:rPr>
      </w:pPr>
    </w:p>
    <w:p w14:paraId="6406E29D">
      <w:pPr>
        <w:rPr>
          <w:rFonts w:ascii="Times New Roman" w:hAnsi="Times New Roman" w:cs="Times New Roman"/>
        </w:rPr>
      </w:pPr>
      <w:r>
        <w:drawing>
          <wp:inline distT="0" distB="0" distL="114300" distR="114300">
            <wp:extent cx="5267325" cy="1918970"/>
            <wp:effectExtent l="0" t="0" r="0" b="508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7"/>
                    <a:stretch>
                      <a:fillRect/>
                    </a:stretch>
                  </pic:blipFill>
                  <pic:spPr>
                    <a:xfrm>
                      <a:off x="0" y="0"/>
                      <a:ext cx="5267325" cy="1918970"/>
                    </a:xfrm>
                    <a:prstGeom prst="rect">
                      <a:avLst/>
                    </a:prstGeom>
                    <a:noFill/>
                    <a:ln>
                      <a:noFill/>
                    </a:ln>
                  </pic:spPr>
                </pic:pic>
              </a:graphicData>
            </a:graphic>
          </wp:inline>
        </w:drawing>
      </w:r>
    </w:p>
    <w:p w14:paraId="279CD599">
      <w:pPr>
        <w:rPr>
          <w:rFonts w:ascii="Times New Roman" w:hAnsi="Times New Roman" w:cs="Times New Roman"/>
          <w:sz w:val="24"/>
        </w:rPr>
      </w:pPr>
      <w:r>
        <w:rPr>
          <w:rFonts w:hint="eastAsia" w:ascii="Times New Roman" w:hAnsi="Times New Roman" w:cs="Times New Roman"/>
          <w:b/>
          <w:sz w:val="24"/>
        </w:rPr>
        <w:t>F</w:t>
      </w:r>
      <w:r>
        <w:rPr>
          <w:rFonts w:ascii="Times New Roman" w:hAnsi="Times New Roman" w:cs="Times New Roman"/>
          <w:b/>
          <w:sz w:val="24"/>
        </w:rPr>
        <w:t>ig.S4.</w:t>
      </w:r>
      <w:r>
        <w:rPr>
          <w:rFonts w:ascii="Times New Roman" w:hAnsi="Times New Roman" w:cs="Times New Roman"/>
          <w:sz w:val="24"/>
        </w:rPr>
        <w:t xml:space="preserve"> Evaluation of tumor growth inhibition in subcutaneous liver cancer bearing mouse model by different treatment regimens (n=5). (A) Photograph of tumor samples collected from mice in each treatment group. (B) A line chart depicting the temporal progression of tumor size. (Ns, no signiﬁcant diﬀerence; *p&lt;0.05; **p&lt;0.01; ***p&lt;0.001).</w:t>
      </w:r>
    </w:p>
    <w:p w14:paraId="73FBA9D2">
      <w:pPr>
        <w:rPr>
          <w:rFonts w:ascii="Times New Roman" w:hAnsi="Times New Roman" w:cs="Times New Roman"/>
        </w:rPr>
      </w:pPr>
    </w:p>
    <w:p w14:paraId="0842F336">
      <w:pPr>
        <w:rPr>
          <w:rFonts w:ascii="Times New Roman" w:hAnsi="Times New Roman" w:cs="Times New Roman"/>
        </w:rPr>
      </w:pPr>
    </w:p>
    <w:p w14:paraId="19A0864D">
      <w:pPr>
        <w:rPr>
          <w:rFonts w:ascii="Times New Roman" w:hAnsi="Times New Roman" w:cs="Times New Roman"/>
        </w:rPr>
      </w:pPr>
      <w:r>
        <w:rPr>
          <w:rFonts w:ascii="Times New Roman" w:hAnsi="Times New Roman" w:cs="Times New Roman"/>
          <w:sz w:val="24"/>
        </w:rPr>
        <w:drawing>
          <wp:inline distT="0" distB="0" distL="114300" distR="114300">
            <wp:extent cx="5269865" cy="4476750"/>
            <wp:effectExtent l="0" t="0" r="0" b="0"/>
            <wp:docPr id="9" name="图片 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1"/>
                    <pic:cNvPicPr>
                      <a:picLocks noChangeAspect="1"/>
                    </pic:cNvPicPr>
                  </pic:nvPicPr>
                  <pic:blipFill>
                    <a:blip r:embed="rId8"/>
                    <a:stretch>
                      <a:fillRect/>
                    </a:stretch>
                  </pic:blipFill>
                  <pic:spPr>
                    <a:xfrm>
                      <a:off x="0" y="0"/>
                      <a:ext cx="5269865" cy="4476750"/>
                    </a:xfrm>
                    <a:prstGeom prst="rect">
                      <a:avLst/>
                    </a:prstGeom>
                  </pic:spPr>
                </pic:pic>
              </a:graphicData>
            </a:graphic>
          </wp:inline>
        </w:drawing>
      </w:r>
    </w:p>
    <w:p w14:paraId="3E4D03F3">
      <w:pPr>
        <w:widowControl/>
        <w:rPr>
          <w:rFonts w:ascii="Times New Roman" w:hAnsi="Times New Roman" w:cs="Times New Roman"/>
          <w:sz w:val="24"/>
        </w:rPr>
      </w:pPr>
      <w:r>
        <w:rPr>
          <w:rFonts w:ascii="Times New Roman" w:hAnsi="Times New Roman" w:cs="Times New Roman"/>
          <w:b/>
          <w:bCs/>
          <w:sz w:val="24"/>
        </w:rPr>
        <w:t>Fig</w:t>
      </w:r>
      <w:r>
        <w:rPr>
          <w:rFonts w:hint="eastAsia" w:ascii="Times New Roman" w:hAnsi="Times New Roman" w:cs="Times New Roman"/>
          <w:b/>
          <w:bCs/>
          <w:sz w:val="24"/>
        </w:rPr>
        <w:t>.</w:t>
      </w:r>
      <w:r>
        <w:rPr>
          <w:rFonts w:ascii="Times New Roman" w:hAnsi="Times New Roman" w:cs="Times New Roman"/>
          <w:b/>
          <w:bCs/>
          <w:sz w:val="24"/>
        </w:rPr>
        <w:t xml:space="preserve"> S5</w:t>
      </w:r>
      <w:r>
        <w:rPr>
          <w:rFonts w:hint="eastAsia" w:ascii="Times New Roman" w:hAnsi="Times New Roman" w:cs="Times New Roman"/>
          <w:b/>
          <w:bCs/>
          <w:sz w:val="24"/>
        </w:rPr>
        <w:t>.</w:t>
      </w:r>
      <w:r>
        <w:rPr>
          <w:rFonts w:ascii="Times New Roman" w:hAnsi="Times New Roman" w:cs="Times New Roman"/>
          <w:b/>
          <w:bCs/>
          <w:sz w:val="24"/>
        </w:rPr>
        <w:t xml:space="preserve"> </w:t>
      </w:r>
      <w:r>
        <w:rPr>
          <w:rFonts w:ascii="Times New Roman" w:hAnsi="Times New Roman" w:cs="Times New Roman"/>
          <w:b w:val="0"/>
          <w:bCs/>
          <w:sz w:val="24"/>
        </w:rPr>
        <w:t xml:space="preserve">Quantification of </w:t>
      </w:r>
      <w:r>
        <w:rPr>
          <w:rFonts w:ascii="Times New Roman" w:hAnsi="Times New Roman" w:cs="Times New Roman"/>
          <w:bCs/>
          <w:sz w:val="24"/>
        </w:rPr>
        <w:t>i</w:t>
      </w:r>
      <w:r>
        <w:rPr>
          <w:rFonts w:ascii="Times New Roman" w:hAnsi="Times New Roman" w:cs="Times New Roman"/>
          <w:b w:val="0"/>
          <w:bCs/>
          <w:sz w:val="24"/>
        </w:rPr>
        <w:t xml:space="preserve">mmune </w:t>
      </w:r>
      <w:r>
        <w:rPr>
          <w:rFonts w:ascii="Times New Roman" w:hAnsi="Times New Roman" w:cs="Times New Roman"/>
          <w:bCs/>
          <w:sz w:val="24"/>
        </w:rPr>
        <w:t>c</w:t>
      </w:r>
      <w:r>
        <w:rPr>
          <w:rFonts w:ascii="Times New Roman" w:hAnsi="Times New Roman" w:cs="Times New Roman"/>
          <w:b w:val="0"/>
          <w:bCs/>
          <w:sz w:val="24"/>
        </w:rPr>
        <w:t xml:space="preserve">ell </w:t>
      </w:r>
      <w:r>
        <w:rPr>
          <w:rFonts w:ascii="Times New Roman" w:hAnsi="Times New Roman" w:cs="Times New Roman"/>
          <w:bCs/>
          <w:sz w:val="24"/>
        </w:rPr>
        <w:t>i</w:t>
      </w:r>
      <w:r>
        <w:rPr>
          <w:rFonts w:ascii="Times New Roman" w:hAnsi="Times New Roman" w:cs="Times New Roman"/>
          <w:b w:val="0"/>
          <w:bCs/>
          <w:sz w:val="24"/>
        </w:rPr>
        <w:t xml:space="preserve">nfiltration in </w:t>
      </w:r>
      <w:r>
        <w:rPr>
          <w:rFonts w:ascii="Times New Roman" w:hAnsi="Times New Roman" w:eastAsia="宋体" w:cs="Times New Roman"/>
          <w:sz w:val="24"/>
          <w:shd w:val="clear" w:color="auto" w:fill="FFFFFF"/>
        </w:rPr>
        <w:t>melanoma</w:t>
      </w:r>
      <w:r>
        <w:rPr>
          <w:rFonts w:hint="eastAsia" w:ascii="Times New Roman" w:hAnsi="Times New Roman" w:eastAsia="宋体" w:cs="Times New Roman"/>
          <w:sz w:val="24"/>
          <w:shd w:val="clear" w:color="auto" w:fill="FFFFFF"/>
          <w:lang w:val="en-US" w:eastAsia="zh-CN"/>
        </w:rPr>
        <w:t xml:space="preserve"> </w:t>
      </w:r>
      <w:bookmarkStart w:id="5" w:name="_GoBack"/>
      <w:bookmarkEnd w:id="5"/>
      <w:r>
        <w:rPr>
          <w:rFonts w:ascii="Times New Roman" w:hAnsi="Times New Roman" w:cs="Times New Roman"/>
          <w:bCs/>
          <w:sz w:val="24"/>
        </w:rPr>
        <w:t>t</w:t>
      </w:r>
      <w:r>
        <w:rPr>
          <w:rFonts w:ascii="Times New Roman" w:hAnsi="Times New Roman" w:cs="Times New Roman"/>
          <w:b w:val="0"/>
          <w:bCs/>
          <w:sz w:val="24"/>
        </w:rPr>
        <w:t xml:space="preserve">umor </w:t>
      </w:r>
      <w:r>
        <w:rPr>
          <w:rFonts w:ascii="Times New Roman" w:hAnsi="Times New Roman" w:cs="Times New Roman"/>
          <w:bCs/>
          <w:sz w:val="24"/>
        </w:rPr>
        <w:t>t</w:t>
      </w:r>
      <w:r>
        <w:rPr>
          <w:rFonts w:ascii="Times New Roman" w:hAnsi="Times New Roman" w:cs="Times New Roman"/>
          <w:b w:val="0"/>
          <w:bCs/>
          <w:sz w:val="24"/>
        </w:rPr>
        <w:t xml:space="preserve">issues </w:t>
      </w:r>
      <w:r>
        <w:rPr>
          <w:rFonts w:ascii="Times New Roman" w:hAnsi="Times New Roman" w:cs="Times New Roman"/>
          <w:bCs/>
          <w:sz w:val="24"/>
        </w:rPr>
        <w:t>f</w:t>
      </w:r>
      <w:r>
        <w:rPr>
          <w:rFonts w:ascii="Times New Roman" w:hAnsi="Times New Roman" w:cs="Times New Roman"/>
          <w:b w:val="0"/>
          <w:bCs/>
          <w:sz w:val="24"/>
        </w:rPr>
        <w:t xml:space="preserve">ollowing </w:t>
      </w:r>
      <w:r>
        <w:rPr>
          <w:rFonts w:ascii="Times New Roman" w:hAnsi="Times New Roman" w:cs="Times New Roman"/>
          <w:bCs/>
          <w:sz w:val="24"/>
        </w:rPr>
        <w:t>v</w:t>
      </w:r>
      <w:r>
        <w:rPr>
          <w:rFonts w:ascii="Times New Roman" w:hAnsi="Times New Roman" w:cs="Times New Roman"/>
          <w:b w:val="0"/>
          <w:bCs/>
          <w:sz w:val="24"/>
        </w:rPr>
        <w:t xml:space="preserve">arious </w:t>
      </w:r>
      <w:r>
        <w:rPr>
          <w:rFonts w:ascii="Times New Roman" w:hAnsi="Times New Roman" w:cs="Times New Roman"/>
          <w:bCs/>
          <w:sz w:val="24"/>
        </w:rPr>
        <w:t>t</w:t>
      </w:r>
      <w:r>
        <w:rPr>
          <w:rFonts w:ascii="Times New Roman" w:hAnsi="Times New Roman" w:cs="Times New Roman"/>
          <w:b w:val="0"/>
          <w:bCs/>
          <w:sz w:val="24"/>
        </w:rPr>
        <w:t xml:space="preserve">reatments. </w:t>
      </w:r>
      <w:r>
        <w:rPr>
          <w:rFonts w:hint="eastAsia" w:ascii="Times New Roman" w:hAnsi="Times New Roman" w:cs="Times New Roman"/>
          <w:sz w:val="24"/>
        </w:rPr>
        <w:t>(</w:t>
      </w:r>
      <w:r>
        <w:rPr>
          <w:rFonts w:ascii="Times New Roman" w:hAnsi="Times New Roman" w:cs="Times New Roman"/>
          <w:sz w:val="24"/>
        </w:rPr>
        <w:t>A</w:t>
      </w:r>
      <w:r>
        <w:rPr>
          <w:rFonts w:hint="eastAsia" w:ascii="Times New Roman" w:hAnsi="Times New Roman" w:cs="Times New Roman"/>
          <w:sz w:val="24"/>
        </w:rPr>
        <w:t>)</w:t>
      </w:r>
      <w:r>
        <w:rPr>
          <w:rFonts w:ascii="Times New Roman" w:hAnsi="Times New Roman" w:cs="Times New Roman"/>
          <w:sz w:val="24"/>
        </w:rPr>
        <w:t xml:space="preserve"> Representative immunofluorescence of CD</w:t>
      </w:r>
      <w:r>
        <w:rPr>
          <w:rFonts w:hint="eastAsia" w:ascii="Times New Roman" w:hAnsi="Times New Roman" w:cs="Times New Roman"/>
          <w:sz w:val="24"/>
        </w:rPr>
        <w:t>4</w:t>
      </w:r>
      <w:r>
        <w:rPr>
          <w:rFonts w:ascii="Times New Roman" w:hAnsi="Times New Roman" w:cs="Times New Roman"/>
          <w:sz w:val="24"/>
          <w:vertAlign w:val="superscript"/>
        </w:rPr>
        <w:t>+</w:t>
      </w:r>
      <w:r>
        <w:rPr>
          <w:rFonts w:ascii="Times New Roman" w:hAnsi="Times New Roman" w:cs="Times New Roman"/>
          <w:sz w:val="24"/>
        </w:rPr>
        <w:t>T cells</w:t>
      </w:r>
      <w:r>
        <w:rPr>
          <w:rFonts w:hint="eastAsia" w:ascii="Times New Roman" w:hAnsi="Times New Roman" w:cs="Times New Roman"/>
          <w:sz w:val="24"/>
        </w:rPr>
        <w:t xml:space="preserve">, </w:t>
      </w:r>
      <w:r>
        <w:rPr>
          <w:rFonts w:ascii="Times New Roman" w:hAnsi="Times New Roman" w:cs="Times New Roman"/>
          <w:sz w:val="24"/>
        </w:rPr>
        <w:t>CD8</w:t>
      </w:r>
      <w:r>
        <w:rPr>
          <w:rFonts w:ascii="Times New Roman" w:hAnsi="Times New Roman" w:cs="Times New Roman"/>
          <w:sz w:val="24"/>
          <w:vertAlign w:val="superscript"/>
        </w:rPr>
        <w:t>+</w:t>
      </w:r>
      <w:r>
        <w:rPr>
          <w:rFonts w:ascii="Times New Roman" w:hAnsi="Times New Roman" w:cs="Times New Roman"/>
          <w:sz w:val="24"/>
        </w:rPr>
        <w:t xml:space="preserve">T cells and NK cells in tumors; </w:t>
      </w:r>
      <w:r>
        <w:rPr>
          <w:rFonts w:hint="eastAsia" w:ascii="Times New Roman" w:hAnsi="Times New Roman" w:cs="Times New Roman"/>
          <w:sz w:val="24"/>
        </w:rPr>
        <w:t>(</w:t>
      </w:r>
      <w:r>
        <w:rPr>
          <w:rFonts w:ascii="Times New Roman" w:hAnsi="Times New Roman" w:cs="Times New Roman"/>
          <w:sz w:val="24"/>
        </w:rPr>
        <w:t>B-</w:t>
      </w:r>
      <w:r>
        <w:rPr>
          <w:rFonts w:hint="eastAsia" w:ascii="Times New Roman" w:hAnsi="Times New Roman" w:cs="Times New Roman"/>
          <w:sz w:val="24"/>
        </w:rPr>
        <w:t>D)</w:t>
      </w:r>
      <w:r>
        <w:rPr>
          <w:rFonts w:ascii="Times New Roman" w:hAnsi="Times New Roman" w:cs="Times New Roman"/>
          <w:sz w:val="24"/>
        </w:rPr>
        <w:t xml:space="preserve"> Quantitative analysis of the percentages of CD</w:t>
      </w:r>
      <w:r>
        <w:rPr>
          <w:rFonts w:hint="eastAsia" w:ascii="Times New Roman" w:hAnsi="Times New Roman" w:cs="Times New Roman"/>
          <w:sz w:val="24"/>
        </w:rPr>
        <w:t>4</w:t>
      </w:r>
      <w:r>
        <w:rPr>
          <w:rFonts w:ascii="Times New Roman" w:hAnsi="Times New Roman" w:cs="Times New Roman"/>
          <w:sz w:val="24"/>
          <w:vertAlign w:val="superscript"/>
        </w:rPr>
        <w:t>+</w:t>
      </w:r>
      <w:r>
        <w:rPr>
          <w:rFonts w:ascii="Times New Roman" w:hAnsi="Times New Roman" w:cs="Times New Roman"/>
          <w:sz w:val="24"/>
        </w:rPr>
        <w:t>T cells</w:t>
      </w:r>
      <w:r>
        <w:rPr>
          <w:rFonts w:hint="eastAsia" w:ascii="Times New Roman" w:hAnsi="Times New Roman" w:cs="Times New Roman"/>
          <w:sz w:val="24"/>
        </w:rPr>
        <w:t xml:space="preserve">, </w:t>
      </w:r>
      <w:r>
        <w:rPr>
          <w:rFonts w:ascii="Times New Roman" w:hAnsi="Times New Roman" w:cs="Times New Roman"/>
          <w:sz w:val="24"/>
        </w:rPr>
        <w:t>CD8</w:t>
      </w:r>
      <w:r>
        <w:rPr>
          <w:rFonts w:ascii="Times New Roman" w:hAnsi="Times New Roman" w:cs="Times New Roman"/>
          <w:sz w:val="24"/>
          <w:vertAlign w:val="superscript"/>
        </w:rPr>
        <w:t>+</w:t>
      </w:r>
      <w:r>
        <w:rPr>
          <w:rFonts w:ascii="Times New Roman" w:hAnsi="Times New Roman" w:cs="Times New Roman"/>
          <w:sz w:val="24"/>
        </w:rPr>
        <w:t>T cells and NK cells in tumors 14 days after treatments. (Ns, no significant difference; *p&lt;0.05; **p&lt;0.01; ***p&lt;0.001).</w:t>
      </w:r>
    </w:p>
    <w:p w14:paraId="4138F78D">
      <w:pPr>
        <w:rPr>
          <w:rFonts w:ascii="Times New Roman" w:hAnsi="Times New Roman" w:cs="Times New Roman"/>
        </w:rPr>
      </w:pPr>
    </w:p>
    <w:p w14:paraId="0EEF334A">
      <w:pPr>
        <w:rPr>
          <w:rFonts w:hint="eastAsia" w:ascii="Times New Roman" w:hAnsi="Times New Roman" w:cs="Times New Roman"/>
        </w:rPr>
      </w:pPr>
    </w:p>
    <w:p w14:paraId="7DE70556">
      <w:pPr>
        <w:rPr>
          <w:rFonts w:ascii="Times New Roman" w:hAnsi="Times New Roman" w:cs="Times New Roman"/>
        </w:rPr>
      </w:pPr>
      <w:r>
        <w:drawing>
          <wp:inline distT="0" distB="0" distL="114300" distR="114300">
            <wp:extent cx="5264785" cy="576961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5264785" cy="5769610"/>
                    </a:xfrm>
                    <a:prstGeom prst="rect">
                      <a:avLst/>
                    </a:prstGeom>
                    <a:noFill/>
                    <a:ln>
                      <a:noFill/>
                    </a:ln>
                  </pic:spPr>
                </pic:pic>
              </a:graphicData>
            </a:graphic>
          </wp:inline>
        </w:drawing>
      </w:r>
    </w:p>
    <w:p w14:paraId="7CE8780C">
      <w:pPr>
        <w:rPr>
          <w:rFonts w:ascii="Times New Roman" w:hAnsi="Times New Roman" w:cs="Times New Roman"/>
          <w:sz w:val="24"/>
        </w:rPr>
      </w:pPr>
      <w:r>
        <w:rPr>
          <w:rFonts w:hint="default" w:ascii="Times New Roman" w:hAnsi="Times New Roman" w:cs="Times New Roman"/>
          <w:b/>
          <w:sz w:val="24"/>
        </w:rPr>
        <w:t>F</w:t>
      </w:r>
      <w:r>
        <w:rPr>
          <w:rFonts w:ascii="Times New Roman" w:hAnsi="Times New Roman" w:cs="Times New Roman"/>
          <w:b/>
          <w:sz w:val="24"/>
        </w:rPr>
        <w:t>ig. S6.</w:t>
      </w:r>
      <w:r>
        <w:rPr>
          <w:rFonts w:ascii="Times New Roman" w:hAnsi="Times New Roman" w:cs="Times New Roman"/>
          <w:sz w:val="24"/>
        </w:rPr>
        <w:t xml:space="preserve"> </w:t>
      </w:r>
      <w:r>
        <w:rPr>
          <w:rFonts w:hint="default" w:ascii="Times New Roman" w:hAnsi="Times New Roman" w:cs="Times New Roman"/>
          <w:sz w:val="24"/>
        </w:rPr>
        <w:t xml:space="preserve">Enhanced anti-tumor immunity after SAHA@liposomal vaccine+QR-KLU </w:t>
      </w:r>
      <w:r>
        <w:rPr>
          <w:rFonts w:ascii="Times New Roman" w:hAnsi="Times New Roman" w:cs="Times New Roman"/>
          <w:sz w:val="24"/>
        </w:rPr>
        <w:t xml:space="preserve">in liver cancer bearing mice model </w:t>
      </w:r>
      <w:r>
        <w:rPr>
          <w:rFonts w:hint="default" w:ascii="Times New Roman" w:hAnsi="Times New Roman" w:cs="Times New Roman"/>
          <w:sz w:val="24"/>
        </w:rPr>
        <w:t>(n=5). (A) Representative dot plots of CD8</w:t>
      </w:r>
      <w:r>
        <w:rPr>
          <w:rFonts w:hint="default" w:ascii="Times New Roman" w:hAnsi="Times New Roman" w:cs="Times New Roman"/>
          <w:sz w:val="24"/>
          <w:vertAlign w:val="superscript"/>
        </w:rPr>
        <w:t>+</w:t>
      </w:r>
      <w:r>
        <w:rPr>
          <w:rFonts w:hint="default" w:ascii="Times New Roman" w:hAnsi="Times New Roman" w:cs="Times New Roman"/>
          <w:sz w:val="24"/>
        </w:rPr>
        <w:t>T cells, NK cells, and TAM of tumors；(B-D) Quantitative analysis of the percentages of CD8</w:t>
      </w:r>
      <w:r>
        <w:rPr>
          <w:rFonts w:hint="default" w:ascii="Times New Roman" w:hAnsi="Times New Roman" w:cs="Times New Roman"/>
          <w:sz w:val="24"/>
          <w:vertAlign w:val="superscript"/>
        </w:rPr>
        <w:t xml:space="preserve">+ </w:t>
      </w:r>
      <w:r>
        <w:rPr>
          <w:rFonts w:hint="default" w:ascii="Times New Roman" w:hAnsi="Times New Roman" w:cs="Times New Roman"/>
          <w:sz w:val="24"/>
        </w:rPr>
        <w:t>T cells, NK cells, and M2 in tumors 14 days after treatm</w:t>
      </w:r>
      <w:r>
        <w:rPr>
          <w:rFonts w:ascii="Times New Roman" w:hAnsi="Times New Roman" w:cs="Times New Roman"/>
          <w:sz w:val="24"/>
        </w:rPr>
        <w:t>ents. (Ns, no significant difference; *p&lt;0.05; **p&lt;0.01; ***p&lt;0.001).</w:t>
      </w:r>
    </w:p>
    <w:p w14:paraId="5B1F9D5C">
      <w:pPr>
        <w:rPr>
          <w:rFonts w:ascii="Times New Roman" w:hAnsi="Times New Roman" w:cs="Times New Roman"/>
        </w:rPr>
      </w:pPr>
    </w:p>
    <w:p w14:paraId="6E1BB339">
      <w:pPr>
        <w:rPr>
          <w:rFonts w:hint="eastAsia" w:ascii="Times New Roman" w:hAnsi="Times New Roman" w:cs="Times New Roman"/>
        </w:rPr>
      </w:pPr>
    </w:p>
    <w:p w14:paraId="0AE7D61E">
      <w:pPr>
        <w:rPr>
          <w:rFonts w:ascii="Times New Roman" w:hAnsi="Times New Roman" w:cs="Times New Roman"/>
        </w:rPr>
      </w:pPr>
    </w:p>
    <w:p w14:paraId="7B0DFADC">
      <w:pPr>
        <w:widowControl/>
        <w:spacing w:line="360" w:lineRule="auto"/>
        <w:rPr>
          <w:rFonts w:ascii="Times New Roman" w:hAnsi="Times New Roman" w:cs="Times New Roman"/>
        </w:rPr>
      </w:pPr>
    </w:p>
    <w:p w14:paraId="625DD271">
      <w:pPr>
        <w:widowControl/>
        <w:spacing w:line="360" w:lineRule="auto"/>
        <w:rPr>
          <w:rFonts w:ascii="Times New Roman" w:hAnsi="Times New Roman" w:cs="Times New Roman"/>
        </w:rPr>
      </w:pPr>
      <w:r>
        <w:rPr>
          <w:rFonts w:hint="eastAsia" w:ascii="Times New Roman" w:hAnsi="Times New Roman" w:cs="Times New Roman"/>
        </w:rPr>
        <w:drawing>
          <wp:inline distT="0" distB="0" distL="114300" distR="114300">
            <wp:extent cx="5260975" cy="4368165"/>
            <wp:effectExtent l="0" t="0" r="0" b="0"/>
            <wp:docPr id="6" name="图片 6"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3"/>
                    <pic:cNvPicPr>
                      <a:picLocks noChangeAspect="1"/>
                    </pic:cNvPicPr>
                  </pic:nvPicPr>
                  <pic:blipFill>
                    <a:blip r:embed="rId10"/>
                    <a:stretch>
                      <a:fillRect/>
                    </a:stretch>
                  </pic:blipFill>
                  <pic:spPr>
                    <a:xfrm>
                      <a:off x="0" y="0"/>
                      <a:ext cx="5260975" cy="4368165"/>
                    </a:xfrm>
                    <a:prstGeom prst="rect">
                      <a:avLst/>
                    </a:prstGeom>
                  </pic:spPr>
                </pic:pic>
              </a:graphicData>
            </a:graphic>
          </wp:inline>
        </w:drawing>
      </w:r>
    </w:p>
    <w:p w14:paraId="5E71B47A">
      <w:pPr>
        <w:rPr>
          <w:rFonts w:ascii="Times New Roman" w:hAnsi="Times New Roman" w:cs="Times New Roman"/>
          <w:sz w:val="24"/>
        </w:rPr>
      </w:pPr>
      <w:r>
        <w:rPr>
          <w:rFonts w:ascii="Times New Roman" w:hAnsi="Times New Roman" w:cs="Times New Roman"/>
          <w:b/>
          <w:bCs/>
          <w:sz w:val="24"/>
        </w:rPr>
        <w:t>Fig</w:t>
      </w:r>
      <w:r>
        <w:rPr>
          <w:rFonts w:hint="eastAsia" w:ascii="Times New Roman" w:hAnsi="Times New Roman" w:cs="Times New Roman"/>
          <w:b/>
          <w:bCs/>
          <w:sz w:val="24"/>
        </w:rPr>
        <w:t>.</w:t>
      </w:r>
      <w:r>
        <w:rPr>
          <w:rFonts w:ascii="Times New Roman" w:hAnsi="Times New Roman" w:cs="Times New Roman"/>
          <w:b/>
          <w:bCs/>
          <w:sz w:val="24"/>
        </w:rPr>
        <w:t xml:space="preserve"> S7</w:t>
      </w:r>
      <w:r>
        <w:rPr>
          <w:rFonts w:hint="eastAsia" w:ascii="Times New Roman" w:hAnsi="Times New Roman" w:cs="Times New Roman"/>
          <w:b/>
          <w:bCs/>
          <w:sz w:val="24"/>
        </w:rPr>
        <w:t>.</w:t>
      </w:r>
      <w:r>
        <w:rPr>
          <w:rFonts w:ascii="Times New Roman" w:hAnsi="Times New Roman" w:cs="Times New Roman"/>
          <w:sz w:val="24"/>
        </w:rPr>
        <w:t xml:space="preserve"> Safety assessment of SAHA@liposomal vaccine+QR-KLU therapy (n=5; </w:t>
      </w:r>
      <w:r>
        <w:rPr>
          <w:rFonts w:hint="eastAsia" w:ascii="Times New Roman" w:hAnsi="Times New Roman" w:cs="Times New Roman"/>
          <w:sz w:val="24"/>
        </w:rPr>
        <w:t>N</w:t>
      </w:r>
      <w:r>
        <w:rPr>
          <w:rFonts w:ascii="Times New Roman" w:hAnsi="Times New Roman" w:cs="Times New Roman"/>
          <w:sz w:val="24"/>
        </w:rPr>
        <w:t>s, no significant difference; *p&lt;0.05; **p&lt;0.01; ***p&lt;0.001).</w:t>
      </w:r>
    </w:p>
    <w:p w14:paraId="0E1F899B">
      <w:pPr>
        <w:rPr>
          <w:rFonts w:ascii="Times New Roman" w:hAnsi="Times New Roman" w:cs="Times New Roman"/>
          <w:sz w:val="24"/>
        </w:rPr>
      </w:pPr>
    </w:p>
    <w:p w14:paraId="6AEEC883">
      <w:pPr>
        <w:rPr>
          <w:rFonts w:ascii="Times New Roman" w:hAnsi="Times New Roman" w:cs="Times New Roman"/>
          <w:sz w:val="24"/>
        </w:rPr>
      </w:pPr>
      <w:r>
        <w:rPr>
          <w:rFonts w:ascii="Times New Roman" w:hAnsi="Times New Roman" w:cs="Times New Roman"/>
          <w:sz w:val="24"/>
        </w:rPr>
        <w:drawing>
          <wp:inline distT="0" distB="0" distL="0" distR="0">
            <wp:extent cx="5274310" cy="3580765"/>
            <wp:effectExtent l="0" t="0" r="254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274310" cy="3580765"/>
                    </a:xfrm>
                    <a:prstGeom prst="rect">
                      <a:avLst/>
                    </a:prstGeom>
                  </pic:spPr>
                </pic:pic>
              </a:graphicData>
            </a:graphic>
          </wp:inline>
        </w:drawing>
      </w:r>
    </w:p>
    <w:p w14:paraId="658F352F">
      <w:pPr>
        <w:rPr>
          <w:rFonts w:ascii="Times New Roman" w:hAnsi="Times New Roman" w:cs="Times New Roman"/>
          <w:sz w:val="24"/>
        </w:rPr>
      </w:pPr>
      <w:r>
        <w:rPr>
          <w:rFonts w:ascii="Times New Roman" w:hAnsi="Times New Roman" w:cs="Times New Roman"/>
          <w:b/>
          <w:sz w:val="24"/>
        </w:rPr>
        <w:t>Fig.S8</w:t>
      </w:r>
      <w:r>
        <w:rPr>
          <w:rFonts w:ascii="Times New Roman" w:hAnsi="Times New Roman" w:cs="Times New Roman"/>
          <w:sz w:val="24"/>
        </w:rPr>
        <w:t xml:space="preserve"> Histopathological analysis of major organs in mice following various treatments.</w:t>
      </w:r>
    </w:p>
    <w:p w14:paraId="41F845FC">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73FBA"/>
    <w:multiLevelType w:val="singleLevel"/>
    <w:tmpl w:val="9C873FB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3ODdmOGZmOGU4MjVhMzAwZTc3YzI1NjRhNTM5YmMifQ=="/>
  </w:docVars>
  <w:rsids>
    <w:rsidRoot w:val="00BB2A1C"/>
    <w:rsid w:val="00122BC3"/>
    <w:rsid w:val="002005E4"/>
    <w:rsid w:val="00467082"/>
    <w:rsid w:val="009B68BF"/>
    <w:rsid w:val="009D4A99"/>
    <w:rsid w:val="00A16429"/>
    <w:rsid w:val="00BB2A1C"/>
    <w:rsid w:val="00BE2CE8"/>
    <w:rsid w:val="00D07A78"/>
    <w:rsid w:val="00E22A83"/>
    <w:rsid w:val="00F2637D"/>
    <w:rsid w:val="00F277BC"/>
    <w:rsid w:val="00F84221"/>
    <w:rsid w:val="00FB2A9C"/>
    <w:rsid w:val="00FB5F39"/>
    <w:rsid w:val="05CF61DE"/>
    <w:rsid w:val="071546AD"/>
    <w:rsid w:val="15183070"/>
    <w:rsid w:val="1D3E5532"/>
    <w:rsid w:val="20621457"/>
    <w:rsid w:val="3CFA39D0"/>
    <w:rsid w:val="46A24756"/>
    <w:rsid w:val="48593E2E"/>
    <w:rsid w:val="49446ED4"/>
    <w:rsid w:val="5ECA4C3E"/>
    <w:rsid w:val="627C4C22"/>
    <w:rsid w:val="67BD26DA"/>
    <w:rsid w:val="684608D5"/>
    <w:rsid w:val="69877444"/>
    <w:rsid w:val="6C9562FA"/>
    <w:rsid w:val="726215AD"/>
    <w:rsid w:val="7660191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4"/>
    <w:autoRedefine/>
    <w:qFormat/>
    <w:uiPriority w:val="0"/>
    <w:pPr>
      <w:jc w:val="left"/>
    </w:pPr>
  </w:style>
  <w:style w:type="paragraph" w:styleId="4">
    <w:name w:val="Balloon Text"/>
    <w:basedOn w:val="1"/>
    <w:link w:val="16"/>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qFormat/>
    <w:uiPriority w:val="0"/>
    <w:rPr>
      <w:b/>
      <w:bCs/>
    </w:rPr>
  </w:style>
  <w:style w:type="character" w:styleId="10">
    <w:name w:val="Hyperlink"/>
    <w:basedOn w:val="9"/>
    <w:qFormat/>
    <w:uiPriority w:val="0"/>
    <w:rPr>
      <w:color w:val="0000FF"/>
      <w:u w:val="single"/>
    </w:rPr>
  </w:style>
  <w:style w:type="character" w:styleId="11">
    <w:name w:val="annotation reference"/>
    <w:basedOn w:val="9"/>
    <w:qFormat/>
    <w:uiPriority w:val="0"/>
    <w:rPr>
      <w:sz w:val="21"/>
      <w:szCs w:val="21"/>
    </w:rPr>
  </w:style>
  <w:style w:type="character" w:customStyle="1" w:styleId="12">
    <w:name w:val="页眉 字符"/>
    <w:basedOn w:val="9"/>
    <w:link w:val="6"/>
    <w:qFormat/>
    <w:uiPriority w:val="0"/>
    <w:rPr>
      <w:rFonts w:asciiTheme="minorHAnsi" w:hAnsiTheme="minorHAnsi" w:eastAsiaTheme="minorEastAsia" w:cstheme="minorBidi"/>
      <w:kern w:val="2"/>
      <w:sz w:val="18"/>
      <w:szCs w:val="18"/>
    </w:rPr>
  </w:style>
  <w:style w:type="character" w:customStyle="1" w:styleId="13">
    <w:name w:val="页脚 字符"/>
    <w:basedOn w:val="9"/>
    <w:link w:val="5"/>
    <w:qFormat/>
    <w:uiPriority w:val="0"/>
    <w:rPr>
      <w:rFonts w:asciiTheme="minorHAnsi" w:hAnsiTheme="minorHAnsi" w:eastAsiaTheme="minorEastAsia" w:cstheme="minorBidi"/>
      <w:kern w:val="2"/>
      <w:sz w:val="18"/>
      <w:szCs w:val="18"/>
    </w:rPr>
  </w:style>
  <w:style w:type="character" w:customStyle="1" w:styleId="14">
    <w:name w:val="批注文字 字符"/>
    <w:basedOn w:val="9"/>
    <w:link w:val="3"/>
    <w:qFormat/>
    <w:uiPriority w:val="0"/>
    <w:rPr>
      <w:rFonts w:asciiTheme="minorHAnsi" w:hAnsiTheme="minorHAnsi" w:eastAsiaTheme="minorEastAsia" w:cstheme="minorBidi"/>
      <w:kern w:val="2"/>
      <w:sz w:val="21"/>
      <w:szCs w:val="24"/>
    </w:rPr>
  </w:style>
  <w:style w:type="character" w:customStyle="1" w:styleId="15">
    <w:name w:val="批注主题 字符"/>
    <w:basedOn w:val="14"/>
    <w:link w:val="7"/>
    <w:qFormat/>
    <w:uiPriority w:val="0"/>
    <w:rPr>
      <w:rFonts w:asciiTheme="minorHAnsi" w:hAnsiTheme="minorHAnsi" w:eastAsiaTheme="minorEastAsia" w:cstheme="minorBidi"/>
      <w:b/>
      <w:bCs/>
      <w:kern w:val="2"/>
      <w:sz w:val="21"/>
      <w:szCs w:val="24"/>
    </w:rPr>
  </w:style>
  <w:style w:type="character" w:customStyle="1" w:styleId="16">
    <w:name w:val="批注框文本 字符"/>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tiff"/><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510</Words>
  <Characters>3132</Characters>
  <Lines>26</Lines>
  <Paragraphs>7</Paragraphs>
  <TotalTime>0</TotalTime>
  <ScaleCrop>false</ScaleCrop>
  <LinksUpToDate>false</LinksUpToDate>
  <CharactersWithSpaces>3618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2025-01-17T05:11:00Z</dcterms:created>
  <dc:creator>86185</dc:creator>
  <cp:lastModifiedBy>Messiah</cp:lastModifiedBy>
  <dcterms:modified xsi:type="dcterms:W3CDTF">2025-01-23T05:07:35Z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30326B28F9D64A53B175054E6A594E8E_13</vt:lpwstr>
  </property>
  <property fmtid="{D5CDD505-2E9C-101B-9397-08002B2CF9AE}" pid="4" name="KSOTemplateDocerSaveRecord">
    <vt:lpwstr>eyJoZGlkIjoiYjI3ODdmOGZmOGU4MjVhMzAwZTc3YzI1NjRhNTM5YmMiLCJ1c2VySWQiOiIzOTc2MDQ2ODEifQ==</vt:lpwstr>
  </property>
</Properties>
</file>