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E8C" w:rsidRDefault="00C10E8C" w:rsidP="00C10E8C">
      <w:pPr>
        <w:spacing w:line="480" w:lineRule="auto"/>
        <w:ind w:leftChars="-50" w:left="-11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Table 1. Measured salinity, measured DO, DO saturation, pH and temperature (mean ± SD) of the tank water from two tanks of </w:t>
      </w:r>
      <w:r>
        <w:rPr>
          <w:rFonts w:ascii="Times New Roman" w:hAnsi="Times New Roman"/>
          <w:i/>
          <w:sz w:val="20"/>
          <w:szCs w:val="20"/>
        </w:rPr>
        <w:t xml:space="preserve">H. </w:t>
      </w:r>
      <w:proofErr w:type="spellStart"/>
      <w:r>
        <w:rPr>
          <w:rFonts w:ascii="Times New Roman" w:hAnsi="Times New Roman"/>
          <w:i/>
          <w:sz w:val="20"/>
          <w:szCs w:val="20"/>
        </w:rPr>
        <w:t>diversicolor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for two months at five different nominal salinity levels.(No significant differences were found between tanks and among treatments (ANOVA, </w:t>
      </w:r>
      <w:proofErr w:type="spellStart"/>
      <w:r>
        <w:rPr>
          <w:rFonts w:ascii="Times New Roman" w:hAnsi="Times New Roman"/>
          <w:sz w:val="20"/>
          <w:szCs w:val="20"/>
        </w:rPr>
        <w:t>df</w:t>
      </w:r>
      <w:proofErr w:type="spellEnd"/>
      <w:r>
        <w:rPr>
          <w:rFonts w:ascii="Times New Roman" w:hAnsi="Times New Roman"/>
          <w:sz w:val="20"/>
          <w:szCs w:val="20"/>
        </w:rPr>
        <w:t>=4, P&gt;0.05)).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418"/>
        <w:gridCol w:w="1276"/>
        <w:gridCol w:w="141"/>
        <w:gridCol w:w="1276"/>
        <w:gridCol w:w="776"/>
        <w:gridCol w:w="75"/>
        <w:gridCol w:w="850"/>
        <w:gridCol w:w="11"/>
        <w:gridCol w:w="936"/>
      </w:tblGrid>
      <w:tr w:rsidR="00C10E8C" w:rsidTr="00DD7BAD">
        <w:trPr>
          <w:jc w:val="center"/>
        </w:trPr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Treatment Salinity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Measured DO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 saturation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</w:t>
            </w:r>
          </w:p>
        </w:tc>
        <w:tc>
          <w:tcPr>
            <w:tcW w:w="2648" w:type="dxa"/>
            <w:gridSpan w:val="5"/>
            <w:tcBorders>
              <w:top w:val="single" w:sz="4" w:space="0" w:color="auto"/>
            </w:tcBorders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Temperature</w:t>
            </w:r>
          </w:p>
        </w:tc>
      </w:tr>
      <w:tr w:rsidR="00C10E8C" w:rsidTr="00DD7BAD">
        <w:trPr>
          <w:jc w:val="center"/>
        </w:trPr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nominal (</w:t>
            </w:r>
            <w:proofErr w:type="spellStart"/>
            <w:r>
              <w:rPr>
                <w:rFonts w:ascii="Times New Roman" w:hAnsi="Times New Roman"/>
              </w:rPr>
              <w:t>ppt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measured (</w:t>
            </w:r>
            <w:proofErr w:type="spellStart"/>
            <w:r>
              <w:rPr>
                <w:rFonts w:ascii="Times New Roman" w:hAnsi="Times New Roman"/>
              </w:rPr>
              <w:t>ppt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418" w:type="dxa"/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(ppm)</w:t>
            </w:r>
          </w:p>
        </w:tc>
        <w:tc>
          <w:tcPr>
            <w:tcW w:w="1417" w:type="dxa"/>
            <w:gridSpan w:val="2"/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1276" w:type="dxa"/>
            <w:vAlign w:val="center"/>
          </w:tcPr>
          <w:p w:rsidR="00C10E8C" w:rsidRDefault="00C10E8C" w:rsidP="00DD7BA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48" w:type="dxa"/>
            <w:gridSpan w:val="5"/>
            <w:tcBorders>
              <w:bottom w:val="single" w:sz="4" w:space="0" w:color="auto"/>
            </w:tcBorders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(ºC)</w:t>
            </w:r>
          </w:p>
        </w:tc>
      </w:tr>
      <w:tr w:rsidR="00C10E8C" w:rsidTr="00DD7BAD">
        <w:trPr>
          <w:jc w:val="center"/>
        </w:trPr>
        <w:tc>
          <w:tcPr>
            <w:tcW w:w="1134" w:type="dxa"/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Oct</w:t>
            </w:r>
          </w:p>
        </w:tc>
        <w:tc>
          <w:tcPr>
            <w:tcW w:w="93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0E8C" w:rsidRDefault="00C10E8C" w:rsidP="00DD7BA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</w:t>
            </w:r>
          </w:p>
        </w:tc>
      </w:tr>
      <w:tr w:rsidR="00C10E8C" w:rsidTr="00DD7BAD">
        <w:trPr>
          <w:jc w:val="center"/>
        </w:trPr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20.8 ± 0.5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6.69 ± 0.48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86.05 ± 6.93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7.79 ± 0.22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24.2 ± 0.58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vAlign w:val="center"/>
          </w:tcPr>
          <w:p w:rsidR="00C10E8C" w:rsidRDefault="0057312A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20.3 ± 1.30</w:t>
            </w:r>
          </w:p>
        </w:tc>
        <w:tc>
          <w:tcPr>
            <w:tcW w:w="947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12.4 ± 2.47</w:t>
            </w:r>
          </w:p>
        </w:tc>
      </w:tr>
      <w:tr w:rsidR="00C10E8C" w:rsidTr="00DD7BAD">
        <w:trPr>
          <w:jc w:val="center"/>
        </w:trPr>
        <w:tc>
          <w:tcPr>
            <w:tcW w:w="1134" w:type="dxa"/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25.5 ± 0.5</w:t>
            </w:r>
          </w:p>
        </w:tc>
        <w:tc>
          <w:tcPr>
            <w:tcW w:w="1418" w:type="dxa"/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6.76 ± 0.55</w:t>
            </w:r>
          </w:p>
        </w:tc>
        <w:tc>
          <w:tcPr>
            <w:tcW w:w="1276" w:type="dxa"/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85.75 ± 7.79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7.65 ± 0.29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7" w:type="dxa"/>
            <w:gridSpan w:val="2"/>
            <w:vMerge/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C10E8C" w:rsidTr="00DD7BAD">
        <w:trPr>
          <w:jc w:val="center"/>
        </w:trPr>
        <w:tc>
          <w:tcPr>
            <w:tcW w:w="1134" w:type="dxa"/>
            <w:vAlign w:val="center"/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 (control)</w:t>
            </w:r>
          </w:p>
        </w:tc>
        <w:tc>
          <w:tcPr>
            <w:tcW w:w="1134" w:type="dxa"/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31.6 ± 0.9</w:t>
            </w:r>
          </w:p>
        </w:tc>
        <w:tc>
          <w:tcPr>
            <w:tcW w:w="1418" w:type="dxa"/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6.58 ± 0.50</w:t>
            </w:r>
          </w:p>
        </w:tc>
        <w:tc>
          <w:tcPr>
            <w:tcW w:w="1276" w:type="dxa"/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86.40 ± 7.77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7.69 ± 0.17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7" w:type="dxa"/>
            <w:gridSpan w:val="2"/>
            <w:vMerge/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C10E8C" w:rsidTr="00DD7BAD">
        <w:trPr>
          <w:jc w:val="center"/>
        </w:trPr>
        <w:tc>
          <w:tcPr>
            <w:tcW w:w="1134" w:type="dxa"/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1134" w:type="dxa"/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35.4 ± 0.7</w:t>
            </w:r>
          </w:p>
        </w:tc>
        <w:tc>
          <w:tcPr>
            <w:tcW w:w="1418" w:type="dxa"/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6.43 ± 0.54</w:t>
            </w:r>
          </w:p>
        </w:tc>
        <w:tc>
          <w:tcPr>
            <w:tcW w:w="1276" w:type="dxa"/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86.48 ± 8.12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7.78 ± 0.39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7" w:type="dxa"/>
            <w:gridSpan w:val="2"/>
            <w:vMerge/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C10E8C" w:rsidTr="00DD7BAD">
        <w:trPr>
          <w:jc w:val="center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40.6 ± 0.6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6.13 ± 0.45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84.96 ± 7.37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10E8C" w:rsidRDefault="00C10E8C" w:rsidP="00DD7BAD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7.75 ± 0.29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7" w:type="dxa"/>
            <w:gridSpan w:val="2"/>
            <w:vMerge/>
            <w:tcBorders>
              <w:bottom w:val="single" w:sz="4" w:space="0" w:color="auto"/>
            </w:tcBorders>
          </w:tcPr>
          <w:p w:rsidR="00C10E8C" w:rsidRDefault="00C10E8C" w:rsidP="00DD7BA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10E8C" w:rsidRDefault="00C10E8C" w:rsidP="00C10E8C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:rsidR="00C10E8C" w:rsidRDefault="00C10E8C" w:rsidP="00C10E8C">
      <w:pPr>
        <w:spacing w:line="480" w:lineRule="auto"/>
        <w:ind w:leftChars="-50" w:left="-110" w:rightChars="-62" w:right="-13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Table 2. Specific growth rate in wet weight and growth rate in shell length (mean ± SE) of individuals of abalone </w:t>
      </w:r>
      <w:r>
        <w:rPr>
          <w:rFonts w:ascii="Times New Roman" w:hAnsi="Times New Roman"/>
          <w:i/>
          <w:sz w:val="20"/>
          <w:szCs w:val="20"/>
        </w:rPr>
        <w:t xml:space="preserve">H. </w:t>
      </w:r>
      <w:proofErr w:type="spellStart"/>
      <w:r>
        <w:rPr>
          <w:rFonts w:ascii="Times New Roman" w:hAnsi="Times New Roman"/>
          <w:i/>
          <w:sz w:val="20"/>
          <w:szCs w:val="20"/>
        </w:rPr>
        <w:t>diversicolor</w:t>
      </w:r>
      <w:proofErr w:type="spellEnd"/>
      <w:r>
        <w:rPr>
          <w:rFonts w:ascii="Times New Roman" w:hAnsi="Times New Roman"/>
          <w:sz w:val="20"/>
          <w:szCs w:val="20"/>
        </w:rPr>
        <w:t xml:space="preserve"> reared for two months at five different salinity levels. </w:t>
      </w:r>
      <w:r w:rsidR="00277E7D">
        <w:rPr>
          <w:rFonts w:ascii="Times New Roman" w:hAnsi="Times New Roman"/>
          <w:sz w:val="20"/>
          <w:szCs w:val="20"/>
        </w:rPr>
        <w:t xml:space="preserve">(Different letters superscript indicate significant differences (ANOVA, </w:t>
      </w:r>
      <w:proofErr w:type="spellStart"/>
      <w:proofErr w:type="gramStart"/>
      <w:r w:rsidR="00277E7D">
        <w:rPr>
          <w:rFonts w:ascii="Times New Roman" w:hAnsi="Times New Roman"/>
          <w:sz w:val="20"/>
          <w:szCs w:val="20"/>
        </w:rPr>
        <w:t>df</w:t>
      </w:r>
      <w:proofErr w:type="spellEnd"/>
      <w:r w:rsidR="00277E7D">
        <w:rPr>
          <w:rFonts w:ascii="Times New Roman" w:hAnsi="Times New Roman"/>
          <w:sz w:val="20"/>
          <w:szCs w:val="20"/>
        </w:rPr>
        <w:t>=</w:t>
      </w:r>
      <w:proofErr w:type="gramEnd"/>
      <w:r w:rsidR="00277E7D">
        <w:rPr>
          <w:rFonts w:ascii="Times New Roman" w:hAnsi="Times New Roman"/>
          <w:sz w:val="20"/>
          <w:szCs w:val="20"/>
        </w:rPr>
        <w:t>4, P=&lt;0.001, Tukey test), common letters indicate no significant differences (P=0.06)</w:t>
      </w:r>
      <w:r w:rsidR="00277E7D">
        <w:rPr>
          <w:rFonts w:ascii="Times New Roman" w:hAnsi="Times New Roman"/>
          <w:sz w:val="20"/>
          <w:szCs w:val="20"/>
        </w:rPr>
        <w:t>)</w:t>
      </w:r>
      <w:bookmarkStart w:id="0" w:name="_GoBack"/>
      <w:bookmarkEnd w:id="0"/>
      <w:r w:rsidR="00277E7D">
        <w:rPr>
          <w:rFonts w:ascii="Times New Roman" w:hAnsi="Times New Roman"/>
          <w:sz w:val="20"/>
          <w:szCs w:val="20"/>
        </w:rPr>
        <w:t>.</w:t>
      </w:r>
    </w:p>
    <w:p w:rsidR="00C10E8C" w:rsidRDefault="00C10E8C" w:rsidP="00C10E8C">
      <w:pPr>
        <w:spacing w:line="480" w:lineRule="auto"/>
        <w:ind w:leftChars="-50" w:left="-110" w:rightChars="-62" w:right="-13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tbl>
      <w:tblPr>
        <w:tblStyle w:val="TableGrid"/>
        <w:tblW w:w="0" w:type="auto"/>
        <w:tblInd w:w="-105" w:type="dxa"/>
        <w:tblLook w:val="04A0" w:firstRow="1" w:lastRow="0" w:firstColumn="1" w:lastColumn="0" w:noHBand="0" w:noVBand="1"/>
      </w:tblPr>
      <w:tblGrid>
        <w:gridCol w:w="2841"/>
        <w:gridCol w:w="2841"/>
        <w:gridCol w:w="2841"/>
      </w:tblGrid>
      <w:tr w:rsidR="00C10E8C" w:rsidTr="00DD7BAD">
        <w:tc>
          <w:tcPr>
            <w:tcW w:w="2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Treatment</w:t>
            </w:r>
          </w:p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ppt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Specific growth rate in wet weight (% d</w:t>
            </w:r>
            <w:r>
              <w:rPr>
                <w:rFonts w:ascii="Times New Roman" w:hAnsi="Times New Roman"/>
                <w:vertAlign w:val="superscript"/>
              </w:rPr>
              <w:t>-1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Growth rate in shell length </w:t>
            </w:r>
          </w:p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(mm d</w:t>
            </w:r>
            <w:r>
              <w:rPr>
                <w:rFonts w:ascii="Times New Roman" w:hAnsi="Times New Roman"/>
                <w:vertAlign w:val="superscript"/>
              </w:rPr>
              <w:t>-1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C10E8C" w:rsidTr="00DD7BAD">
        <w:tc>
          <w:tcPr>
            <w:tcW w:w="28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0.15 ± 0.03</w:t>
            </w:r>
            <w:r>
              <w:rPr>
                <w:rFonts w:ascii="Times New Roman" w:hAnsi="Times New Roman"/>
                <w:vertAlign w:val="superscript"/>
              </w:rPr>
              <w:t>d</w:t>
            </w: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0.021 ± 0.002</w:t>
            </w:r>
            <w:r>
              <w:rPr>
                <w:rFonts w:ascii="Times New Roman" w:hAnsi="Times New Roman"/>
                <w:vertAlign w:val="superscript"/>
              </w:rPr>
              <w:t>d</w:t>
            </w:r>
          </w:p>
        </w:tc>
      </w:tr>
      <w:tr w:rsidR="00C10E8C" w:rsidTr="00DD7BAD"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0.36 ± 0.02</w:t>
            </w:r>
            <w:r>
              <w:rPr>
                <w:rFonts w:ascii="Times New Roman" w:hAnsi="Times New Roman"/>
                <w:vertAlign w:val="superscript"/>
              </w:rPr>
              <w:t>bc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0.034 ± 0.002</w:t>
            </w:r>
            <w:r>
              <w:rPr>
                <w:rFonts w:ascii="Times New Roman" w:hAnsi="Times New Roman"/>
                <w:vertAlign w:val="superscript"/>
              </w:rPr>
              <w:t>c</w:t>
            </w:r>
          </w:p>
        </w:tc>
      </w:tr>
      <w:tr w:rsidR="00C10E8C" w:rsidTr="00DD7BAD"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0.52 ± 0.03</w:t>
            </w:r>
            <w:r>
              <w:rPr>
                <w:rFonts w:ascii="Times New Roman" w:hAnsi="Times New Roman"/>
                <w:vertAlign w:val="superscript"/>
              </w:rPr>
              <w:t>a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0.058 ± 0.003</w:t>
            </w:r>
            <w:r>
              <w:rPr>
                <w:rFonts w:ascii="Times New Roman" w:hAnsi="Times New Roman"/>
                <w:vertAlign w:val="superscript"/>
              </w:rPr>
              <w:t>a</w:t>
            </w:r>
          </w:p>
        </w:tc>
      </w:tr>
      <w:tr w:rsidR="00C10E8C" w:rsidTr="00DD7BAD"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0.42 ± 0.04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0.044 ± 0.003</w:t>
            </w:r>
            <w:r>
              <w:rPr>
                <w:rFonts w:ascii="Times New Roman" w:hAnsi="Times New Roman"/>
                <w:vertAlign w:val="superscript"/>
              </w:rPr>
              <w:t>b</w:t>
            </w:r>
          </w:p>
        </w:tc>
      </w:tr>
      <w:tr w:rsidR="00C10E8C" w:rsidTr="00DD7BAD"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0.29 ± 0.02</w:t>
            </w:r>
            <w:r>
              <w:rPr>
                <w:rFonts w:ascii="Times New Roman" w:hAnsi="Times New Roman"/>
                <w:vertAlign w:val="superscript"/>
              </w:rPr>
              <w:t>c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0.026 ± 0.002</w:t>
            </w:r>
            <w:r>
              <w:rPr>
                <w:rFonts w:ascii="Times New Roman" w:hAnsi="Times New Roman"/>
                <w:vertAlign w:val="superscript"/>
              </w:rPr>
              <w:t>d</w:t>
            </w:r>
          </w:p>
        </w:tc>
      </w:tr>
    </w:tbl>
    <w:p w:rsidR="00C10E8C" w:rsidRDefault="00C10E8C" w:rsidP="00C10E8C">
      <w:pPr>
        <w:spacing w:before="240" w:line="360" w:lineRule="auto"/>
        <w:ind w:leftChars="-50" w:left="-110" w:rightChars="-62" w:right="-136"/>
        <w:rPr>
          <w:rFonts w:ascii="Times New Roman" w:hAnsi="Times New Roman"/>
          <w:b/>
          <w:sz w:val="20"/>
          <w:szCs w:val="20"/>
        </w:rPr>
      </w:pPr>
    </w:p>
    <w:p w:rsidR="00C10E8C" w:rsidRDefault="00C10E8C" w:rsidP="00C10E8C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:rsidR="00C10E8C" w:rsidRDefault="00C10E8C" w:rsidP="00C10E8C">
      <w:pPr>
        <w:spacing w:before="240" w:line="480" w:lineRule="auto"/>
        <w:ind w:leftChars="-50" w:left="-110" w:rightChars="-62" w:right="-13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Table 3. Cell density (mean ± SE) of mucous cells from the lips, gills and digestive gut of abalone </w:t>
      </w:r>
      <w:r>
        <w:rPr>
          <w:rFonts w:ascii="Times New Roman" w:hAnsi="Times New Roman"/>
          <w:i/>
          <w:sz w:val="20"/>
          <w:szCs w:val="20"/>
        </w:rPr>
        <w:t xml:space="preserve">H. </w:t>
      </w:r>
      <w:proofErr w:type="spellStart"/>
      <w:r>
        <w:rPr>
          <w:rFonts w:ascii="Times New Roman" w:hAnsi="Times New Roman"/>
          <w:i/>
          <w:sz w:val="20"/>
          <w:szCs w:val="20"/>
        </w:rPr>
        <w:t>diversicolor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stained with AB-PAS reared at five different salinity levels. (Different letters superscript indicate significant differences </w:t>
      </w:r>
      <w:r w:rsidR="00277E7D">
        <w:rPr>
          <w:rFonts w:ascii="Times New Roman" w:hAnsi="Times New Roman"/>
          <w:sz w:val="20"/>
          <w:szCs w:val="20"/>
        </w:rPr>
        <w:t>(</w:t>
      </w:r>
      <w:r w:rsidR="00277E7D">
        <w:rPr>
          <w:rFonts w:ascii="Times New Roman" w:hAnsi="Times New Roman"/>
          <w:sz w:val="20"/>
          <w:szCs w:val="20"/>
        </w:rPr>
        <w:t xml:space="preserve">ANOVA, </w:t>
      </w:r>
      <w:proofErr w:type="spellStart"/>
      <w:proofErr w:type="gramStart"/>
      <w:r w:rsidR="00277E7D">
        <w:rPr>
          <w:rFonts w:ascii="Times New Roman" w:hAnsi="Times New Roman"/>
          <w:sz w:val="20"/>
          <w:szCs w:val="20"/>
        </w:rPr>
        <w:t>df</w:t>
      </w:r>
      <w:proofErr w:type="spellEnd"/>
      <w:r w:rsidR="00277E7D">
        <w:rPr>
          <w:rFonts w:ascii="Times New Roman" w:hAnsi="Times New Roman"/>
          <w:sz w:val="20"/>
          <w:szCs w:val="20"/>
        </w:rPr>
        <w:t>=</w:t>
      </w:r>
      <w:proofErr w:type="gramEnd"/>
      <w:r w:rsidR="00277E7D">
        <w:rPr>
          <w:rFonts w:ascii="Times New Roman" w:hAnsi="Times New Roman"/>
          <w:sz w:val="20"/>
          <w:szCs w:val="20"/>
        </w:rPr>
        <w:t xml:space="preserve">4, P=&lt;0.001, </w:t>
      </w:r>
      <w:r>
        <w:rPr>
          <w:rFonts w:ascii="Times New Roman" w:hAnsi="Times New Roman"/>
          <w:sz w:val="20"/>
          <w:szCs w:val="20"/>
        </w:rPr>
        <w:t xml:space="preserve">Tukey </w:t>
      </w:r>
      <w:r w:rsidR="00277E7D">
        <w:rPr>
          <w:rFonts w:ascii="Times New Roman" w:hAnsi="Times New Roman"/>
          <w:sz w:val="20"/>
          <w:szCs w:val="20"/>
        </w:rPr>
        <w:t>test</w:t>
      </w:r>
      <w:r>
        <w:rPr>
          <w:rFonts w:ascii="Times New Roman" w:hAnsi="Times New Roman"/>
          <w:sz w:val="20"/>
          <w:szCs w:val="20"/>
        </w:rPr>
        <w:t>), common letters indicat</w:t>
      </w:r>
      <w:r w:rsidR="00277E7D">
        <w:rPr>
          <w:rFonts w:ascii="Times New Roman" w:hAnsi="Times New Roman"/>
          <w:sz w:val="20"/>
          <w:szCs w:val="20"/>
        </w:rPr>
        <w:t>e no significant differences (P=0.06</w:t>
      </w:r>
      <w:r>
        <w:rPr>
          <w:rFonts w:ascii="Times New Roman" w:hAnsi="Times New Roman"/>
          <w:sz w:val="20"/>
          <w:szCs w:val="20"/>
        </w:rPr>
        <w:t>)</w:t>
      </w:r>
      <w:r w:rsidR="00277E7D">
        <w:rPr>
          <w:rFonts w:ascii="Times New Roman" w:hAnsi="Times New Roman"/>
          <w:sz w:val="20"/>
          <w:szCs w:val="20"/>
        </w:rPr>
        <w:t>)</w:t>
      </w:r>
      <w:r>
        <w:rPr>
          <w:rFonts w:ascii="Times New Roman" w:hAnsi="Times New Roman"/>
          <w:sz w:val="20"/>
          <w:szCs w:val="20"/>
        </w:rPr>
        <w:t>.</w:t>
      </w:r>
    </w:p>
    <w:p w:rsidR="00C10E8C" w:rsidRDefault="00C10E8C" w:rsidP="00C10E8C">
      <w:pPr>
        <w:spacing w:before="240" w:line="480" w:lineRule="auto"/>
        <w:ind w:leftChars="-50" w:left="-110" w:rightChars="-62" w:right="-136"/>
        <w:rPr>
          <w:rFonts w:ascii="Times New Roman" w:hAnsi="Times New Roman"/>
          <w:sz w:val="20"/>
          <w:szCs w:val="20"/>
        </w:rPr>
      </w:pPr>
    </w:p>
    <w:tbl>
      <w:tblPr>
        <w:tblStyle w:val="TableGrid"/>
        <w:tblW w:w="0" w:type="auto"/>
        <w:tblInd w:w="-105" w:type="dxa"/>
        <w:tblLook w:val="04A0" w:firstRow="1" w:lastRow="0" w:firstColumn="1" w:lastColumn="0" w:noHBand="0" w:noVBand="1"/>
      </w:tblPr>
      <w:tblGrid>
        <w:gridCol w:w="1665"/>
        <w:gridCol w:w="2806"/>
        <w:gridCol w:w="2438"/>
        <w:gridCol w:w="2127"/>
      </w:tblGrid>
      <w:tr w:rsidR="00C10E8C" w:rsidTr="00DD7BAD"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Treatment</w:t>
            </w:r>
          </w:p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ppt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In lips </w:t>
            </w:r>
          </w:p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(mucous cells per 0.1 mm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In gills </w:t>
            </w:r>
          </w:p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(mucous cells per 0.1 mm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 digestive gut (mucous cells per 0.1 mm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C10E8C" w:rsidTr="00DD7BAD">
        <w:tc>
          <w:tcPr>
            <w:tcW w:w="16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8.8 ± 1.5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9.2 ± 1.2</w:t>
            </w:r>
            <w:r>
              <w:rPr>
                <w:rFonts w:ascii="Times New Roman" w:hAnsi="Times New Roman"/>
                <w:vertAlign w:val="superscript"/>
              </w:rPr>
              <w:t>b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12.1 ± 1.3</w:t>
            </w:r>
            <w:r>
              <w:rPr>
                <w:rFonts w:ascii="Times New Roman" w:hAnsi="Times New Roman"/>
                <w:vertAlign w:val="superscript"/>
              </w:rPr>
              <w:t>b</w:t>
            </w:r>
          </w:p>
        </w:tc>
      </w:tr>
      <w:tr w:rsidR="00C10E8C" w:rsidTr="00DD7BAD"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8.6 ± 1.3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12.9 ± 1.3</w:t>
            </w:r>
            <w:r>
              <w:rPr>
                <w:rFonts w:ascii="Times New Roman" w:hAnsi="Times New Roman"/>
                <w:vertAlign w:val="superscript"/>
              </w:rPr>
              <w:t>b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 ± 1.9</w:t>
            </w:r>
            <w:r>
              <w:rPr>
                <w:rFonts w:ascii="Times New Roman" w:hAnsi="Times New Roman"/>
                <w:vertAlign w:val="superscript"/>
              </w:rPr>
              <w:t>a</w:t>
            </w:r>
          </w:p>
        </w:tc>
      </w:tr>
      <w:tr w:rsidR="00C10E8C" w:rsidTr="00DD7BAD"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 ± 1.5</w:t>
            </w:r>
            <w:r>
              <w:rPr>
                <w:rFonts w:ascii="Times New Roman" w:hAnsi="Times New Roman"/>
                <w:vertAlign w:val="superscript"/>
              </w:rPr>
              <w:t>b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9.8 ± 1.1</w:t>
            </w:r>
            <w:r>
              <w:rPr>
                <w:rFonts w:ascii="Times New Roman" w:hAnsi="Times New Roman"/>
                <w:vertAlign w:val="superscript"/>
              </w:rPr>
              <w:t>b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16.6 ± 0.9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</w:tr>
      <w:tr w:rsidR="00C10E8C" w:rsidTr="00DD7BAD"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8.7 ± 1.3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 ± 2.0</w:t>
            </w:r>
            <w:r>
              <w:rPr>
                <w:rFonts w:ascii="Times New Roman" w:hAnsi="Times New Roman"/>
                <w:vertAlign w:val="superscript"/>
              </w:rPr>
              <w:t>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13.1 ± 1.3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</w:tr>
      <w:tr w:rsidR="00C10E8C" w:rsidTr="00DD7BAD"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 ± 1.9</w:t>
            </w:r>
            <w:r>
              <w:rPr>
                <w:rFonts w:ascii="Times New Roman" w:hAnsi="Times New Roman"/>
                <w:vertAlign w:val="superscript"/>
              </w:rPr>
              <w:t>a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20.6 ± 0.9</w:t>
            </w:r>
            <w:r>
              <w:rPr>
                <w:rFonts w:ascii="Times New Roman" w:hAnsi="Times New Roman"/>
                <w:vertAlign w:val="superscript"/>
              </w:rPr>
              <w:t>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13.9 ± 1.7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</w:tr>
    </w:tbl>
    <w:p w:rsidR="00C10E8C" w:rsidRDefault="00C10E8C" w:rsidP="00C10E8C">
      <w:pPr>
        <w:spacing w:before="240" w:line="480" w:lineRule="auto"/>
        <w:ind w:leftChars="-50" w:left="-110" w:rightChars="-62" w:right="-136"/>
        <w:rPr>
          <w:rFonts w:ascii="Times New Roman" w:hAnsi="Times New Roman"/>
          <w:b/>
          <w:sz w:val="20"/>
          <w:szCs w:val="20"/>
        </w:rPr>
      </w:pPr>
    </w:p>
    <w:p w:rsidR="00C10E8C" w:rsidRDefault="00C10E8C" w:rsidP="00C10E8C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:rsidR="00C10E8C" w:rsidRDefault="00C10E8C" w:rsidP="00C10E8C">
      <w:pPr>
        <w:spacing w:before="240" w:line="480" w:lineRule="auto"/>
        <w:ind w:leftChars="-50" w:left="-110" w:rightChars="-62" w:right="-13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Table 4. Cell length (mean ± SE) of mucous cells from the lips, gills and digestive gut of abalone </w:t>
      </w:r>
      <w:r>
        <w:rPr>
          <w:rFonts w:ascii="Times New Roman" w:hAnsi="Times New Roman"/>
          <w:i/>
          <w:sz w:val="20"/>
          <w:szCs w:val="20"/>
        </w:rPr>
        <w:t xml:space="preserve">H. </w:t>
      </w:r>
      <w:proofErr w:type="spellStart"/>
      <w:r>
        <w:rPr>
          <w:rFonts w:ascii="Times New Roman" w:hAnsi="Times New Roman"/>
          <w:i/>
          <w:sz w:val="20"/>
          <w:szCs w:val="20"/>
        </w:rPr>
        <w:t>diversicolor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stained with AB-PAS reared at five different salinity levels. </w:t>
      </w:r>
      <w:r w:rsidR="00277E7D">
        <w:rPr>
          <w:rFonts w:ascii="Times New Roman" w:hAnsi="Times New Roman"/>
          <w:sz w:val="20"/>
          <w:szCs w:val="20"/>
        </w:rPr>
        <w:t xml:space="preserve">(Different letters superscript indicate significant differences (ANOVA, </w:t>
      </w:r>
      <w:proofErr w:type="spellStart"/>
      <w:proofErr w:type="gramStart"/>
      <w:r w:rsidR="00277E7D">
        <w:rPr>
          <w:rFonts w:ascii="Times New Roman" w:hAnsi="Times New Roman"/>
          <w:sz w:val="20"/>
          <w:szCs w:val="20"/>
        </w:rPr>
        <w:t>df</w:t>
      </w:r>
      <w:proofErr w:type="spellEnd"/>
      <w:r w:rsidR="00277E7D">
        <w:rPr>
          <w:rFonts w:ascii="Times New Roman" w:hAnsi="Times New Roman"/>
          <w:sz w:val="20"/>
          <w:szCs w:val="20"/>
        </w:rPr>
        <w:t>=</w:t>
      </w:r>
      <w:proofErr w:type="gramEnd"/>
      <w:r w:rsidR="00277E7D">
        <w:rPr>
          <w:rFonts w:ascii="Times New Roman" w:hAnsi="Times New Roman"/>
          <w:sz w:val="20"/>
          <w:szCs w:val="20"/>
        </w:rPr>
        <w:t>4, P=&lt;0.001, Tukey test), common letters indicate no significant differences (P=0.06)</w:t>
      </w:r>
      <w:r w:rsidR="00277E7D">
        <w:rPr>
          <w:rFonts w:ascii="Times New Roman" w:hAnsi="Times New Roman"/>
          <w:sz w:val="20"/>
          <w:szCs w:val="20"/>
        </w:rPr>
        <w:t>)</w:t>
      </w:r>
      <w:r w:rsidR="00277E7D">
        <w:rPr>
          <w:rFonts w:ascii="Times New Roman" w:hAnsi="Times New Roman"/>
          <w:sz w:val="20"/>
          <w:szCs w:val="20"/>
        </w:rPr>
        <w:t>.</w:t>
      </w:r>
    </w:p>
    <w:p w:rsidR="00C10E8C" w:rsidRDefault="00C10E8C" w:rsidP="00C10E8C">
      <w:pPr>
        <w:spacing w:before="240" w:line="480" w:lineRule="auto"/>
        <w:ind w:leftChars="-50" w:left="-110" w:rightChars="-62" w:right="-136"/>
        <w:rPr>
          <w:rFonts w:ascii="Times New Roman" w:hAnsi="Times New Roman"/>
          <w:sz w:val="20"/>
          <w:szCs w:val="20"/>
        </w:rPr>
      </w:pPr>
    </w:p>
    <w:tbl>
      <w:tblPr>
        <w:tblStyle w:val="TableGrid"/>
        <w:tblW w:w="0" w:type="auto"/>
        <w:tblInd w:w="-105" w:type="dxa"/>
        <w:tblLook w:val="04A0" w:firstRow="1" w:lastRow="0" w:firstColumn="1" w:lastColumn="0" w:noHBand="0" w:noVBand="1"/>
      </w:tblPr>
      <w:tblGrid>
        <w:gridCol w:w="2287"/>
        <w:gridCol w:w="2184"/>
        <w:gridCol w:w="2184"/>
        <w:gridCol w:w="1973"/>
      </w:tblGrid>
      <w:tr w:rsidR="00C10E8C" w:rsidTr="00DD7BAD">
        <w:tc>
          <w:tcPr>
            <w:tcW w:w="2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Treatment</w:t>
            </w:r>
          </w:p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ppt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 lips (µm)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In gills (µm)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line="36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 digestive gut (µm)</w:t>
            </w:r>
          </w:p>
        </w:tc>
      </w:tr>
      <w:tr w:rsidR="00C10E8C" w:rsidTr="00DD7BAD">
        <w:tc>
          <w:tcPr>
            <w:tcW w:w="22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15.2 ± 0.7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12.7 ± 1.0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72.0 ± 6.0</w:t>
            </w:r>
            <w:r>
              <w:rPr>
                <w:rFonts w:ascii="Times New Roman" w:hAnsi="Times New Roman"/>
                <w:vertAlign w:val="superscript"/>
              </w:rPr>
              <w:t>a</w:t>
            </w:r>
          </w:p>
        </w:tc>
      </w:tr>
      <w:tr w:rsidR="00C10E8C" w:rsidTr="00DD7BAD"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16.3 ± 0.1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12.7 ± 0.9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39.2 ± 5.0</w:t>
            </w:r>
            <w:r>
              <w:rPr>
                <w:rFonts w:ascii="Times New Roman" w:hAnsi="Times New Roman"/>
                <w:vertAlign w:val="superscript"/>
              </w:rPr>
              <w:t>c</w:t>
            </w:r>
          </w:p>
        </w:tc>
      </w:tr>
      <w:tr w:rsidR="00C10E8C" w:rsidTr="00DD7BAD"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16.3 ± 0.8</w:t>
            </w:r>
            <w:r>
              <w:rPr>
                <w:rFonts w:ascii="Times New Roman" w:hAnsi="Times New Roman"/>
                <w:vertAlign w:val="superscript"/>
              </w:rPr>
              <w:t>a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16.6 ± 1.3</w:t>
            </w:r>
            <w:r>
              <w:rPr>
                <w:rFonts w:ascii="Times New Roman" w:hAnsi="Times New Roman"/>
                <w:vertAlign w:val="superscript"/>
              </w:rPr>
              <w:t>a</w:t>
            </w: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40.0 ± 6.9</w:t>
            </w:r>
            <w:r>
              <w:rPr>
                <w:rFonts w:ascii="Times New Roman" w:hAnsi="Times New Roman"/>
                <w:vertAlign w:val="superscript"/>
              </w:rPr>
              <w:t>bc</w:t>
            </w:r>
          </w:p>
        </w:tc>
      </w:tr>
      <w:tr w:rsidR="00C10E8C" w:rsidTr="00DD7BAD"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13.8 ± 1.2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12.2 ± 1.1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56.0 ± 7.7</w:t>
            </w:r>
            <w:r>
              <w:rPr>
                <w:rFonts w:ascii="Times New Roman" w:hAnsi="Times New Roman"/>
                <w:vertAlign w:val="superscript"/>
              </w:rPr>
              <w:t>bc</w:t>
            </w:r>
          </w:p>
        </w:tc>
      </w:tr>
      <w:tr w:rsidR="00C10E8C" w:rsidTr="00DD7BAD"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12.8 ± 0.6</w:t>
            </w:r>
            <w:r>
              <w:rPr>
                <w:rFonts w:ascii="Times New Roman" w:hAnsi="Times New Roman"/>
                <w:vertAlign w:val="superscript"/>
              </w:rPr>
              <w:t>b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9.1 ± 0.6</w:t>
            </w:r>
            <w:r>
              <w:rPr>
                <w:rFonts w:ascii="Times New Roman" w:hAnsi="Times New Roman"/>
                <w:vertAlign w:val="superscript"/>
              </w:rPr>
              <w:t>b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0E8C" w:rsidRDefault="00C10E8C" w:rsidP="00DD7BAD">
            <w:pPr>
              <w:spacing w:before="240" w:line="480" w:lineRule="auto"/>
              <w:ind w:rightChars="-62" w:right="-13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64.6 ± 7.3</w:t>
            </w:r>
            <w:r>
              <w:rPr>
                <w:rFonts w:ascii="Times New Roman" w:hAnsi="Times New Roman"/>
                <w:vertAlign w:val="superscript"/>
              </w:rPr>
              <w:t>ab</w:t>
            </w:r>
          </w:p>
        </w:tc>
      </w:tr>
    </w:tbl>
    <w:p w:rsidR="00C10E8C" w:rsidRDefault="00C10E8C" w:rsidP="00C10E8C">
      <w:pPr>
        <w:spacing w:before="240" w:line="480" w:lineRule="auto"/>
        <w:ind w:rightChars="-62" w:right="-13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  <w:lang w:eastAsia="en-P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8E4E28" wp14:editId="64594AFE">
                <wp:simplePos x="0" y="0"/>
                <wp:positionH relativeFrom="column">
                  <wp:posOffset>-132715</wp:posOffset>
                </wp:positionH>
                <wp:positionV relativeFrom="paragraph">
                  <wp:posOffset>914400</wp:posOffset>
                </wp:positionV>
                <wp:extent cx="333375" cy="1257300"/>
                <wp:effectExtent l="0" t="0" r="0" b="0"/>
                <wp:wrapNone/>
                <wp:docPr id="5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0D03C9" id="Rectangle 139" o:spid="_x0000_s1026" style="position:absolute;margin-left:-10.45pt;margin-top:1in;width:26.25pt;height:9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" stroked="f">
                <v:textbox inset="5.85pt,.7pt,5.85pt,.7pt"/>
              </v:rect>
            </w:pict>
          </mc:Fallback>
        </mc:AlternateContent>
      </w:r>
      <w:r>
        <w:rPr>
          <w:rFonts w:ascii="Times New Roman" w:hAnsi="Times New Roman"/>
          <w:b/>
          <w:noProof/>
          <w:sz w:val="20"/>
          <w:szCs w:val="20"/>
          <w:lang w:eastAsia="en-P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9ED2DB" wp14:editId="780BFA91">
                <wp:simplePos x="0" y="0"/>
                <wp:positionH relativeFrom="column">
                  <wp:posOffset>-66040</wp:posOffset>
                </wp:positionH>
                <wp:positionV relativeFrom="paragraph">
                  <wp:posOffset>2514600</wp:posOffset>
                </wp:positionV>
                <wp:extent cx="266700" cy="1371600"/>
                <wp:effectExtent l="0" t="0" r="0" b="0"/>
                <wp:wrapNone/>
                <wp:docPr id="4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B8511D" id="Rectangle 138" o:spid="_x0000_s1026" style="position:absolute;margin-left:-5.2pt;margin-top:198pt;width:21pt;height:1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" stroked="f">
                <v:textbox inset="5.85pt,.7pt,5.85pt,.7pt"/>
              </v:rect>
            </w:pict>
          </mc:Fallback>
        </mc:AlternateContent>
      </w:r>
      <w:r>
        <w:rPr>
          <w:rFonts w:ascii="Times New Roman" w:hAnsi="Times New Roman"/>
          <w:b/>
          <w:noProof/>
          <w:sz w:val="20"/>
          <w:szCs w:val="20"/>
          <w:lang w:eastAsia="en-P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9872CD" wp14:editId="3979127E">
                <wp:simplePos x="0" y="0"/>
                <wp:positionH relativeFrom="column">
                  <wp:posOffset>-199390</wp:posOffset>
                </wp:positionH>
                <wp:positionV relativeFrom="paragraph">
                  <wp:posOffset>5600700</wp:posOffset>
                </wp:positionV>
                <wp:extent cx="266700" cy="1257300"/>
                <wp:effectExtent l="0" t="0" r="0" b="0"/>
                <wp:wrapNone/>
                <wp:docPr id="6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68E928" id="Rectangle 137" o:spid="_x0000_s1026" style="position:absolute;margin-left:-15.7pt;margin-top:441pt;width:21pt;height:9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" stroked="f">
                <v:textbox inset="5.85pt,.7pt,5.85pt,.7pt"/>
              </v:rect>
            </w:pict>
          </mc:Fallback>
        </mc:AlternateContent>
      </w:r>
      <w:r>
        <w:rPr>
          <w:rFonts w:ascii="Times New Roman" w:hAnsi="Times New Roman"/>
          <w:b/>
          <w:noProof/>
          <w:sz w:val="20"/>
          <w:szCs w:val="20"/>
          <w:lang w:eastAsia="en-P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C73487" wp14:editId="19370732">
                <wp:simplePos x="0" y="0"/>
                <wp:positionH relativeFrom="column">
                  <wp:posOffset>-199390</wp:posOffset>
                </wp:positionH>
                <wp:positionV relativeFrom="paragraph">
                  <wp:posOffset>6858000</wp:posOffset>
                </wp:positionV>
                <wp:extent cx="266700" cy="228600"/>
                <wp:effectExtent l="0" t="0" r="0" b="0"/>
                <wp:wrapNone/>
                <wp:docPr id="7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8F82E7" id="Rectangle 136" o:spid="_x0000_s1026" style="position:absolute;margin-left:-15.7pt;margin-top:540pt;width:21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" stroked="f">
                <v:textbox inset="5.85pt,.7pt,5.85pt,.7pt"/>
              </v:rect>
            </w:pict>
          </mc:Fallback>
        </mc:AlternateContent>
      </w:r>
      <w:r>
        <w:rPr>
          <w:rFonts w:ascii="Times New Roman" w:hAnsi="Times New Roman"/>
          <w:b/>
          <w:noProof/>
          <w:sz w:val="20"/>
          <w:szCs w:val="20"/>
          <w:lang w:eastAsia="en-P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1BCF38" wp14:editId="18E9912E">
                <wp:simplePos x="0" y="0"/>
                <wp:positionH relativeFrom="column">
                  <wp:posOffset>-132715</wp:posOffset>
                </wp:positionH>
                <wp:positionV relativeFrom="paragraph">
                  <wp:posOffset>7086600</wp:posOffset>
                </wp:positionV>
                <wp:extent cx="266700" cy="1257300"/>
                <wp:effectExtent l="0" t="0" r="0" b="0"/>
                <wp:wrapNone/>
                <wp:docPr id="8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7B351D" id="Rectangle 135" o:spid="_x0000_s1026" style="position:absolute;margin-left:-10.45pt;margin-top:558pt;width:21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" stroked="f">
                <v:textbox inset="5.85pt,.7pt,5.85pt,.7pt"/>
              </v:rect>
            </w:pict>
          </mc:Fallback>
        </mc:AlternateContent>
      </w:r>
    </w:p>
    <w:p w:rsidR="00C10E8C" w:rsidRDefault="00C10E8C">
      <w:pPr>
        <w:rPr>
          <w:rFonts w:ascii="Times New Roman" w:hAnsi="Times New Roman" w:cs="Times New Roman"/>
          <w:noProof/>
          <w:sz w:val="20"/>
          <w:szCs w:val="20"/>
          <w:lang w:eastAsia="en-PH"/>
        </w:rPr>
      </w:pPr>
      <w:r>
        <w:rPr>
          <w:rFonts w:ascii="Times New Roman" w:hAnsi="Times New Roman" w:cs="Times New Roman"/>
          <w:noProof/>
          <w:sz w:val="20"/>
          <w:szCs w:val="20"/>
          <w:lang w:eastAsia="en-PH"/>
        </w:rPr>
        <w:br w:type="page"/>
      </w:r>
    </w:p>
    <w:p w:rsidR="00E81E49" w:rsidRDefault="00E81E49" w:rsidP="00E81E49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E81E49">
        <w:rPr>
          <w:rFonts w:ascii="Times New Roman" w:hAnsi="Times New Roman" w:cs="Times New Roman"/>
          <w:noProof/>
          <w:sz w:val="20"/>
          <w:szCs w:val="20"/>
          <w:lang w:eastAsia="en-PH"/>
        </w:rPr>
        <w:lastRenderedPageBreak/>
        <w:drawing>
          <wp:inline distT="0" distB="0" distL="0" distR="0" wp14:anchorId="3E456370" wp14:editId="53AE424E">
            <wp:extent cx="3971925" cy="6619875"/>
            <wp:effectExtent l="0" t="0" r="9525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661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5C0" w:rsidRDefault="00E81E49" w:rsidP="00D865C0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Figure 1</w:t>
      </w:r>
      <w:r w:rsidR="00D865C0" w:rsidRPr="00D865C0">
        <w:rPr>
          <w:rFonts w:ascii="Times New Roman" w:hAnsi="Times New Roman" w:cs="Times New Roman"/>
          <w:sz w:val="20"/>
          <w:szCs w:val="20"/>
          <w:lang w:val="en-US"/>
        </w:rPr>
        <w:t xml:space="preserve">. Photomicrograph of the lip of </w:t>
      </w:r>
      <w:r w:rsidR="00D865C0" w:rsidRPr="00E81E49">
        <w:rPr>
          <w:rFonts w:ascii="Times New Roman" w:hAnsi="Times New Roman" w:cs="Times New Roman"/>
          <w:i/>
          <w:sz w:val="20"/>
          <w:szCs w:val="20"/>
          <w:lang w:val="en-US"/>
        </w:rPr>
        <w:t xml:space="preserve">H. </w:t>
      </w:r>
      <w:proofErr w:type="spellStart"/>
      <w:r w:rsidR="00D865C0" w:rsidRPr="00E81E49">
        <w:rPr>
          <w:rFonts w:ascii="Times New Roman" w:hAnsi="Times New Roman" w:cs="Times New Roman"/>
          <w:i/>
          <w:sz w:val="20"/>
          <w:szCs w:val="20"/>
          <w:lang w:val="en-US"/>
        </w:rPr>
        <w:t>diversicolor</w:t>
      </w:r>
      <w:proofErr w:type="spellEnd"/>
      <w:r w:rsidR="00D865C0" w:rsidRPr="00D865C0">
        <w:rPr>
          <w:rFonts w:ascii="Times New Roman" w:hAnsi="Times New Roman" w:cs="Times New Roman"/>
          <w:sz w:val="20"/>
          <w:szCs w:val="20"/>
          <w:lang w:val="en-US"/>
        </w:rPr>
        <w:t xml:space="preserve"> s</w:t>
      </w:r>
      <w:r>
        <w:rPr>
          <w:rFonts w:ascii="Times New Roman" w:hAnsi="Times New Roman" w:cs="Times New Roman"/>
          <w:sz w:val="20"/>
          <w:szCs w:val="20"/>
          <w:lang w:val="en-US"/>
        </w:rPr>
        <w:t>tained with Hematoxylin &amp; Eosin: a</w:t>
      </w:r>
      <w:r w:rsidR="00D865C0" w:rsidRPr="00D865C0">
        <w:rPr>
          <w:rFonts w:ascii="Times New Roman" w:hAnsi="Times New Roman" w:cs="Times New Roman"/>
          <w:sz w:val="20"/>
          <w:szCs w:val="20"/>
          <w:lang w:val="en-US"/>
        </w:rPr>
        <w:t>) longitudinal section of folds of epithelial cells and supporting muscle, s</w:t>
      </w:r>
      <w:r>
        <w:rPr>
          <w:rFonts w:ascii="Times New Roman" w:hAnsi="Times New Roman" w:cs="Times New Roman"/>
          <w:sz w:val="20"/>
          <w:szCs w:val="20"/>
          <w:lang w:val="en-US"/>
        </w:rPr>
        <w:t>cale bar = 100 µm; b</w:t>
      </w:r>
      <w:r w:rsidR="00D865C0" w:rsidRPr="00D865C0">
        <w:rPr>
          <w:rFonts w:ascii="Times New Roman" w:hAnsi="Times New Roman" w:cs="Times New Roman"/>
          <w:sz w:val="20"/>
          <w:szCs w:val="20"/>
          <w:lang w:val="en-US"/>
        </w:rPr>
        <w:t>) enlarged boxed fold showing mucous-1 (M1), mucous-2 (M2) and mucous-3 (M3), scale bar = 10 µm</w:t>
      </w:r>
    </w:p>
    <w:p w:rsidR="00E81E49" w:rsidRDefault="00E81E49" w:rsidP="00D865C0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E81E49" w:rsidRDefault="00E81E49" w:rsidP="00D865C0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E81E49" w:rsidRDefault="00E81E49" w:rsidP="00D865C0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E81E49" w:rsidRDefault="00E81E49" w:rsidP="00D865C0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E81E49" w:rsidRDefault="00E81E49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br w:type="page"/>
      </w:r>
    </w:p>
    <w:p w:rsidR="00E81E49" w:rsidRDefault="00E81E49" w:rsidP="00E81E49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E81E49">
        <w:rPr>
          <w:rFonts w:ascii="Times New Roman" w:hAnsi="Times New Roman" w:cs="Times New Roman"/>
          <w:noProof/>
          <w:sz w:val="20"/>
          <w:szCs w:val="20"/>
          <w:lang w:eastAsia="en-PH"/>
        </w:rPr>
        <w:lastRenderedPageBreak/>
        <w:drawing>
          <wp:inline distT="0" distB="0" distL="0" distR="0" wp14:anchorId="76F60545" wp14:editId="2DDDCAD0">
            <wp:extent cx="4867275" cy="6848475"/>
            <wp:effectExtent l="0" t="0" r="9525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684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E49" w:rsidRPr="00E81E49" w:rsidRDefault="00E81E49" w:rsidP="00E81E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Figure 2</w:t>
      </w:r>
      <w:r w:rsidRPr="00E81E49">
        <w:rPr>
          <w:rFonts w:ascii="Times New Roman" w:hAnsi="Times New Roman" w:cs="Times New Roman"/>
          <w:sz w:val="20"/>
          <w:szCs w:val="20"/>
          <w:lang w:val="en-US"/>
        </w:rPr>
        <w:t xml:space="preserve">. Photomicrograph of the gill of </w:t>
      </w:r>
      <w:r w:rsidRPr="00E81E49">
        <w:rPr>
          <w:rFonts w:ascii="Times New Roman" w:hAnsi="Times New Roman" w:cs="Times New Roman"/>
          <w:i/>
          <w:sz w:val="20"/>
          <w:szCs w:val="20"/>
          <w:lang w:val="en-US"/>
        </w:rPr>
        <w:t xml:space="preserve">H. </w:t>
      </w:r>
      <w:proofErr w:type="spellStart"/>
      <w:r w:rsidRPr="00E81E49">
        <w:rPr>
          <w:rFonts w:ascii="Times New Roman" w:hAnsi="Times New Roman" w:cs="Times New Roman"/>
          <w:i/>
          <w:sz w:val="20"/>
          <w:szCs w:val="20"/>
          <w:lang w:val="en-US"/>
        </w:rPr>
        <w:t>diversicolor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stained with H-E: a</w:t>
      </w:r>
      <w:r w:rsidRPr="00E81E49">
        <w:rPr>
          <w:rFonts w:ascii="Times New Roman" w:hAnsi="Times New Roman" w:cs="Times New Roman"/>
          <w:sz w:val="20"/>
          <w:szCs w:val="20"/>
          <w:lang w:val="en-US"/>
        </w:rPr>
        <w:t>) longitudinal section of gill filaments showing the afferent end (A) and effere</w:t>
      </w:r>
      <w:r>
        <w:rPr>
          <w:rFonts w:ascii="Times New Roman" w:hAnsi="Times New Roman" w:cs="Times New Roman"/>
          <w:sz w:val="20"/>
          <w:szCs w:val="20"/>
          <w:lang w:val="en-US"/>
        </w:rPr>
        <w:t>nt end (E), scale bar=100 µm; b</w:t>
      </w:r>
      <w:r w:rsidRPr="00E81E49">
        <w:rPr>
          <w:rFonts w:ascii="Times New Roman" w:hAnsi="Times New Roman" w:cs="Times New Roman"/>
          <w:sz w:val="20"/>
          <w:szCs w:val="20"/>
          <w:lang w:val="en-US"/>
        </w:rPr>
        <w:t xml:space="preserve">) enlarged efferent end showing mucous-1 (M1), mucous-2 (M2) and cilia (Ci), </w:t>
      </w:r>
      <w:proofErr w:type="spellStart"/>
      <w:r w:rsidRPr="00E81E49">
        <w:rPr>
          <w:rFonts w:ascii="Times New Roman" w:hAnsi="Times New Roman" w:cs="Times New Roman"/>
          <w:sz w:val="20"/>
          <w:szCs w:val="20"/>
          <w:lang w:val="en-US"/>
        </w:rPr>
        <w:t>hemocoelic</w:t>
      </w:r>
      <w:proofErr w:type="spellEnd"/>
      <w:r w:rsidRPr="00E81E49">
        <w:rPr>
          <w:rFonts w:ascii="Times New Roman" w:hAnsi="Times New Roman" w:cs="Times New Roman"/>
          <w:sz w:val="20"/>
          <w:szCs w:val="20"/>
          <w:lang w:val="en-US"/>
        </w:rPr>
        <w:t xml:space="preserve"> space (HS) and nerve (N), bar=10 µm</w:t>
      </w:r>
    </w:p>
    <w:p w:rsidR="00E81E49" w:rsidRDefault="00E81E49" w:rsidP="00D865C0">
      <w:pPr>
        <w:rPr>
          <w:rFonts w:ascii="Times New Roman" w:hAnsi="Times New Roman" w:cs="Times New Roman"/>
          <w:sz w:val="20"/>
          <w:szCs w:val="20"/>
        </w:rPr>
      </w:pPr>
    </w:p>
    <w:p w:rsidR="00E81E49" w:rsidRDefault="00E81E49" w:rsidP="00D865C0">
      <w:pPr>
        <w:rPr>
          <w:rFonts w:ascii="Times New Roman" w:hAnsi="Times New Roman" w:cs="Times New Roman"/>
          <w:sz w:val="20"/>
          <w:szCs w:val="20"/>
        </w:rPr>
      </w:pPr>
    </w:p>
    <w:p w:rsidR="00E81E49" w:rsidRDefault="00E81E49" w:rsidP="00D865C0">
      <w:pPr>
        <w:rPr>
          <w:rFonts w:ascii="Times New Roman" w:hAnsi="Times New Roman" w:cs="Times New Roman"/>
          <w:sz w:val="20"/>
          <w:szCs w:val="20"/>
        </w:rPr>
      </w:pPr>
    </w:p>
    <w:p w:rsidR="00E81E49" w:rsidRDefault="00E81E49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br w:type="page"/>
      </w:r>
    </w:p>
    <w:p w:rsidR="00E81E49" w:rsidRDefault="00E81E49" w:rsidP="00E81E49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E81E49">
        <w:rPr>
          <w:rFonts w:ascii="Times New Roman" w:hAnsi="Times New Roman" w:cs="Times New Roman"/>
          <w:noProof/>
          <w:sz w:val="20"/>
          <w:szCs w:val="20"/>
          <w:lang w:eastAsia="en-PH"/>
        </w:rPr>
        <w:lastRenderedPageBreak/>
        <w:drawing>
          <wp:inline distT="0" distB="0" distL="0" distR="0" wp14:anchorId="64CA2C2D" wp14:editId="3B0DA845">
            <wp:extent cx="4419600" cy="7772400"/>
            <wp:effectExtent l="0" t="0" r="0" b="0"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777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E49" w:rsidRPr="00E81E49" w:rsidRDefault="00E81E49" w:rsidP="00E81E4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Figure 3</w:t>
      </w:r>
      <w:r w:rsidRPr="00E81E49">
        <w:rPr>
          <w:rFonts w:ascii="Times New Roman" w:hAnsi="Times New Roman" w:cs="Times New Roman"/>
          <w:sz w:val="20"/>
          <w:szCs w:val="20"/>
          <w:lang w:val="en-US"/>
        </w:rPr>
        <w:t xml:space="preserve">. Photomicrograph of the digestive gut (intestine) of </w:t>
      </w:r>
      <w:r w:rsidRPr="00E81E49">
        <w:rPr>
          <w:rFonts w:ascii="Times New Roman" w:hAnsi="Times New Roman" w:cs="Times New Roman"/>
          <w:i/>
          <w:sz w:val="20"/>
          <w:szCs w:val="20"/>
          <w:lang w:val="en-US"/>
        </w:rPr>
        <w:t xml:space="preserve">H. </w:t>
      </w:r>
      <w:proofErr w:type="spellStart"/>
      <w:r w:rsidRPr="00E81E49">
        <w:rPr>
          <w:rFonts w:ascii="Times New Roman" w:hAnsi="Times New Roman" w:cs="Times New Roman"/>
          <w:i/>
          <w:sz w:val="20"/>
          <w:szCs w:val="20"/>
          <w:lang w:val="en-US"/>
        </w:rPr>
        <w:t>diversicolor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stained with H-E: a</w:t>
      </w:r>
      <w:r w:rsidRPr="00E81E49">
        <w:rPr>
          <w:rFonts w:ascii="Times New Roman" w:hAnsi="Times New Roman" w:cs="Times New Roman"/>
          <w:sz w:val="20"/>
          <w:szCs w:val="20"/>
          <w:lang w:val="en-US"/>
        </w:rPr>
        <w:t>) transverse section of intestine sho</w:t>
      </w:r>
      <w:r>
        <w:rPr>
          <w:rFonts w:ascii="Times New Roman" w:hAnsi="Times New Roman" w:cs="Times New Roman"/>
          <w:sz w:val="20"/>
          <w:szCs w:val="20"/>
          <w:lang w:val="en-US"/>
        </w:rPr>
        <w:t>wing villi, scale bar=100 µm; b</w:t>
      </w:r>
      <w:r w:rsidRPr="00E81E49">
        <w:rPr>
          <w:rFonts w:ascii="Times New Roman" w:hAnsi="Times New Roman" w:cs="Times New Roman"/>
          <w:sz w:val="20"/>
          <w:szCs w:val="20"/>
          <w:lang w:val="en-US"/>
        </w:rPr>
        <w:t>) enlarged villi showing mucous-3 (M3) and muscle (Mu), scale bar=10 µm</w:t>
      </w:r>
    </w:p>
    <w:p w:rsidR="001543C5" w:rsidRDefault="00277E7D"/>
    <w:sectPr w:rsidR="001543C5" w:rsidSect="00E81E49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5C0"/>
    <w:rsid w:val="00277E7D"/>
    <w:rsid w:val="0057312A"/>
    <w:rsid w:val="00754327"/>
    <w:rsid w:val="007A72C1"/>
    <w:rsid w:val="00C10E8C"/>
    <w:rsid w:val="00C8487C"/>
    <w:rsid w:val="00C90B60"/>
    <w:rsid w:val="00D865C0"/>
    <w:rsid w:val="00E8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D48A3"/>
  <w15:chartTrackingRefBased/>
  <w15:docId w15:val="{127E97CC-E678-404F-A73A-4C9F62BD2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0E8C"/>
    <w:pPr>
      <w:spacing w:after="0" w:line="240" w:lineRule="auto"/>
    </w:pPr>
    <w:rPr>
      <w:rFonts w:ascii="Century" w:eastAsia="MS Mincho" w:hAnsi="Century" w:cs="Times New Roman"/>
      <w:sz w:val="20"/>
      <w:szCs w:val="20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lotacreencia@gmail.com</dc:creator>
  <cp:keywords/>
  <dc:description/>
  <cp:lastModifiedBy>lotacreencia@gmail.com</cp:lastModifiedBy>
  <cp:revision>4</cp:revision>
  <dcterms:created xsi:type="dcterms:W3CDTF">2018-04-08T01:09:00Z</dcterms:created>
  <dcterms:modified xsi:type="dcterms:W3CDTF">2018-04-08T14:07:00Z</dcterms:modified>
</cp:coreProperties>
</file>